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177165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740" w:hanging="42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December 31, 2017</w:t>
      </w:r>
    </w:p>
    <w:p>
      <w:pPr>
        <w:spacing w:after="0" w:line="141" w:lineRule="exact"/>
        <w:rPr>
          <w:sz w:val="24"/>
          <w:szCs w:val="24"/>
          <w:color w:val="auto"/>
        </w:rPr>
      </w:pPr>
    </w:p>
    <w:p>
      <w:pPr>
        <w:ind w:left="740" w:hanging="425"/>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4020"/>
        <w:spacing w:after="0"/>
        <w:tabs>
          <w:tab w:leader="none" w:pos="60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160655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jc w:val="center"/>
              <w:ind w:right="3288"/>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5580" w:type="dxa"/>
            <w:vAlign w:val="bottom"/>
          </w:tcPr>
          <w:p>
            <w:pPr>
              <w:jc w:val="center"/>
              <w:ind w:right="3308"/>
              <w:spacing w:after="0" w:line="149" w:lineRule="exact"/>
              <w:rPr>
                <w:sz w:val="20"/>
                <w:szCs w:val="20"/>
                <w:color w:val="auto"/>
              </w:rPr>
            </w:pPr>
            <w:r>
              <w:rPr>
                <w:rFonts w:ascii="Arial" w:cs="Arial" w:eastAsia="Arial" w:hAnsi="Arial"/>
                <w:sz w:val="14"/>
                <w:szCs w:val="14"/>
                <w:color w:val="auto"/>
                <w:w w:val="95"/>
              </w:rPr>
              <w:t>(State or other jurisdiction of</w:t>
            </w:r>
          </w:p>
        </w:tc>
        <w:tc>
          <w:tcPr>
            <w:tcW w:w="136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5580" w:type="dxa"/>
            <w:vAlign w:val="bottom"/>
          </w:tcPr>
          <w:p>
            <w:pPr>
              <w:jc w:val="center"/>
              <w:ind w:right="3308"/>
              <w:spacing w:after="0"/>
              <w:rPr>
                <w:sz w:val="20"/>
                <w:szCs w:val="20"/>
                <w:color w:val="auto"/>
              </w:rPr>
            </w:pPr>
            <w:r>
              <w:rPr>
                <w:rFonts w:ascii="Arial" w:cs="Arial" w:eastAsia="Arial" w:hAnsi="Arial"/>
                <w:sz w:val="14"/>
                <w:szCs w:val="14"/>
                <w:color w:val="auto"/>
                <w:w w:val="94"/>
              </w:rPr>
              <w:t>incorporation or organization)</w:t>
            </w:r>
          </w:p>
        </w:tc>
        <w:tc>
          <w:tcPr>
            <w:tcW w:w="1360" w:type="dxa"/>
            <w:vAlign w:val="bottom"/>
          </w:tcPr>
          <w:p>
            <w:pPr>
              <w:jc w:val="center"/>
              <w:ind w:left="20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313"/>
        </w:trPr>
        <w:tc>
          <w:tcPr>
            <w:tcW w:w="5580" w:type="dxa"/>
            <w:vAlign w:val="bottom"/>
          </w:tcPr>
          <w:p>
            <w:pPr>
              <w:jc w:val="center"/>
              <w:ind w:right="3208"/>
              <w:spacing w:after="0"/>
              <w:rPr>
                <w:sz w:val="20"/>
                <w:szCs w:val="20"/>
                <w:color w:val="auto"/>
              </w:rPr>
            </w:pPr>
            <w:r>
              <w:rPr>
                <w:rFonts w:ascii="Arial" w:cs="Arial" w:eastAsia="Arial" w:hAnsi="Arial"/>
                <w:sz w:val="14"/>
                <w:szCs w:val="14"/>
                <w:b w:val="1"/>
                <w:bCs w:val="1"/>
                <w:color w:val="auto"/>
                <w:w w:val="94"/>
              </w:rPr>
              <w:t>3850 N. Wilke Road</w:t>
            </w:r>
          </w:p>
        </w:tc>
        <w:tc>
          <w:tcPr>
            <w:tcW w:w="13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60004</w:t>
            </w:r>
          </w:p>
        </w:tc>
        <w:tc>
          <w:tcPr>
            <w:tcW w:w="0" w:type="dxa"/>
            <w:vAlign w:val="bottom"/>
          </w:tcPr>
          <w:p>
            <w:pPr>
              <w:spacing w:after="0"/>
              <w:rPr>
                <w:sz w:val="1"/>
                <w:szCs w:val="1"/>
                <w:color w:val="auto"/>
              </w:rPr>
            </w:pPr>
          </w:p>
        </w:tc>
      </w:tr>
      <w:tr>
        <w:trPr>
          <w:trHeight w:val="153"/>
        </w:trPr>
        <w:tc>
          <w:tcPr>
            <w:tcW w:w="5580" w:type="dxa"/>
            <w:vAlign w:val="bottom"/>
          </w:tcPr>
          <w:p>
            <w:pPr>
              <w:jc w:val="center"/>
              <w:ind w:right="3208"/>
              <w:spacing w:after="0" w:line="153" w:lineRule="exact"/>
              <w:rPr>
                <w:sz w:val="20"/>
                <w:szCs w:val="20"/>
                <w:color w:val="auto"/>
              </w:rPr>
            </w:pPr>
            <w:r>
              <w:rPr>
                <w:rFonts w:ascii="Arial" w:cs="Arial" w:eastAsia="Arial" w:hAnsi="Arial"/>
                <w:sz w:val="14"/>
                <w:szCs w:val="14"/>
                <w:b w:val="1"/>
                <w:bCs w:val="1"/>
                <w:color w:val="auto"/>
                <w:w w:val="95"/>
              </w:rPr>
              <w:t>Arlington Heights, Illinois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right="3208"/>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10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63"/>
        </w:trPr>
        <w:tc>
          <w:tcPr>
            <w:tcW w:w="5580" w:type="dxa"/>
            <w:vAlign w:val="bottom"/>
          </w:tcPr>
          <w:p>
            <w:pPr>
              <w:jc w:val="right"/>
              <w:ind w:right="1308"/>
              <w:spacing w:after="0"/>
              <w:rPr>
                <w:sz w:val="20"/>
                <w:szCs w:val="20"/>
                <w:color w:val="auto"/>
              </w:rPr>
            </w:pPr>
            <w:r>
              <w:rPr>
                <w:rFonts w:ascii="Arial" w:cs="Arial" w:eastAsia="Arial" w:hAnsi="Arial"/>
                <w:sz w:val="14"/>
                <w:szCs w:val="14"/>
                <w:b w:val="1"/>
                <w:bCs w:val="1"/>
                <w:color w:val="auto"/>
              </w:rPr>
              <w:t>(847) 463-3200</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left="1868"/>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144780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54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44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jc w:val="both"/>
        <w:ind w:right="18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0340"/>
          </w:cols>
          <w:pgMar w:left="760" w:top="233" w:right="799" w:bottom="1440" w:gutter="0" w:footer="0" w:header="0"/>
        </w:sectPr>
      </w:pPr>
    </w:p>
    <w:p>
      <w:pPr>
        <w:spacing w:after="0" w:line="115"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ectPr>
          <w:pgSz w:w="11900" w:h="16838" w:orient="portrait"/>
          <w:cols w:equalWidth="0" w:num="4">
            <w:col w:w="1340" w:space="400"/>
            <w:col w:w="3900" w:space="720"/>
            <w:col w:w="1120" w:space="720"/>
            <w:col w:w="2140"/>
          </w:cols>
          <w:pgMar w:left="760" w:top="233" w:right="79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3" w:lineRule="exact"/>
        <w:rPr>
          <w:sz w:val="24"/>
          <w:szCs w:val="24"/>
          <w:color w:val="auto"/>
        </w:rPr>
      </w:pPr>
    </w:p>
    <w:p>
      <w:pPr>
        <w:sectPr>
          <w:pgSz w:w="11900" w:h="16838" w:orient="portrait"/>
          <w:cols w:equalWidth="0" w:num="5">
            <w:col w:w="1280" w:space="460"/>
            <w:col w:w="120" w:space="80"/>
            <w:col w:w="3700" w:space="720"/>
            <w:col w:w="1640" w:space="200"/>
            <w:col w:w="2140"/>
          </w:cols>
          <w:pgMar w:left="760" w:top="233" w:right="79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7" w:lineRule="exact"/>
        <w:rPr>
          <w:sz w:val="24"/>
          <w:szCs w:val="24"/>
          <w:color w:val="auto"/>
        </w:rPr>
      </w:pPr>
    </w:p>
    <w:p>
      <w:pPr>
        <w:ind w:right="44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52,603,746 shares of Common Stock, $0.001 par value per share, as of February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6"/>
          </w:tcPr>
          <w:p>
            <w:pPr>
              <w:jc w:val="center"/>
              <w:ind w:right="300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w:t>
              </w:r>
            </w:hyperlink>
          </w:p>
        </w:tc>
        <w:tc>
          <w:tcPr>
            <w:tcW w:w="578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w:t>
              </w:r>
            </w:hyperlink>
          </w:p>
        </w:tc>
        <w:tc>
          <w:tcPr>
            <w:tcW w:w="570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and Comprehensive Income (Loss)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180" w:type="dxa"/>
            <w:vAlign w:val="bottom"/>
            <w:tcBorders>
              <w:top w:val="single" w:sz="8" w:color="0000EE"/>
            </w:tcBorders>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 of Changes in Stockholders’ Equity</w:t>
              </w:r>
            </w:hyperlink>
          </w:p>
        </w:tc>
        <w:tc>
          <w:tcPr>
            <w:tcW w:w="242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12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348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3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r>
      <w:tr>
        <w:trPr>
          <w:trHeight w:val="196"/>
        </w:trPr>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OF OPERATIONS</w:t>
              </w:r>
            </w:hyperlink>
          </w:p>
        </w:tc>
        <w:tc>
          <w:tcPr>
            <w:tcW w:w="6780" w:type="dxa"/>
            <w:vAlign w:val="bottom"/>
            <w:tcBorders>
              <w:top w:val="single" w:sz="8" w:color="0000EE"/>
            </w:tcBorders>
            <w:gridSpan w:val="20"/>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 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6800" w:type="dxa"/>
            <w:vAlign w:val="bottom"/>
            <w:tcBorders>
              <w:top w:val="single" w:sz="8" w:color="0000EE"/>
            </w:tcBorders>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18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Borders>
              <w:bottom w:val="single" w:sz="8" w:color="0000EE"/>
            </w:tcBorders>
            <w:gridSpan w:val="8"/>
          </w:tcPr>
          <w:p>
            <w:pPr>
              <w:jc w:val="cente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PART II. OTHER INFORMATION</w:t>
              </w:r>
            </w:hyperlink>
          </w:p>
        </w:tc>
        <w:tc>
          <w:tcPr>
            <w:tcW w:w="31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 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540" w:type="dxa"/>
            <w:vAlign w:val="bottom"/>
            <w:tcBorders>
              <w:top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606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52">
              <w:r>
                <w:rPr>
                  <w:rFonts w:ascii="Arial" w:cs="Arial" w:eastAsia="Arial" w:hAnsi="Arial"/>
                  <w:sz w:val="18"/>
                  <w:szCs w:val="18"/>
                  <w:color w:val="0000EE"/>
                  <w:w w:val="94"/>
                </w:rPr>
                <w:t>ITEM 2. UNREGISTERED SALES OF EQUITY SECURITIES AND USE OF PROCEEDS</w:t>
              </w:r>
            </w:hyperlink>
          </w:p>
        </w:tc>
        <w:tc>
          <w:tcPr>
            <w:tcW w:w="186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38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ITEM 3. DEFAULTS UPON SENIOR SECURITIES</w:t>
              </w:r>
            </w:hyperlink>
          </w:p>
        </w:tc>
        <w:tc>
          <w:tcPr>
            <w:tcW w:w="47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4. 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2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ITEM 5. OTHER INFORMATION</w:t>
              </w:r>
            </w:hyperlink>
          </w:p>
        </w:tc>
        <w:tc>
          <w:tcPr>
            <w:tcW w:w="540" w:type="dxa"/>
            <w:vAlign w:val="bottom"/>
            <w:tcBorders>
              <w:top w:val="single" w:sz="8" w:color="0000EE"/>
            </w:tcBorders>
            <w:gridSpan w:val="5"/>
          </w:tcPr>
          <w:p>
            <w:pPr>
              <w:spacing w:after="0"/>
              <w:rPr>
                <w:sz w:val="24"/>
                <w:szCs w:val="24"/>
                <w:color w:val="auto"/>
              </w:rPr>
            </w:pPr>
          </w:p>
        </w:tc>
        <w:tc>
          <w:tcPr>
            <w:tcW w:w="55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 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1480" w:type="dxa"/>
            <w:vAlign w:val="bottom"/>
            <w:tcBorders>
              <w:top w:val="single" w:sz="8" w:color="0000EE"/>
            </w:tcBorders>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7120" w:type="dxa"/>
            <w:vAlign w:val="bottom"/>
            <w:gridSpan w:val="2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682"/>
        </w:trPr>
        <w:tc>
          <w:tcPr>
            <w:tcW w:w="1100" w:type="dxa"/>
            <w:vAlign w:val="bottom"/>
            <w:tcBorders>
              <w:top w:val="single" w:sz="8" w:color="0000EE"/>
            </w:tcBorders>
          </w:tcPr>
          <w:p>
            <w:pPr>
              <w:spacing w:after="0"/>
              <w:rPr>
                <w:sz w:val="24"/>
                <w:szCs w:val="24"/>
                <w:color w:val="auto"/>
              </w:rPr>
            </w:pPr>
          </w:p>
        </w:tc>
        <w:tc>
          <w:tcPr>
            <w:tcW w:w="4020" w:type="dxa"/>
            <w:vAlign w:val="bottom"/>
            <w:gridSpan w:val="15"/>
          </w:tcPr>
          <w:p>
            <w:pPr>
              <w:jc w:val="right"/>
              <w:ind w:right="5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77"/>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FINANCIAL INFORMATION</w:t>
      </w:r>
    </w:p>
    <w:p>
      <w:pPr>
        <w:spacing w:after="0" w:line="159"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 before funds held for clients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Funds held for clients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942,459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1,345,702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1,062,846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1,466,924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Capitalized internal-use software,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1,137,441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1,549,328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liabilities before client fund obligations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Client fund obligations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942,459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974,806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1,376,624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1,391,175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2017 and December 31, 2017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$0.001 par value, 155,000 shares authorized at June 30, 2017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w w:val="92"/>
              </w:rPr>
              <w:t>December 31, 2017; 51,738 shares issued and outstanding at June 30, 2017 and 52,590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shares issued and outstanding at December 31, 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1,137,441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1,549,328</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1440" w:right="1240"/>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(Loss)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Recurring fees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65,347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81,292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127,267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158,586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recurring 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83,075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128,715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161,986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Implementation services and other</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68,654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86,004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133,676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167,504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Recurring revenues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20,716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25,638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39,819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Implementation services and other</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11,202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30,383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36,840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38,271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49,164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17,735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21,598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14,957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18,159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39,914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49,031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95,057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Unrealized losses on securities, net of tax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(1,671)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(4,239)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1"/>
              </w:rPr>
              <w:t>Weighted-average shares used in computing net income (loss)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51,384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52,502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20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51,384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54,818</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51,308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1"/>
              </w:rPr>
              <w:t>Stockholders’ Equity</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4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6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2017</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51,738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$ 192,837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(45,276)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15,328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620" w:type="dxa"/>
            <w:vAlign w:val="bottom"/>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price related to equity awards</w:t>
            </w: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(13,437)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securities, net of tax</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52,590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$ 202,512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(44,302)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Six Months Ended</w:t>
      </w:r>
    </w:p>
    <w:p>
      <w:pPr>
        <w:ind w:left="76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w w:val="96"/>
              </w:rPr>
              <w:t>Adjustments to reconcile net income (loss) to net cash provided by operating activities: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income tax expense (benefit)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3"/>
              </w:rPr>
              <w:t>Net accretion of discounts and amortization of premiums on available-for-sale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Arial" w:cs="Arial" w:eastAsia="Arial" w:hAnsi="Arial"/>
                <w:sz w:val="18"/>
                <w:szCs w:val="18"/>
                <w:color w:val="auto"/>
              </w:rPr>
              <w:t>Net realized losses on sales of available-for-sale securities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on disposal of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Tenant improvement allowance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available-for-sale securities from funds held for clients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60" w:type="dxa"/>
            <w:vAlign w:val="bottom"/>
          </w:tcPr>
          <w:p>
            <w:pPr>
              <w:ind w:left="200"/>
              <w:spacing w:after="0" w:line="201" w:lineRule="exact"/>
              <w:rPr>
                <w:sz w:val="20"/>
                <w:szCs w:val="20"/>
                <w:color w:val="auto"/>
              </w:rPr>
            </w:pPr>
            <w:r>
              <w:rPr>
                <w:rFonts w:ascii="Arial" w:cs="Arial" w:eastAsia="Arial" w:hAnsi="Arial"/>
                <w:sz w:val="18"/>
                <w:szCs w:val="18"/>
                <w:color w:val="auto"/>
                <w:w w:val="97"/>
              </w:rPr>
              <w:t>Proceeds from sales and maturities of available-for-sale securities from funds held for</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clients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funds held for clients' cash and cash equivalents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(331,078)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Capitalized internal-use software costs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Lease allowances used for tenant improvements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130,834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(424,200)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Net change in client fund obligations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(147,151)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403,243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employee stock purchase plan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Taxes paid related to net share settlement of equity awards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(150,463)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80" w:type="dxa"/>
            <w:vAlign w:val="bottom"/>
            <w:gridSpan w:val="2"/>
          </w:tcPr>
          <w:p>
            <w:pPr>
              <w:spacing w:after="0"/>
              <w:rPr>
                <w:sz w:val="20"/>
                <w:szCs w:val="20"/>
                <w:color w:val="auto"/>
              </w:rPr>
            </w:pPr>
            <w:r>
              <w:rPr>
                <w:rFonts w:ascii="Arial" w:cs="Arial" w:eastAsia="Arial" w:hAnsi="Arial"/>
                <w:sz w:val="18"/>
                <w:szCs w:val="18"/>
                <w:color w:val="auto"/>
              </w:rPr>
              <w:t>Cash and Cash Equivalents—End of Period</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82,257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111,027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w w:val="98"/>
              </w:rPr>
              <w:t>Purchase of property and equipment and internal-use software, accrued but not paid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2,172</w:t>
            </w:r>
          </w:p>
        </w:tc>
        <w:tc>
          <w:tcPr>
            <w:tcW w:w="2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Cash paid for income taxes, net of refunds</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incurred but not reported medical and dental claims, stock-based compensation, valuation of deferred income tax assets and liabilities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69"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six months ended December 31, 2017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2017 included in the Company’s Annual Report on Form 10-K filed with the SEC on August 11, 2017.</w:t>
      </w:r>
    </w:p>
    <w:p>
      <w:pPr>
        <w:spacing w:after="0" w:line="167" w:lineRule="exact"/>
        <w:rPr>
          <w:sz w:val="20"/>
          <w:szCs w:val="20"/>
          <w:color w:val="auto"/>
        </w:rPr>
      </w:pPr>
    </w:p>
    <w:p>
      <w:pPr>
        <w:ind w:left="300" w:hanging="297"/>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Funds Held For Clients and Corporate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Funds held for clients is primarily comprised of cash and cash equivalents invested in demand deposit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Starting in July 2017, the Company also invested a portion of its funds held for clients in marketable securities.</w:t>
      </w:r>
    </w:p>
    <w:p>
      <w:pPr>
        <w:spacing w:after="0" w:line="21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(loss). Interest on marketable securities included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funds held for clients is reported as interest income on funds held for clients on the consolidated statements of operations and comprehensive income (loss).</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 reviews the composition of its portfolio for any available-for-sale security that has a fair value that falls below its amortized cost. If any security fits this criterion, the Company further evaluates whether other-than-temporary impairment exists by considering whether the Company has the intent and ability to retain the security for a period of time sufficient enough to allow for anticipated fair value recovery. The Company did not record any other-than-temporary impairment charges during the three or six months ended December 31, 2017.</w:t>
      </w:r>
    </w:p>
    <w:p>
      <w:pPr>
        <w:spacing w:after="0" w:line="173"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Income taxes are accounted for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using the asset and liability method. Deferred tax assets and liabilities are recognized for the future tax consequences attributable to differences between the financial statement carrying amounts of existing assets and liabilities and their respective tax bases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93"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 using the Black-Scholes option-pricing model and periodically updates the assumed forfeiture rates for actual experience over the option vesting term or the term of the ESPP purchase period.</w:t>
      </w:r>
    </w:p>
    <w:p>
      <w:pPr>
        <w:spacing w:after="0" w:line="178" w:lineRule="exact"/>
        <w:rPr>
          <w:sz w:val="20"/>
          <w:szCs w:val="20"/>
          <w:color w:val="auto"/>
        </w:rPr>
      </w:pPr>
    </w:p>
    <w:p>
      <w:pPr>
        <w:ind w:left="280" w:hanging="277"/>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(“ASU 2014-09”). ASU 2014-09 supersedes a majority of existing revenue recognition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April 2016, May 2016 and December 2016 the FASB issued ASU 2016-08, </w:t>
      </w:r>
      <w:r>
        <w:rPr>
          <w:rFonts w:ascii="Arial" w:cs="Arial" w:eastAsia="Arial" w:hAnsi="Arial"/>
          <w:sz w:val="16"/>
          <w:szCs w:val="16"/>
          <w:i w:val="1"/>
          <w:iCs w:val="1"/>
          <w:color w:val="auto"/>
        </w:rPr>
        <w:t>Revenue from Contracts with Customers (Topic 606): Principal versus Agent Considerations (Reporting Revenue Gross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Net) </w:t>
      </w:r>
      <w:r>
        <w:rPr>
          <w:rFonts w:ascii="Arial" w:cs="Arial" w:eastAsia="Arial" w:hAnsi="Arial"/>
          <w:sz w:val="16"/>
          <w:szCs w:val="16"/>
          <w:color w:val="auto"/>
        </w:rPr>
        <w:t>(“ASU 2016-08”), ASU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(“ASU 2016-10”), ASU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(“ASU 2016-12”) and ASU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(“ASU 2016-20”), respectively, to amend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ASU 2014-09. Topic 606 allows for 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w:t>
      </w:r>
    </w:p>
    <w:p>
      <w:pPr>
        <w:spacing w:after="0" w:line="16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currently expects to adopt the new standard in its fiscal year beginning July 1, 2018 using the full retrospective method. While the impact the new revenue recognition standard will have on its consolidated financial statements and disclosures has not yet been fully assessed, the Company currently expects that there will be a material impact in the manner in which it treats certain costs of obtaining new contracts (i.e., selling and commission costs).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new standard will require the Company to defer these costs and amortize them versus current treatment of expensing these costs as incurred. The Company is continuing to evaluate all potential impacts as well as the changes required for systems, processes and internal controls to meet the new standard’s reporting and disclosure requirements.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February 2016, the FASB issued ASU 2016-02, Leases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ASU 2016-02 is effective for fiscal years beginning after December 15, 2018, with early adoption permitted. The Company is currently assessing the potential effects of these changes to its consolidated financial statements and expects to adopt this new standard in its fiscal year beginning July 1, 2019.</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(Topic 718) (“ASU 2016-09”) which modifies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adopted this standard effective July 1, 2017. Due to the Company’s tax valuation allowance, the adoption of this standard did not have a material impact on its consolidated financial statements and disclosures. The Company will continue to estimate forfeitures at each reporting period, rather than electing an accounting policy change to record the impact of such forfeitures as they occur.</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(3) Balance Sheet Information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ind w:left="640"/>
              <w:spacing w:after="0"/>
              <w:rPr>
                <w:sz w:val="20"/>
                <w:szCs w:val="20"/>
                <w:color w:val="auto"/>
              </w:rPr>
            </w:pPr>
            <w:r>
              <w:rPr>
                <w:rFonts w:ascii="Arial" w:cs="Arial" w:eastAsia="Arial" w:hAnsi="Arial"/>
                <w:sz w:val="18"/>
                <w:szCs w:val="18"/>
                <w:color w:val="auto"/>
                <w:w w:val="94"/>
              </w:rPr>
              <w:t>The following tables provide details of selected consolidated balance sheet items: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ind w:left="640"/>
              <w:spacing w:after="0"/>
              <w:rPr>
                <w:sz w:val="20"/>
                <w:szCs w:val="20"/>
                <w:color w:val="auto"/>
              </w:rPr>
            </w:pPr>
            <w:r>
              <w:rPr>
                <w:rFonts w:ascii="Arial" w:cs="Arial" w:eastAsia="Arial" w:hAnsi="Arial"/>
                <w:sz w:val="18"/>
                <w:szCs w:val="18"/>
                <w:color w:val="auto"/>
              </w:rPr>
              <w:t>Activity in the allowance for doubtful accounts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80" w:type="dxa"/>
            <w:vAlign w:val="bottom"/>
            <w:gridSpan w:val="2"/>
          </w:tcPr>
          <w:p>
            <w:pPr>
              <w:spacing w:after="0"/>
              <w:rPr>
                <w:sz w:val="20"/>
                <w:szCs w:val="20"/>
                <w:color w:val="auto"/>
              </w:rPr>
            </w:pPr>
            <w:r>
              <w:rPr>
                <w:rFonts w:ascii="Arial" w:cs="Arial" w:eastAsia="Arial" w:hAnsi="Arial"/>
                <w:sz w:val="18"/>
                <w:szCs w:val="18"/>
                <w:color w:val="auto"/>
              </w:rPr>
              <w:t>Balance at December 31, 2017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60" w:type="dxa"/>
            <w:vAlign w:val="bottom"/>
          </w:tcPr>
          <w:p>
            <w:pPr>
              <w:ind w:left="640"/>
              <w:spacing w:after="0"/>
              <w:rPr>
                <w:sz w:val="20"/>
                <w:szCs w:val="20"/>
                <w:color w:val="auto"/>
              </w:rPr>
            </w:pPr>
            <w:r>
              <w:rPr>
                <w:rFonts w:ascii="Arial" w:cs="Arial" w:eastAsia="Arial" w:hAnsi="Arial"/>
                <w:sz w:val="18"/>
                <w:szCs w:val="18"/>
                <w:color w:val="auto"/>
                <w:w w:val="95"/>
              </w:rPr>
              <w:t>Capitalized internal-use software and accumulated amortization were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10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57,758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(32,269)</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(38,972)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Amortization of capitalized internal-use software costs is included in Cost of Revenues-Recurring Revenues and amounted to $1,950 and $3,314 for the three months ended December 31, 2016 and 2017, respectively, and $3,634 and $6,703 for the six months ended December 31, 2016 and 2017,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June 30,</w:t>
            </w:r>
          </w:p>
        </w:tc>
        <w:tc>
          <w:tcPr>
            <w:tcW w:w="8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Computer equipment</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27,567</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Software</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5,008</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40" w:type="dxa"/>
            <w:vAlign w:val="bottom"/>
            <w:tcBorders>
              <w:bottom w:val="single" w:sz="8" w:color="CCEEFF"/>
            </w:tcBorders>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79,006</w:t>
            </w:r>
          </w:p>
        </w:tc>
        <w:tc>
          <w:tcPr>
            <w:tcW w:w="4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(30,652)</w:t>
            </w:r>
          </w:p>
        </w:tc>
      </w:tr>
      <w:tr>
        <w:trPr>
          <w:trHeight w:val="21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Depreciation expense amounted to $2,504 and $3,092 for the three months ended December 31, 2016 and 2017, respectively, and $4,707 and $6,017 for the six months ended December 31, 2016 and 2017,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consist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1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2 - 3 years</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Amortization expense for acquired intangible assets was $381 and $359 for the three months ended December 31, 2016 and 2017, respectively, and $762 and $718 for the six months ended December 31, 2016 and 2017,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for acquired intangible assets is as follows, as of December 31,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fiscal 2018</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Fiscal 2019</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1,398</w:t>
            </w:r>
          </w:p>
        </w:tc>
        <w:tc>
          <w:tcPr>
            <w:tcW w:w="60" w:type="dxa"/>
            <w:vAlign w:val="bottom"/>
          </w:tcPr>
          <w:p>
            <w:pPr>
              <w:spacing w:after="0"/>
              <w:rPr>
                <w:sz w:val="18"/>
                <w:szCs w:val="18"/>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2020</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Fiscal 2021</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1,398</w:t>
            </w:r>
          </w:p>
        </w:tc>
        <w:tc>
          <w:tcPr>
            <w:tcW w:w="60" w:type="dxa"/>
            <w:vAlign w:val="bottom"/>
          </w:tcPr>
          <w:p>
            <w:pPr>
              <w:spacing w:after="0"/>
              <w:rPr>
                <w:sz w:val="18"/>
                <w:szCs w:val="18"/>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2022</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60" w:type="dxa"/>
            <w:vAlign w:val="bottom"/>
            <w:tcBorders>
              <w:bottom w:val="single" w:sz="8" w:color="CCEEFF"/>
            </w:tcBorders>
          </w:tcPr>
          <w:p>
            <w:pPr>
              <w:spacing w:after="0"/>
              <w:rPr>
                <w:sz w:val="18"/>
                <w:szCs w:val="18"/>
                <w:color w:val="auto"/>
              </w:rPr>
            </w:pPr>
          </w:p>
        </w:tc>
      </w:tr>
      <w:tr>
        <w:trPr>
          <w:trHeight w:val="230"/>
        </w:trPr>
        <w:tc>
          <w:tcPr>
            <w:tcW w:w="5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60" w:type="dxa"/>
            <w:vAlign w:val="bottom"/>
            <w:tcBorders>
              <w:bottom w:val="single" w:sz="8" w:color="CCEEFF"/>
            </w:tcBorders>
            <w:shd w:val="clear" w:color="auto" w:fill="CCEEFF"/>
          </w:tcPr>
          <w:p>
            <w:pPr>
              <w:spacing w:after="0"/>
              <w:rPr>
                <w:sz w:val="19"/>
                <w:szCs w:val="19"/>
                <w:color w:val="auto"/>
              </w:rPr>
            </w:pPr>
          </w:p>
        </w:tc>
      </w:tr>
      <w:tr>
        <w:trPr>
          <w:trHeight w:val="419"/>
        </w:trPr>
        <w:tc>
          <w:tcPr>
            <w:tcW w:w="5780" w:type="dxa"/>
            <w:vAlign w:val="bottom"/>
          </w:tcPr>
          <w:p>
            <w:pPr>
              <w:ind w:left="660"/>
              <w:spacing w:after="0"/>
              <w:rPr>
                <w:sz w:val="20"/>
                <w:szCs w:val="20"/>
                <w:color w:val="auto"/>
              </w:rPr>
            </w:pPr>
            <w:r>
              <w:rPr>
                <w:rFonts w:ascii="Arial" w:cs="Arial" w:eastAsia="Arial" w:hAnsi="Arial"/>
                <w:sz w:val="18"/>
                <w:szCs w:val="18"/>
                <w:color w:val="auto"/>
              </w:rPr>
              <w:t>The components of accrued expenses were as follows: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5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24"/>
                <w:szCs w:val="2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22,405</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60" w:type="dxa"/>
            <w:vAlign w:val="bottom"/>
            <w:tcBorders>
              <w:bottom w:val="single" w:sz="8" w:color="CCEEFF"/>
            </w:tcBorders>
          </w:tcPr>
          <w:p>
            <w:pPr>
              <w:spacing w:after="0"/>
              <w:rPr>
                <w:sz w:val="18"/>
                <w:szCs w:val="18"/>
                <w:color w:val="auto"/>
              </w:rPr>
            </w:pPr>
          </w:p>
        </w:tc>
      </w:tr>
      <w:tr>
        <w:trPr>
          <w:trHeight w:val="23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662"/>
        </w:trPr>
        <w:tc>
          <w:tcPr>
            <w:tcW w:w="5780" w:type="dxa"/>
            <w:vAlign w:val="bottom"/>
          </w:tcPr>
          <w:p>
            <w:pPr>
              <w:ind w:left="4480"/>
              <w:spacing w:after="0"/>
              <w:rPr>
                <w:sz w:val="20"/>
                <w:szCs w:val="20"/>
                <w:color w:val="auto"/>
              </w:rPr>
            </w:pPr>
            <w:r>
              <w:rPr>
                <w:rFonts w:ascii="Arial" w:cs="Arial" w:eastAsia="Arial" w:hAnsi="Arial"/>
                <w:sz w:val="18"/>
                <w:szCs w:val="18"/>
                <w:color w:val="auto"/>
              </w:rPr>
              <w:t>9</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77"/>
        </w:trPr>
        <w:tc>
          <w:tcPr>
            <w:tcW w:w="5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Funds Held for Clients and Corporate Investments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Investments consist of the following as of December 31,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4"/>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Type of Issue</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unrealized</w:t>
            </w:r>
          </w:p>
        </w:tc>
        <w:tc>
          <w:tcPr>
            <w:tcW w:w="1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Funds held for clients' 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$ 1,273,819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1,273,814</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34,323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34,258</w:t>
            </w:r>
          </w:p>
        </w:tc>
        <w:tc>
          <w:tcPr>
            <w:tcW w:w="0" w:type="dxa"/>
            <w:vAlign w:val="bottom"/>
          </w:tcPr>
          <w:p>
            <w:pPr>
              <w:spacing w:after="0"/>
              <w:rPr>
                <w:sz w:val="1"/>
                <w:szCs w:val="1"/>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25,375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25,362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71,993</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71,888</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$ 1,345,812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1,345,702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Investments are classified as Funds held for clients on the consolidated balance sheets. Funds held for clients’ cash and cash equivalents included demand deposit accounts, commercial paper and money market funds as of December 31,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Available-for-sale securities that have been in an unrealized loss position for a period of less than 12 months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had fair market values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losses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31,549</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25,362</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0" w:type="dxa"/>
            <w:vAlign w:val="bottom"/>
          </w:tcPr>
          <w:p>
            <w:pPr>
              <w:spacing w:after="0"/>
              <w:rPr>
                <w:sz w:val="1"/>
                <w:szCs w:val="1"/>
                <w:color w:val="auto"/>
              </w:rPr>
            </w:pP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the Company started investing funds held for clients in available-for-sale securities during the six months ended December 31, 2017, no securities have been in an unrealized loss position for more than 12 months. The Company did not make any material reclassification adjustments out of accumulated other comprehensive loss for realized gains and losses on the sale of available-for-sale securities during the three or six months ended December 31, 2017. Gross realized gains and losses on the sale of available-for-sale securities were immaterial for both the three and six months ended December 31, 2017.</w:t>
      </w:r>
    </w:p>
    <w:p>
      <w:pPr>
        <w:spacing w:after="0" w:line="19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 regularly reviews the composition of its portfolio to determine the existence of other-than-temporary-impairment (“OTTI”). The Company did not recognize any OTTI charges in accumulated other comprehensive loss during the three or six months ended December 31, 2017, nor does it believe that OTTI exists in its portfolio as of</w:t>
      </w:r>
    </w:p>
    <w:p>
      <w:pPr>
        <w:jc w:val="both"/>
        <w:ind w:right="80"/>
        <w:spacing w:after="0" w:line="254" w:lineRule="auto"/>
        <w:rPr>
          <w:sz w:val="20"/>
          <w:szCs w:val="20"/>
          <w:color w:val="auto"/>
        </w:rPr>
      </w:pPr>
      <w:r>
        <w:rPr>
          <w:rFonts w:ascii="Arial" w:cs="Arial" w:eastAsia="Arial" w:hAnsi="Arial"/>
          <w:sz w:val="18"/>
          <w:szCs w:val="18"/>
          <w:color w:val="auto"/>
        </w:rPr>
        <w:t>December 31, 2017.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December 31, 2017.</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Expected maturities of available-for-sale securities at December 31, 2017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54,912</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One year to two years</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15,368</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Two years to three years</w:t>
            </w:r>
          </w:p>
        </w:tc>
        <w:tc>
          <w:tcPr>
            <w:tcW w:w="36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3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71,993</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71,888</w:t>
            </w: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3660" w:type="dxa"/>
            <w:vAlign w:val="bottom"/>
          </w:tcPr>
          <w:p>
            <w:pPr>
              <w:jc w:val="right"/>
              <w:ind w:right="23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4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Company applies the fair value measurement and disclosure provisions of ASC 820, Fair Value Measurements and Disclosures, and ASU 2011-04, </w:t>
      </w:r>
      <w:r>
        <w:rPr>
          <w:rFonts w:ascii="Arial" w:cs="Arial" w:eastAsia="Arial" w:hAnsi="Arial"/>
          <w:sz w:val="18"/>
          <w:szCs w:val="18"/>
          <w:i w:val="1"/>
          <w:iCs w:val="1"/>
          <w:color w:val="auto"/>
        </w:rPr>
        <w:t>Fair Value Measurement (Topic 820): Amendments to Achieve Common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 Requirements in U.S. GAAP and IFRS</w:t>
      </w:r>
      <w:r>
        <w:rPr>
          <w:rFonts w:ascii="Arial" w:cs="Arial" w:eastAsia="Arial" w:hAnsi="Arial"/>
          <w:sz w:val="18"/>
          <w:szCs w:val="18"/>
          <w:color w:val="auto"/>
        </w:rPr>
        <w:t>. Fair value is defined as the price that would be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jc w:val="both"/>
        <w:ind w:right="520" w:firstLine="648"/>
        <w:spacing w:after="0" w:line="302" w:lineRule="auto"/>
        <w:rPr>
          <w:sz w:val="20"/>
          <w:szCs w:val="20"/>
          <w:color w:val="auto"/>
        </w:rPr>
      </w:pPr>
      <w:r>
        <w:rPr>
          <w:rFonts w:ascii="Arial" w:cs="Arial" w:eastAsia="Arial" w:hAnsi="Arial"/>
          <w:sz w:val="16"/>
          <w:szCs w:val="16"/>
          <w:color w:val="auto"/>
        </w:rPr>
        <w:t>The Company measures any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2017 and December 31, 2017 based upon the short-term nature of these assets and liabilities.</w:t>
      </w:r>
    </w:p>
    <w:p>
      <w:pPr>
        <w:spacing w:after="0" w:line="15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asset-backed securities, corporate bonds and commercial paper.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December 31, 2017, and the Company did not transfer assets between Levels during the six months ended December 31, 2017. The Company did not hold any marketable securities at June 30, 2017.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level for the funds held for clients’ cash and cash equivalents and available-for-sale securities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Level 3</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 cash and cash equivalents</w:t>
            </w: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$ 1,273,814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$ 1,245,955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$ 27,859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25,362</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25,362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23"/>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16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71,888</w:t>
            </w:r>
          </w:p>
        </w:tc>
        <w:tc>
          <w:tcPr>
            <w:tcW w:w="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71,888</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6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$ 1,345,702</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$ 1,245,955</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$ 99,747</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676"/>
        </w:trPr>
        <w:tc>
          <w:tcPr>
            <w:tcW w:w="3980" w:type="dxa"/>
            <w:vAlign w:val="bottom"/>
          </w:tcPr>
          <w:p>
            <w:pPr>
              <w:spacing w:after="0"/>
              <w:rPr>
                <w:sz w:val="24"/>
                <w:szCs w:val="24"/>
                <w:color w:val="auto"/>
              </w:rPr>
            </w:pPr>
          </w:p>
        </w:tc>
        <w:tc>
          <w:tcPr>
            <w:tcW w:w="1640" w:type="dxa"/>
            <w:vAlign w:val="bottom"/>
          </w:tcPr>
          <w:p>
            <w:pPr>
              <w:jc w:val="right"/>
              <w:ind w:right="910"/>
              <w:spacing w:after="0"/>
              <w:rPr>
                <w:sz w:val="20"/>
                <w:szCs w:val="20"/>
                <w:color w:val="auto"/>
              </w:rPr>
            </w:pPr>
            <w:r>
              <w:rPr>
                <w:rFonts w:ascii="Arial" w:cs="Arial" w:eastAsia="Arial" w:hAnsi="Arial"/>
                <w:sz w:val="18"/>
                <w:szCs w:val="18"/>
                <w:color w:val="auto"/>
              </w:rPr>
              <w:t>11</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777"/>
        </w:trPr>
        <w:tc>
          <w:tcPr>
            <w:tcW w:w="3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Benefit Plans</w:t>
      </w:r>
    </w:p>
    <w:p>
      <w:pPr>
        <w:spacing w:after="0" w:line="229"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2017, the Company had 11,589 shares allocated to the plans, of which 3,940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six months ended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808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RSUs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r>
      <w:tr>
        <w:trPr>
          <w:trHeight w:val="217"/>
        </w:trPr>
        <w:tc>
          <w:tcPr>
            <w:tcW w:w="8080" w:type="dxa"/>
            <w:vAlign w:val="bottom"/>
          </w:tcPr>
          <w:p>
            <w:pPr>
              <w:spacing w:after="0"/>
              <w:rPr>
                <w:sz w:val="20"/>
                <w:szCs w:val="20"/>
                <w:color w:val="auto"/>
              </w:rPr>
            </w:pPr>
            <w:r>
              <w:rPr>
                <w:rFonts w:ascii="Arial" w:cs="Arial" w:eastAsia="Arial" w:hAnsi="Arial"/>
                <w:sz w:val="18"/>
                <w:szCs w:val="18"/>
                <w:color w:val="auto"/>
              </w:rPr>
              <w:t>Available for grant at December 31, 2017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 and comprehensive income (loss):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749</w:t>
            </w: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1,816</w:t>
            </w: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3,122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3,557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40" w:type="dxa"/>
            <w:vAlign w:val="bottom"/>
            <w:shd w:val="clear" w:color="auto" w:fill="CCEEFF"/>
          </w:tcPr>
          <w:p>
            <w:pPr>
              <w:spacing w:after="0"/>
              <w:rPr>
                <w:sz w:val="18"/>
                <w:szCs w:val="18"/>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6,635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7,818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12,448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14,424</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the Company capitalized $500 and $471 of stock-based compensation expense in its capitalized internal-use software costs in the three months ended December 31, 2016 and 2017, respectively, and $872 and $904 in the six months ended December 31, 2016 and 2017, respectively.</w:t>
      </w:r>
    </w:p>
    <w:p>
      <w:pPr>
        <w:spacing w:after="0" w:line="18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Under the 2008 and 2014 Plans, the exercise price of each option cannot be less than the fair value of a share of common stock on the grant date. The options typically vest ratably over a three or four year period and expire 10 years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from the grant date. Stock-based compensation expense for the fair value of the options at their grant date is recognized ratably over the vesting schedule for each separately vesting portion of the award.</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were no stock options granted during the six months ended December 31, 2016 or 2017. The table below presents stock option activity during the six months ended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Outstanding Options</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Options forfeited</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17.00</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12.48</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5.52</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72,068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December 31, 2017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69,856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December 31, 2017</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2,072</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12.43</w:t>
            </w:r>
          </w:p>
        </w:tc>
        <w:tc>
          <w:tcPr>
            <w:tcW w:w="180" w:type="dxa"/>
            <w:vAlign w:val="bottom"/>
          </w:tcPr>
          <w:p>
            <w:pPr>
              <w:spacing w:after="0"/>
              <w:rPr>
                <w:sz w:val="18"/>
                <w:szCs w:val="18"/>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5.52</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71,981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intrinsic value of options exercised was $1,648 and $23,875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2017, respectively, and $5,539 and $27,255 during the six months ended December 31, 2016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2017, respectively. At December 31, 2017, there was $365 of total unrecognized compensation cost, net of estimated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forfeitures, related to unvested stock options granted under the Plan. That cost is expected to be recognized over a weighted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period of 1.06 years.</w:t>
      </w:r>
    </w:p>
    <w:p>
      <w:pPr>
        <w:spacing w:after="0" w:line="211"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four years following the grant date. Certain RSU awards have time-based vesting conditions while other RSU awards are based on the achievement of certain revenue and Adjusted EBITDA targets in future fiscal years. The following table represents restricted stock unit activity during the six months ended December 31,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845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41.41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December 31, 2017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line="203" w:lineRule="exact"/>
              <w:rPr>
                <w:sz w:val="20"/>
                <w:szCs w:val="20"/>
                <w:color w:val="auto"/>
              </w:rPr>
            </w:pPr>
            <w:r>
              <w:rPr>
                <w:rFonts w:ascii="Arial" w:cs="Arial" w:eastAsia="Arial" w:hAnsi="Arial"/>
                <w:sz w:val="18"/>
                <w:szCs w:val="18"/>
                <w:color w:val="auto"/>
              </w:rPr>
              <w:t>RSUs expected to vest at December 31, 2017</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1,605</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At December 31, 2017, there was $40,457 of total unrecognized compensation cost, net of estimated forfeitures, related to unvested restricted stock units granted. That cost is expected to be recognized over a weighted average period of 1.94 years.</w:t>
      </w:r>
    </w:p>
    <w:p>
      <w:pPr>
        <w:spacing w:after="0" w:line="181"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As of December 31, 2017, a total of 771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w:t>
      </w:r>
    </w:p>
    <w:p>
      <w:pPr>
        <w:jc w:val="both"/>
        <w:ind w:right="240"/>
        <w:spacing w:after="0" w:line="323" w:lineRule="auto"/>
        <w:rPr>
          <w:sz w:val="20"/>
          <w:szCs w:val="20"/>
          <w:color w:val="auto"/>
        </w:rPr>
      </w:pPr>
      <w:r>
        <w:rPr>
          <w:rFonts w:ascii="Arial" w:cs="Arial" w:eastAsia="Arial" w:hAnsi="Arial"/>
          <w:sz w:val="16"/>
          <w:szCs w:val="16"/>
          <w:color w:val="auto"/>
        </w:rPr>
        <w:t>400, (b) seventy-five one hundredths percent (0.75%) of the number of shares of common stock of the Company issued and outstanding on the immediately preceding December 31, or (c) an amount determined by the Company’s board of directors.</w:t>
      </w:r>
    </w:p>
    <w:p>
      <w:pPr>
        <w:spacing w:after="0" w:line="13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Company issued 53 shares upon the completion of its six-month offering period ending November 15, 2017. The Company recorded compensation expense attributable to the ESPP of $319 and $309 for the three months ended December 31, 2016 and 2017, respectively, and $663 and $648 for the six months ended December 31, 2016 and 2017, respectively, which is included in the summary of stock-based compensation expense above. The grant date fair value of the ESPP offering periods was estimated using the following weighted average assumptions: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215"/>
        </w:trPr>
        <w:tc>
          <w:tcPr>
            <w:tcW w:w="6860" w:type="dxa"/>
            <w:vAlign w:val="bottom"/>
          </w:tcPr>
          <w:p>
            <w:pPr>
              <w:spacing w:after="0"/>
              <w:rPr>
                <w:sz w:val="18"/>
                <w:szCs w:val="18"/>
                <w:color w:val="auto"/>
              </w:rPr>
            </w:pPr>
          </w:p>
        </w:tc>
        <w:tc>
          <w:tcPr>
            <w:tcW w:w="22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w:t>
            </w:r>
          </w:p>
        </w:tc>
      </w:tr>
      <w:tr>
        <w:trPr>
          <w:trHeight w:val="210"/>
        </w:trPr>
        <w:tc>
          <w:tcPr>
            <w:tcW w:w="68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38.9 - 53.4 %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28.3 - 39.1 %</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Expected term (years)</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r>
      <w:tr>
        <w:trPr>
          <w:trHeight w:val="230"/>
        </w:trPr>
        <w:tc>
          <w:tcPr>
            <w:tcW w:w="686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0.28 - 0.61 %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1.02 - 1.35 %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$775 and $995 for the three months ended December 31, 2016 and 2017, respectively, and $1,677 and $2,106 for the six months ended December 31, 2016 and 2017,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(Loss) Per Share</w:t>
      </w:r>
    </w:p>
    <w:p>
      <w:pPr>
        <w:spacing w:after="0" w:line="229" w:lineRule="exact"/>
        <w:rPr>
          <w:sz w:val="20"/>
          <w:szCs w:val="20"/>
          <w:color w:val="auto"/>
        </w:rPr>
      </w:pPr>
    </w:p>
    <w:p>
      <w:pPr>
        <w:ind w:right="220" w:firstLine="648"/>
        <w:spacing w:after="0" w:line="218" w:lineRule="exact"/>
        <w:rPr>
          <w:sz w:val="20"/>
          <w:szCs w:val="20"/>
          <w:color w:val="auto"/>
        </w:rPr>
      </w:pPr>
      <w:r>
        <w:rPr>
          <w:rFonts w:ascii="Arial" w:cs="Arial" w:eastAsia="Arial" w:hAnsi="Arial"/>
          <w:sz w:val="16"/>
          <w:szCs w:val="16"/>
          <w:color w:val="auto"/>
        </w:rPr>
        <w:t>Basic net income (loss) per common share is computed using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common shares outstanding during the period. Diluted net income (loss) per share is computed using the weighted</w:t>
      </w:r>
      <w:r>
        <w:rPr>
          <w:rFonts w:ascii="MS PGothic" w:cs="MS PGothic" w:eastAsia="MS PGothic" w:hAnsi="MS PGothic"/>
          <w:sz w:val="16"/>
          <w:szCs w:val="16"/>
          <w:color w:val="auto"/>
        </w:rPr>
        <w:t>‑</w:t>
      </w:r>
      <w:r>
        <w:rPr>
          <w:rFonts w:ascii="Arial" w:cs="Arial" w:eastAsia="Arial" w:hAnsi="Arial"/>
          <w:sz w:val="16"/>
          <w:szCs w:val="16"/>
          <w:color w:val="auto"/>
        </w:rPr>
        <w:t>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(loss) per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(1,671)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(4,239)</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Weighted-average shares used in computing net income (loss)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51,384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52,502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51,308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52,197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Employee stock options and restricted stock units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51,384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54,818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51,308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54,639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5480" w:type="dxa"/>
            <w:vAlign w:val="bottom"/>
            <w:gridSpan w:val="2"/>
          </w:tcPr>
          <w:p>
            <w:pPr>
              <w:jc w:val="right"/>
              <w:ind w:right="77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40"/>
          </w:cols>
          <w:pgMar w:left="1420" w:top="125" w:right="13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following table summarizes the outstanding employee stock options, restricted stock units, and shares purchasable via the employee stock purchase plan as of the balance sheet date that were excluded from the diluted per share calculation for the periods presented because to include them would have been anti-dilutive: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3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220" w:type="dxa"/>
            <w:vAlign w:val="bottom"/>
          </w:tcPr>
          <w:p>
            <w:pPr>
              <w:spacing w:after="0"/>
              <w:rPr>
                <w:sz w:val="14"/>
                <w:szCs w:val="14"/>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spacing w:after="0"/>
              <w:rPr>
                <w:sz w:val="20"/>
                <w:szCs w:val="20"/>
                <w:color w:val="auto"/>
              </w:rPr>
            </w:pPr>
            <w:r>
              <w:rPr>
                <w:rFonts w:ascii="Arial" w:cs="Arial" w:eastAsia="Arial" w:hAnsi="Arial"/>
                <w:sz w:val="18"/>
                <w:szCs w:val="18"/>
                <w:color w:val="auto"/>
              </w:rPr>
              <w:t>1,501</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1,501</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795</w:t>
            </w:r>
          </w:p>
        </w:tc>
        <w:tc>
          <w:tcPr>
            <w:tcW w:w="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shares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7"/>
        </w:trPr>
        <w:tc>
          <w:tcPr>
            <w:tcW w:w="622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6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Company’s quarterly provision for income taxes is based on the discrete effective tax rate method.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1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recorded income tax expense (benefit) of $32 and $(157) for the three months ended December 31, 2016 and 2017 respectively, and $132 and $(76) for the six months ended December 31, 2016 and 2017, respectively. The Company’s effective tax rates for the three and six months ended December 31, 2016 and 2017 differ from statutory rates primarily due to the existence of a valuation allowance recorded against the preponderance of the net deferred tax assets.</w:t>
      </w:r>
    </w:p>
    <w:p>
      <w:pPr>
        <w:spacing w:after="0" w:line="12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Company reviews the likelihood that it will realize the benefit of its deferred tax assets and, therefore, the need for a valuation allowance on a quarterly basis. It established a valuation allowance on all of its net deferred tax assets except for deferred tax liabilities associated with indefinite-lived intangible assets during fiscal 2014, given that the Company determined that it was more likely than not that the Company would not recognize the benefits of its net operating loss carryforwards prior to their expiration. The Company has continued to carry the valuation allowance during fiscal 2017 and for the six months ended December 31, 2017. However, it is reasonably possible within this fiscal year that the Company may release all or a portion of its valuation allowance if results and other subjective evidence continue to improve such that the deferred tax assets become more likely than not to be realizable. As of December 31, 2017, the Company had no unrecognized tax benefits.</w:t>
      </w:r>
    </w:p>
    <w:p>
      <w:pPr>
        <w:spacing w:after="0" w:line="18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December 22, 2017, the Tax Cuts and Jobs Act of 2017 (the Act) was signed into law. Over the long term, the Company generally expects to benefit from the lower statutory rates provided by the Act and is currently assessing all other aspects relevant to the Company. The Company operates solely in the United States; therefore, the international provisions of the Act do not apply. In accordance with ASC 740, during the second quarter the Company modified its current federal statutory rate for the year to account for the rate change. The Company recorded a $156 income tax benefit attributable to the rate change effect on the deferred tax liability for indefinite-lived intangible assets.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response to the Act, the SEC issued SAB 118 allowing registrants to record provisional amounts to the extent a company’s accounting for the Act is incomplete. Pursuant to disclosure under SAB 118, revaluation of deferred taxes as of December 22, 2017 is incomplete. Items recorded as provisional amounts include a revaluation of deferred tax assets as of June 30, 2017. The provisional amount computed was $3,404 of income tax expense. As the Company maintains a valuation allowance against all of its deferred taxes except for a deferred tax liability related to indefinite-lived intangible assets, this expense was offset by the valuation allowance. As of December 31, 2017, the Company is still analyzing the impact of the Act with respect to the appropriate period of reversal of deferred tax assets and liabilities, as well as additional limitations on the deductibility of executive compensation and on certain meals and entertainment expenses and the related impacts to the assessment of valuation allowance. The Company needs additional time to obtain, prepare, and analyze information related to the above mentioned items before the assessment of the impact of the Act can be completed. The Company expects to complete its accounting for the effects of the Act by the end of fiscal year 2018.</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5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including declines 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adversely impacted by historically low interest rates.</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operating subsidiary Paylocity Corporation was incorporated in July 1997 as an Illinois corporation. In November 2013, we formed Paylocity Holding Corporation, a Delaware corporation, of which Paylocity Corporation is a wholly-owned subsidiary. Paylocity Holding Corporation had no operations prior to the restructuring. All of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$66.1 million for the three months ended December 31, 2016 to $83.1 million for the three months ended December 31, 2017, representing a 26% year-over-year increase. Recurring revenue increased from $128.7 million for the six months ended December 31, 2016 to $162.0 million for the six months ended December 31, 2017, representing a 26% year-over-year increase. Recurring revenue represented 96% and 97% of total revenue during both the three months and six months ended December 31, 2016 and 2017,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Fees from New Clients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define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percentage of recurring fees from new clients was 36% and 30% for the three months ended December 31, 2016 and 2017, respectively, and 34% and 29% for the six months ended December 31, 2016 and 2017,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or cash provided by (used in)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8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define Adjusted Gross Profit as gross profit before amortization of capitalized internal-use software costs, stock-based compensation expense and employer payroll taxes related to stock releases and option exercises. We define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(loss) before interest expense, income tax expense (benefit), depreciation and amortization expense, stock-based compensation expense and employer payroll taxes related to stock releases and option exercises. The table below sets forth our Adjusted Gross Profit, Adjusted Recurring Gross Profit and Adjusted EBITDA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9"/>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$41,194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$53,621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$ 80,494</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$ 104,732</w:t>
            </w: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$47,912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$61,504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2"/>
              </w:rPr>
              <w:t>$ 93,735</w:t>
            </w: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4"/>
              </w:rPr>
              <w:t>$ 120,450</w:t>
            </w:r>
          </w:p>
        </w:tc>
        <w:tc>
          <w:tcPr>
            <w:tcW w:w="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$ 9,870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$15,245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$ 17,841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29,837</w:t>
            </w:r>
          </w:p>
        </w:tc>
        <w:tc>
          <w:tcPr>
            <w:tcW w:w="40" w:type="dxa"/>
            <w:vAlign w:val="bottom"/>
            <w:shd w:val="clear" w:color="auto" w:fill="CCEEFF"/>
          </w:tcPr>
          <w:p>
            <w:pPr>
              <w:spacing w:after="0"/>
              <w:rPr>
                <w:sz w:val="18"/>
                <w:szCs w:val="18"/>
                <w:color w:val="auto"/>
              </w:rPr>
            </w:pPr>
          </w:p>
        </w:tc>
      </w:tr>
      <w:tr>
        <w:trPr>
          <w:trHeight w:val="355"/>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11"/>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9"/>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$38,271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$49,164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2"/>
              </w:rPr>
              <w:t>$ 74,934</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95,705</w:t>
            </w:r>
          </w:p>
        </w:tc>
        <w:tc>
          <w:tcPr>
            <w:tcW w:w="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3,314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40" w:type="dxa"/>
            <w:vAlign w:val="bottom"/>
            <w:shd w:val="clear" w:color="auto" w:fill="CCEEFF"/>
          </w:tcPr>
          <w:p>
            <w:pPr>
              <w:spacing w:after="0"/>
              <w:rPr>
                <w:sz w:val="18"/>
                <w:szCs w:val="18"/>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expense and employer payroll taxes related to</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stock releases and option exercises</w:t>
            </w: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973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1,143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2,324</w:t>
            </w:r>
          </w:p>
        </w:tc>
        <w:tc>
          <w:tcPr>
            <w:tcW w:w="40" w:type="dxa"/>
            <w:vAlign w:val="bottom"/>
          </w:tcPr>
          <w:p>
            <w:pPr>
              <w:spacing w:after="0"/>
              <w:rPr>
                <w:sz w:val="20"/>
                <w:szCs w:val="20"/>
                <w:color w:val="auto"/>
              </w:rPr>
            </w:pPr>
          </w:p>
        </w:tc>
      </w:tr>
      <w:tr>
        <w:trPr>
          <w:trHeight w:val="217"/>
        </w:trPr>
        <w:tc>
          <w:tcPr>
            <w:tcW w:w="5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41,194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53,621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80,494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$ 104,732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55"/>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12"/>
          </w:tcPr>
          <w:p>
            <w:pPr>
              <w:jc w:val="right"/>
              <w:ind w:right="220"/>
              <w:spacing w:after="0"/>
              <w:rPr>
                <w:sz w:val="20"/>
                <w:szCs w:val="20"/>
                <w:color w:val="auto"/>
              </w:rPr>
            </w:pPr>
            <w:r>
              <w:rPr>
                <w:rFonts w:ascii="Arial" w:cs="Arial" w:eastAsia="Arial" w:hAnsi="Arial"/>
                <w:sz w:val="14"/>
                <w:szCs w:val="14"/>
                <w:b w:val="1"/>
                <w:bCs w:val="1"/>
                <w:color w:val="auto"/>
                <w:w w:val="99"/>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10"/>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10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6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2017</w:t>
            </w:r>
          </w:p>
        </w:tc>
        <w:tc>
          <w:tcPr>
            <w:tcW w:w="4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8"/>
          </w:tcPr>
          <w:p>
            <w:pPr>
              <w:ind w:left="8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ind w:left="20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from Total Recurring Revenues to Adjusted Recurring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$66,078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w w:val="92"/>
              </w:rPr>
              <w:t>$83,075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87"/>
              </w:rPr>
              <w:t>$ 128,715</w:t>
            </w: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4"/>
              </w:rPr>
              <w:t>$ 161,986</w:t>
            </w:r>
          </w:p>
        </w:tc>
        <w:tc>
          <w:tcPr>
            <w:tcW w:w="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49,729</w:t>
            </w:r>
          </w:p>
        </w:tc>
        <w:tc>
          <w:tcPr>
            <w:tcW w:w="40" w:type="dxa"/>
            <w:vAlign w:val="bottom"/>
            <w:shd w:val="clear" w:color="auto" w:fill="CCEEFF"/>
          </w:tcPr>
          <w:p>
            <w:pPr>
              <w:spacing w:after="0"/>
              <w:rPr>
                <w:sz w:val="18"/>
                <w:szCs w:val="18"/>
                <w:color w:val="auto"/>
              </w:rPr>
            </w:pPr>
          </w:p>
        </w:tc>
      </w:tr>
      <w:tr>
        <w:trPr>
          <w:trHeight w:val="210"/>
        </w:trPr>
        <w:tc>
          <w:tcPr>
            <w:tcW w:w="5520" w:type="dxa"/>
            <w:vAlign w:val="bottom"/>
          </w:tcPr>
          <w:p>
            <w:pPr>
              <w:ind w:left="220"/>
              <w:spacing w:after="0"/>
              <w:rPr>
                <w:sz w:val="20"/>
                <w:szCs w:val="20"/>
                <w:color w:val="auto"/>
              </w:rPr>
            </w:pPr>
            <w:r>
              <w:rPr>
                <w:rFonts w:ascii="Arial" w:cs="Arial" w:eastAsia="Arial" w:hAnsi="Arial"/>
                <w:sz w:val="18"/>
                <w:szCs w:val="18"/>
                <w:color w:val="auto"/>
              </w:rPr>
              <w:t>Recurring gross profit</w:t>
            </w:r>
          </w:p>
        </w:tc>
        <w:tc>
          <w:tcPr>
            <w:tcW w:w="160" w:type="dxa"/>
            <w:vAlign w:val="bottom"/>
          </w:tcPr>
          <w:p>
            <w:pPr>
              <w:spacing w:after="0"/>
              <w:rPr>
                <w:sz w:val="18"/>
                <w:szCs w:val="18"/>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45,362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57,437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88,896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112,257</w:t>
            </w:r>
          </w:p>
        </w:tc>
        <w:tc>
          <w:tcPr>
            <w:tcW w:w="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40" w:type="dxa"/>
            <w:vAlign w:val="bottom"/>
            <w:shd w:val="clear" w:color="auto" w:fill="CCEEFF"/>
          </w:tcPr>
          <w:p>
            <w:pPr>
              <w:spacing w:after="0"/>
              <w:rPr>
                <w:sz w:val="18"/>
                <w:szCs w:val="18"/>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w w:val="93"/>
              </w:rPr>
              <w:t>Stock-based compensation expense and employer payroll taxes related to</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stock releases and option exercises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1,490</w:t>
            </w:r>
          </w:p>
        </w:tc>
        <w:tc>
          <w:tcPr>
            <w:tcW w:w="40" w:type="dxa"/>
            <w:vAlign w:val="bottom"/>
          </w:tcPr>
          <w:p>
            <w:pPr>
              <w:spacing w:after="0"/>
              <w:rPr>
                <w:sz w:val="20"/>
                <w:szCs w:val="20"/>
                <w:color w:val="auto"/>
              </w:rPr>
            </w:pPr>
          </w:p>
        </w:tc>
      </w:tr>
      <w:tr>
        <w:trPr>
          <w:trHeight w:val="217"/>
        </w:trPr>
        <w:tc>
          <w:tcPr>
            <w:tcW w:w="5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Recurring Gross Profit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47,912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61,504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93,735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$ 120,450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55"/>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10"/>
          </w:tcPr>
          <w:p>
            <w:pPr>
              <w:ind w:left="6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520" w:type="dxa"/>
            <w:vAlign w:val="bottom"/>
          </w:tcPr>
          <w:p>
            <w:pPr>
              <w:spacing w:after="0"/>
              <w:rPr>
                <w:sz w:val="12"/>
                <w:szCs w:val="12"/>
                <w:color w:val="auto"/>
              </w:rPr>
            </w:pPr>
          </w:p>
        </w:tc>
        <w:tc>
          <w:tcPr>
            <w:tcW w:w="380" w:type="dxa"/>
            <w:vAlign w:val="bottom"/>
            <w:gridSpan w:val="3"/>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10"/>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(Loss) to Adjusted EBITDA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8"/>
          </w:tcPr>
          <w:p>
            <w:pPr>
              <w:jc w:val="right"/>
              <w:spacing w:after="0"/>
              <w:rPr>
                <w:sz w:val="20"/>
                <w:szCs w:val="20"/>
                <w:color w:val="auto"/>
              </w:rPr>
            </w:pPr>
            <w:r>
              <w:rPr>
                <w:rFonts w:ascii="Arial" w:cs="Arial" w:eastAsia="Arial" w:hAnsi="Arial"/>
                <w:sz w:val="18"/>
                <w:szCs w:val="18"/>
                <w:color w:val="auto"/>
              </w:rPr>
              <w:t>$(1,671)</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   431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(4,239)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974</w:t>
            </w:r>
          </w:p>
        </w:tc>
        <w:tc>
          <w:tcPr>
            <w:tcW w:w="4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4,835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6,765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9,103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13,438</w:t>
            </w:r>
          </w:p>
        </w:tc>
        <w:tc>
          <w:tcPr>
            <w:tcW w:w="40" w:type="dxa"/>
            <w:vAlign w:val="bottom"/>
          </w:tcPr>
          <w:p>
            <w:pPr>
              <w:spacing w:after="0"/>
              <w:rPr>
                <w:sz w:val="18"/>
                <w:szCs w:val="18"/>
                <w:color w:val="auto"/>
              </w:rPr>
            </w:pPr>
          </w:p>
        </w:tc>
      </w:tr>
      <w:tr>
        <w:trPr>
          <w:trHeight w:val="210"/>
        </w:trPr>
        <w:tc>
          <w:tcPr>
            <w:tcW w:w="55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380" w:type="dxa"/>
            <w:vAlign w:val="bottom"/>
            <w:tcBorders>
              <w:top w:val="single" w:sz="8" w:color="CCEEFF"/>
            </w:tcBorders>
            <w:gridSpan w:val="3"/>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7,039</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14,336</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6480" w:type="dxa"/>
            <w:vAlign w:val="bottom"/>
            <w:gridSpan w:val="7"/>
          </w:tcPr>
          <w:p>
            <w:pPr>
              <w:spacing w:after="0" w:line="201" w:lineRule="exact"/>
              <w:rPr>
                <w:sz w:val="20"/>
                <w:szCs w:val="20"/>
                <w:color w:val="auto"/>
              </w:rPr>
            </w:pPr>
            <w:r>
              <w:rPr>
                <w:rFonts w:ascii="Arial" w:cs="Arial" w:eastAsia="Arial" w:hAnsi="Arial"/>
                <w:sz w:val="18"/>
                <w:szCs w:val="18"/>
                <w:color w:val="auto"/>
              </w:rPr>
              <w:t>Stock-based compensation expense and employer payroll taxes related to stock</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releases and option exercises</w:t>
            </w:r>
          </w:p>
        </w:tc>
        <w:tc>
          <w:tcPr>
            <w:tcW w:w="960" w:type="dxa"/>
            <w:vAlign w:val="bottom"/>
            <w:gridSpan w:val="6"/>
          </w:tcPr>
          <w:p>
            <w:pPr>
              <w:jc w:val="right"/>
              <w:spacing w:after="0"/>
              <w:rPr>
                <w:sz w:val="20"/>
                <w:szCs w:val="20"/>
                <w:color w:val="auto"/>
              </w:rPr>
            </w:pPr>
            <w:r>
              <w:rPr>
                <w:rFonts w:ascii="Arial" w:cs="Arial" w:eastAsia="Arial" w:hAnsi="Arial"/>
                <w:sz w:val="18"/>
                <w:szCs w:val="18"/>
                <w:color w:val="auto"/>
              </w:rPr>
              <w:t>6,674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8,206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12,845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15,501</w:t>
            </w:r>
          </w:p>
        </w:tc>
        <w:tc>
          <w:tcPr>
            <w:tcW w:w="40" w:type="dxa"/>
            <w:vAlign w:val="bottom"/>
          </w:tcPr>
          <w:p>
            <w:pPr>
              <w:spacing w:after="0"/>
              <w:rPr>
                <w:sz w:val="20"/>
                <w:szCs w:val="20"/>
                <w:color w:val="auto"/>
              </w:rPr>
            </w:pPr>
          </w:p>
        </w:tc>
      </w:tr>
      <w:tr>
        <w:trPr>
          <w:trHeight w:val="230"/>
        </w:trPr>
        <w:tc>
          <w:tcPr>
            <w:tcW w:w="5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$ 9,870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15,245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17,841</w:t>
            </w:r>
          </w:p>
        </w:tc>
        <w:tc>
          <w:tcPr>
            <w:tcW w:w="1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29,837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35"/>
        </w:trPr>
        <w:tc>
          <w:tcPr>
            <w:tcW w:w="5520" w:type="dxa"/>
            <w:vAlign w:val="bottom"/>
          </w:tcPr>
          <w:p>
            <w:pPr>
              <w:ind w:left="44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7"/>
        </w:trPr>
        <w:tc>
          <w:tcPr>
            <w:tcW w:w="5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95% of our total revenues during both the three and six months ended December 31, 2016 and 2017.</w:t>
      </w:r>
    </w:p>
    <w:p>
      <w:pPr>
        <w:spacing w:after="0" w:line="18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majority of 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$2.0 million and $3.3 million of capitalized internal-use software costs during the three months ended December 31, 2016 and 2017, respectively, and $3.6 million and $6.7 million of capitalized internal-use software costs during the six months ended December 31, 2016 and 2017,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Cost of implementation services and other consists primarily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and are typically paid within two months after the start of service. Bonuses paid to sales staff for attainment of certain performance criteria are accrued in the fiscal year in which they are earned and are subsequently paid annually in the first fiscal quarter of the following year.</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six months ended December 31, 2016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14"/>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4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4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Expensed portion of research and development</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14,523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18,169</w:t>
            </w:r>
          </w:p>
        </w:tc>
        <w:tc>
          <w:tcPr>
            <w:tcW w:w="4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26,264</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Other income generally consists of interest income related to interest received on our cash and cash equivalents, net of losses on disposal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3960" w:type="dxa"/>
            <w:vAlign w:val="bottom"/>
          </w:tcPr>
          <w:p>
            <w:pPr>
              <w:spacing w:after="0"/>
              <w:rPr>
                <w:sz w:val="12"/>
                <w:szCs w:val="12"/>
                <w:color w:val="auto"/>
              </w:rPr>
            </w:pPr>
          </w:p>
        </w:tc>
        <w:tc>
          <w:tcPr>
            <w:tcW w:w="1780" w:type="dxa"/>
            <w:vAlign w:val="bottom"/>
            <w:gridSpan w:val="2"/>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right"/>
              <w:ind w:right="271"/>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$65,347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81,292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127,267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158,586</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3,400</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1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66,078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83,075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128,715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161,986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2,576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5,518</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68,654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86,004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133,676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167,504</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revenues: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25,638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49,729</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9,667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11,202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22,070</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30,383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36,840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71,799</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38,271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49,164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95,705</w:t>
            </w:r>
          </w:p>
        </w:tc>
        <w:tc>
          <w:tcPr>
            <w:tcW w:w="4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17,735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21,598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42,778</w:t>
            </w: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18,169</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340" w:type="dxa"/>
            <w:vAlign w:val="bottom"/>
            <w:gridSpan w:val="3"/>
          </w:tcPr>
          <w:p>
            <w:pPr>
              <w:jc w:val="right"/>
              <w:spacing w:after="0"/>
              <w:rPr>
                <w:sz w:val="20"/>
                <w:szCs w:val="20"/>
                <w:color w:val="auto"/>
              </w:rPr>
            </w:pPr>
            <w:r>
              <w:rPr>
                <w:rFonts w:ascii="Arial" w:cs="Arial" w:eastAsia="Arial" w:hAnsi="Arial"/>
                <w:sz w:val="18"/>
                <w:szCs w:val="18"/>
                <w:color w:val="auto"/>
              </w:rPr>
              <w:t>14,957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18,159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34,110</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49,031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95,057</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1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648</w:t>
            </w: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168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(1,639)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(4,107)</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income (loss)</w:t>
            </w:r>
          </w:p>
        </w:tc>
        <w:tc>
          <w:tcPr>
            <w:tcW w:w="168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(1,671)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40" w:type="dxa"/>
            <w:vAlign w:val="bottom"/>
          </w:tcPr>
          <w:p>
            <w:pPr>
              <w:spacing w:after="0"/>
              <w:rPr>
                <w:sz w:val="18"/>
                <w:szCs w:val="18"/>
                <w:color w:val="auto"/>
              </w:rPr>
            </w:pPr>
          </w:p>
        </w:tc>
      </w:tr>
      <w:tr>
        <w:trPr>
          <w:trHeight w:val="648"/>
        </w:trPr>
        <w:tc>
          <w:tcPr>
            <w:tcW w:w="3960" w:type="dxa"/>
            <w:vAlign w:val="bottom"/>
          </w:tcPr>
          <w:p>
            <w:pPr>
              <w:spacing w:after="0"/>
              <w:rPr>
                <w:sz w:val="24"/>
                <w:szCs w:val="24"/>
                <w:color w:val="auto"/>
              </w:rPr>
            </w:pPr>
          </w:p>
        </w:tc>
        <w:tc>
          <w:tcPr>
            <w:tcW w:w="1680" w:type="dxa"/>
            <w:vAlign w:val="bottom"/>
          </w:tcPr>
          <w:p>
            <w:pPr>
              <w:jc w:val="right"/>
              <w:ind w:right="9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7"/>
        </w:trPr>
        <w:tc>
          <w:tcPr>
            <w:tcW w:w="39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7"/>
            <w:vMerge w:val="restart"/>
          </w:tcPr>
          <w:p>
            <w:pPr>
              <w:jc w:val="right"/>
              <w:ind w:right="29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6"/>
          </w:tcPr>
          <w:p>
            <w:pPr>
              <w:jc w:val="center"/>
              <w:ind w:left="357"/>
              <w:spacing w:after="0" w:line="149" w:lineRule="exact"/>
              <w:rPr>
                <w:sz w:val="20"/>
                <w:szCs w:val="20"/>
                <w:color w:val="auto"/>
              </w:rPr>
            </w:pPr>
            <w:r>
              <w:rPr>
                <w:rFonts w:ascii="Arial" w:cs="Arial" w:eastAsia="Arial" w:hAnsi="Arial"/>
                <w:sz w:val="14"/>
                <w:szCs w:val="14"/>
                <w:b w:val="1"/>
                <w:bCs w:val="1"/>
                <w:color w:val="auto"/>
                <w:w w:val="93"/>
              </w:rPr>
              <w:t>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7"/>
          </w:tcPr>
          <w:p>
            <w:pPr>
              <w:jc w:val="right"/>
              <w:ind w:right="4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14 %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26 %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22 %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0 %</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8"/>
                <w:szCs w:val="18"/>
                <w:b w:val="1"/>
                <w:bCs w:val="1"/>
                <w:color w:val="auto"/>
                <w:w w:val="94"/>
              </w:rPr>
              <w:t>Comparison of Three Months Ended December 31, 2016 and 2017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7"/>
            <w:vMerge w:val="restart"/>
          </w:tcPr>
          <w:p>
            <w:pPr>
              <w:jc w:val="right"/>
              <w:ind w:right="5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65,347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81,292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$ 15,945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95 %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95 %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left="272"/>
              <w:spacing w:after="0"/>
              <w:rPr>
                <w:sz w:val="20"/>
                <w:szCs w:val="20"/>
                <w:color w:val="auto"/>
              </w:rPr>
            </w:pPr>
            <w:r>
              <w:rPr>
                <w:rFonts w:ascii="Arial" w:cs="Arial" w:eastAsia="Arial" w:hAnsi="Arial"/>
                <w:sz w:val="18"/>
                <w:szCs w:val="18"/>
                <w:color w:val="auto"/>
                <w:w w:val="93"/>
              </w:rPr>
              <w:t>144 %</w:t>
            </w: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Recurring fees for the three months ended December 31, 2017 increased by $15.9 million, or 24%, to $81.3 million from $65.3 million for the three months ended December 31, 2016.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Interest income on funds held for clients for the three months ended December 31, 2017 increased by $1.1 million, or 144% to $1.8 million from $0.7 million for the three months ended December 31, 2016. Interest income on funds held for clients increased primarily as a result of higher average interest rates, increased average daily balances for funds held due to the addition of new clients to our client base and interest income from investing a portion of our funds held for clients in marketable securities starting in July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Implementation services and other revenue for the three months ended December 31, 2017 increased by</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$0.4 million, or 14%, to $2.9 million from $2.6 million for the three months ended December 31, 2016 primarily due to the changes in the number of new clients and product mix quarter over quarter.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20,716</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$ 25,638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31 %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69 %</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9,667</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$ 11,202</w:t>
            </w:r>
          </w:p>
        </w:tc>
        <w:tc>
          <w:tcPr>
            <w:tcW w:w="200" w:type="dxa"/>
            <w:vAlign w:val="bottom"/>
          </w:tcPr>
          <w:p>
            <w:pPr>
              <w:spacing w:after="0"/>
              <w:rPr>
                <w:sz w:val="18"/>
                <w:szCs w:val="18"/>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375 %</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382 %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Cost of recurring revenues for the three months ended December 31, 2017 increased by $4.9 million, or 24%, to $25.6 million from $20.7 million for the three months ended December 31, 2016. Cost of recurring revenues increased primarily as a result of the continued growth of our business, in particular, $1.9 million in additional employee-related costs resulting from additional personnel necessary to provide services to new and existing clients, $1.5 million in delivery and other processing-related fees and $1.4 million in increased internal-use software amortization. Recurring gross margin remained consistent at 69% for the three months ended December 31, 2016 and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Cost of implementation services and other for the three months ended December 31, 2017 increased by $1.5 million, or 16%, to $11.2 million from $9.7 million for the three months ended December 31, 2016. The increase in cost of implementation services and other was primarily the result of $1.3 million of additional employee-related costs to implement our solutions for new and existing clients during the three months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9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$ 17,735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$ 21,598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2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25 %</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Sales and marketing expenses for the three months ended December 31, 2017 increased by $3.9 million, or 22%, to $21.6 million from $17.7 million for the three months ended December 31, 2016. The increase in sales and marketing expense was primarily the result of $2.8 million of additional employee-related costs from the expansion of our sales team (including management, sales engineers, direct sales, sales administration and sales lead generation support). The increase was also attributable to $0.5 million in additional stock-based compensation associated with our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7,222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9,274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2,052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Research and development expenses for the three months ended December 31, 2017 increased by $2.1 million, or 28%, to $9.3 million from $7.2 million for the three months ended December 31, 2016. The increase in research and development expense was primarily the result of $2.1 million of additional employee-related costs related to additional development personnel.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$ 14,957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$ 18,159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22 %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General and administrative expenses for the three months ended December 31, 2017 increased by $3.2 million, or 21%, to $18.2 million from $15.0 million for the three months ended December 31, 2016. The increase in general and administrative expense was primarily the result of $1.4 million of additional employee-related costs, $0.9 million of increased occupancy costs incurred as a result of our requirement for additional office space and $0.4 million in additional stock-based compensation associated with our equity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33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Percentage of total revenues</w:t>
            </w:r>
          </w:p>
        </w:tc>
        <w:tc>
          <w:tcPr>
            <w:tcW w:w="3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ind w:left="280"/>
              <w:spacing w:after="0"/>
              <w:rPr>
                <w:sz w:val="20"/>
                <w:szCs w:val="20"/>
                <w:color w:val="auto"/>
              </w:rPr>
            </w:pPr>
            <w:r>
              <w:rPr>
                <w:rFonts w:ascii="Arial" w:cs="Arial" w:eastAsia="Arial" w:hAnsi="Arial"/>
                <w:sz w:val="18"/>
                <w:szCs w:val="18"/>
                <w:color w:val="auto"/>
              </w:rPr>
              <w:t>Not Meaningful</w:t>
            </w:r>
          </w:p>
        </w:tc>
        <w:tc>
          <w:tcPr>
            <w:tcW w:w="3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income for the three months ended December 31, 2017 was not materially different as compared to the three months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Income tax expense (benefit)</w:t>
            </w:r>
          </w:p>
        </w:tc>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(189)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Percentage of total revenues</w:t>
            </w: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ind w:left="280"/>
              <w:spacing w:after="0"/>
              <w:rPr>
                <w:sz w:val="20"/>
                <w:szCs w:val="20"/>
                <w:color w:val="auto"/>
              </w:rPr>
            </w:pPr>
            <w:r>
              <w:rPr>
                <w:rFonts w:ascii="Arial" w:cs="Arial" w:eastAsia="Arial" w:hAnsi="Arial"/>
                <w:sz w:val="18"/>
                <w:szCs w:val="18"/>
                <w:color w:val="auto"/>
              </w:rPr>
              <w:t>Not Meaningful</w:t>
            </w: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difference in income tax expense (benefit) for the three months ended December 31, 2017 as compared to the three months ended December 31, 2016 was primarily due to the revaluation of deferred taxes arising from the Tax Cuts and Jobs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December 31, 2016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127,267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158,586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$ 31,319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160" w:type="dxa"/>
            <w:vAlign w:val="bottom"/>
          </w:tcPr>
          <w:p>
            <w:pPr>
              <w:jc w:val="center"/>
              <w:ind w:right="1590"/>
              <w:spacing w:after="0"/>
              <w:rPr>
                <w:sz w:val="20"/>
                <w:szCs w:val="20"/>
                <w:color w:val="auto"/>
              </w:rPr>
            </w:pPr>
            <w:r>
              <w:rPr>
                <w:rFonts w:ascii="Arial" w:cs="Arial" w:eastAsia="Arial" w:hAnsi="Arial"/>
                <w:sz w:val="18"/>
                <w:szCs w:val="18"/>
                <w:color w:val="auto"/>
                <w:w w:val="88"/>
              </w:rPr>
              <w:t>Percentage of total revenues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95 %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16"/>
        </w:trPr>
        <w:tc>
          <w:tcPr>
            <w:tcW w:w="4160" w:type="dxa"/>
            <w:vAlign w:val="bottom"/>
          </w:tcPr>
          <w:p>
            <w:pPr>
              <w:jc w:val="center"/>
              <w:ind w:right="1590"/>
              <w:spacing w:after="0"/>
              <w:rPr>
                <w:sz w:val="20"/>
                <w:szCs w:val="20"/>
                <w:color w:val="auto"/>
              </w:rPr>
            </w:pPr>
            <w:r>
              <w:rPr>
                <w:rFonts w:ascii="Arial" w:cs="Arial" w:eastAsia="Arial" w:hAnsi="Arial"/>
                <w:sz w:val="18"/>
                <w:szCs w:val="18"/>
                <w:color w:val="auto"/>
                <w:w w:val="88"/>
              </w:rPr>
              <w:t>Percentage of total revenues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jc w:val="center"/>
              <w:ind w:right="1590"/>
              <w:spacing w:after="0"/>
              <w:rPr>
                <w:sz w:val="20"/>
                <w:szCs w:val="20"/>
                <w:color w:val="auto"/>
              </w:rPr>
            </w:pPr>
            <w:r>
              <w:rPr>
                <w:rFonts w:ascii="Arial" w:cs="Arial" w:eastAsia="Arial" w:hAnsi="Arial"/>
                <w:sz w:val="18"/>
                <w:szCs w:val="18"/>
                <w:color w:val="auto"/>
                <w:w w:val="90"/>
              </w:rPr>
              <w:t>Implementation services and other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4160" w:type="dxa"/>
            <w:vAlign w:val="bottom"/>
          </w:tcPr>
          <w:p>
            <w:pPr>
              <w:jc w:val="center"/>
              <w:ind w:right="1590"/>
              <w:spacing w:after="0"/>
              <w:rPr>
                <w:sz w:val="20"/>
                <w:szCs w:val="20"/>
                <w:color w:val="auto"/>
              </w:rPr>
            </w:pPr>
            <w:r>
              <w:rPr>
                <w:rFonts w:ascii="Arial" w:cs="Arial" w:eastAsia="Arial" w:hAnsi="Arial"/>
                <w:sz w:val="18"/>
                <w:szCs w:val="18"/>
                <w:color w:val="auto"/>
                <w:w w:val="88"/>
              </w:rPr>
              <w:t>Percentage of total revenues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Recurring fees for the six months ended December 31, 2017 increased by $31.3 million, or 25%, to $158.6 million from $127.3 million for the six months ended December 31, 2016.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Interest income on funds held for clients for the six months ended December 31, 2017 increased by $2.0 million, or 135% to $3.4 million from $1.4 million for the six months ended December 31, 2016. Interest income on funds held for clients increased primarily as a result of higher average interest rates, increased average daily balances for funds held due to the addition of new clients to our client base and interest income from investing a portion of our funds held for clients in marketable securities starting in July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Implementation services and other revenue for the six months ended December 31, 2017 increased by $0.6 million, or 11%, to $5.5 million from $5.0 million for the six months ended December 31, 2016 primarily due to the changes in the number of new clients and product mix period over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9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$ 39,819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$ 49,729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31 %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31 %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69 %</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$ 18,923</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$ 22,070</w:t>
            </w:r>
          </w:p>
        </w:tc>
        <w:tc>
          <w:tcPr>
            <w:tcW w:w="200" w:type="dxa"/>
            <w:vAlign w:val="bottom"/>
          </w:tcPr>
          <w:p>
            <w:pPr>
              <w:spacing w:after="0"/>
              <w:rPr>
                <w:sz w:val="18"/>
                <w:szCs w:val="18"/>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381 %</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(281)%</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Cost of recurring revenues for the six months ended December 31, 2017 increased by $9.9 million, or 25%, to $49.7 million from $39.8 million for the six months ended December 31, 2016. Cost of recurring revenues increased primarily as a result of the continued growth of our business, in particular, $3.8 million in additional employee-related costs resulting from additional personnel necessary to provide services to new and existing clients, $3.1 million in increased internal-use software amortization and $2.7 million in delivery and other processing-related fees. Recurring gross margin remained consistent at 69% for the six months ended December 31, 2016 and 2017.</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Cost of implementation services and other for the six months ended December 31, 2017 increased by $3.1 million, or 17%, to $22.1 million from $18.9 million for the six months ended December 31, 2016. The increase in cost of implementation services and other was primarily the result of $2.6 million of additional employee-related costs to implement our solutions for new and existing clients during the six months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$ 35,746</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$ 42,778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7,032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Sales and marketing expenses for the six months ended December 31, 2017 increased by $7.0 million, or 20%, to $42.8 million from $35.7 million for the six months ended December 31, 2016. The increase in sales and marketing expense was primarily the result of $5.5 million of additional employee-related costs from the expansion of our sales team (including management, sales engineers, direct sales, sales administration and sales lead generation support). The increase was also attributable to $1.0 million in additional stock-based compensation associated with our equity incentive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$ 14,523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$ 18,169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3,646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Research and development expenses for the six months ended December 31, 2017 increased by $3.6 million, or 25%, to $18.2 million from $14.5 million for the six months ended December 31, 2016. The increase in research and development expense was primarily the result of $4.1 million of additional employee-related costs related to additional development personnel, partially offset by higher year-over-year capitalized internal-use software costs of $1.1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$ 28,815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$ 34,110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5,295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22 %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General and administrative expenses for the six months ended December 31, 2017 increased by $5.3 million, or 18%, to $34.1 million from $28.8 million for the six months ended December 31, 2016. The increase in general and administrative expense was primarily the result of $2.1 million of additional employee-related costs, $2.0 million of increased occupancy costs incurred as a result of our requirement for additional office space and $0.6 million in additional stock-based compensation associated with our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Percentage of total revenues</w:t>
            </w:r>
          </w:p>
        </w:tc>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ind w:left="280"/>
              <w:spacing w:after="0"/>
              <w:rPr>
                <w:sz w:val="20"/>
                <w:szCs w:val="20"/>
                <w:color w:val="auto"/>
              </w:rPr>
            </w:pPr>
            <w:r>
              <w:rPr>
                <w:rFonts w:ascii="Arial" w:cs="Arial" w:eastAsia="Arial" w:hAnsi="Arial"/>
                <w:sz w:val="18"/>
                <w:szCs w:val="18"/>
                <w:color w:val="auto"/>
              </w:rPr>
              <w:t>Not Meaningful</w:t>
            </w: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Other income for the six months ended December 31, 2017 was not materially different as compared to the six months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Income tax expense (benefit)</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(208)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Percentage of total revenues</w:t>
            </w:r>
          </w:p>
        </w:tc>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ind w:left="280"/>
              <w:spacing w:after="0"/>
              <w:rPr>
                <w:sz w:val="20"/>
                <w:szCs w:val="20"/>
                <w:color w:val="auto"/>
              </w:rPr>
            </w:pPr>
            <w:r>
              <w:rPr>
                <w:rFonts w:ascii="Arial" w:cs="Arial" w:eastAsia="Arial" w:hAnsi="Arial"/>
                <w:sz w:val="18"/>
                <w:szCs w:val="18"/>
                <w:color w:val="auto"/>
              </w:rPr>
              <w:t>Not Meaningful</w:t>
            </w: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difference in income tax expense (benefit) for the six months ended December 31, 2017 as compared to the six months ended December 31, 2016 was primarily due to the revaluation of deferred taxes arising from the Tax Cuts and Jobs Act.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9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We added a significant accounting policy related to the investment of funds held for clients in marketable securities starting in the first quarter of fiscal 2018. Refer to Note 2 of the Notes to the Unaudited Consolidated Financial Statements for additional detail around these investments. Our critical accounting policies and use of estimates are disclosed in our audited consolidated financial statements for the year ended June 30, 2017 included in our Annual Report on Form 10-K filed with the SEC on August 11,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As of December 31, 2017, our principal source of liquidity was $111.0 million of cash and cash equivalents.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seek to establish borrowing capacity to satisfy those needs.</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of each payroll cycle. Funds held for clients are primarily placed in demand deposit accounts with various financial institutions. We also invest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portion of the funds held for clients in highly liquid, investment-grade marketable securities. Funds held for clients are used for the repayment of client fund obligations.</w:t>
      </w:r>
    </w:p>
    <w:p>
      <w:pPr>
        <w:spacing w:after="0" w:line="170"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We believe our current cash and cash equivalents and cash flow from operations will be sufficient to meet our working capital, capital expenditure and other investment requirements for at least the next 12 months.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7"/>
          </w:tcPr>
          <w:p>
            <w:pPr>
              <w:ind w:left="60"/>
              <w:spacing w:after="0"/>
              <w:rPr>
                <w:sz w:val="20"/>
                <w:szCs w:val="20"/>
                <w:color w:val="auto"/>
              </w:rPr>
            </w:pPr>
            <w:r>
              <w:rPr>
                <w:rFonts w:ascii="Arial" w:cs="Arial" w:eastAsia="Arial" w:hAnsi="Arial"/>
                <w:sz w:val="14"/>
                <w:szCs w:val="14"/>
                <w:b w:val="1"/>
                <w:bCs w:val="1"/>
                <w:color w:val="auto"/>
              </w:rPr>
              <w:t>Six Months Ended December 31,</w:t>
            </w:r>
          </w:p>
        </w:tc>
      </w:tr>
      <w:tr>
        <w:trPr>
          <w:trHeight w:val="142"/>
        </w:trPr>
        <w:tc>
          <w:tcPr>
            <w:tcW w:w="66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34,168</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 from funds held for clients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(95,207)</w:t>
            </w:r>
          </w:p>
        </w:tc>
      </w:tr>
      <w:tr>
        <w:trPr>
          <w:trHeight w:val="202"/>
        </w:trPr>
        <w:tc>
          <w:tcPr>
            <w:tcW w:w="6660" w:type="dxa"/>
            <w:vAlign w:val="bottom"/>
          </w:tcPr>
          <w:p>
            <w:pPr>
              <w:ind w:left="320"/>
              <w:spacing w:after="0" w:line="201" w:lineRule="exact"/>
              <w:rPr>
                <w:sz w:val="20"/>
                <w:szCs w:val="20"/>
                <w:color w:val="auto"/>
              </w:rPr>
            </w:pPr>
            <w:r>
              <w:rPr>
                <w:rFonts w:ascii="Arial" w:cs="Arial" w:eastAsia="Arial" w:hAnsi="Arial"/>
                <w:sz w:val="18"/>
                <w:szCs w:val="18"/>
                <w:color w:val="auto"/>
                <w:w w:val="92"/>
              </w:rPr>
              <w:t>Proceeds from sales and maturities of available-for-sale securities from funds held for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660" w:type="dxa"/>
            <w:vAlign w:val="bottom"/>
          </w:tcPr>
          <w:p>
            <w:pPr>
              <w:ind w:left="320"/>
              <w:spacing w:after="0"/>
              <w:rPr>
                <w:sz w:val="20"/>
                <w:szCs w:val="20"/>
                <w:color w:val="auto"/>
              </w:rPr>
            </w:pPr>
            <w:r>
              <w:rPr>
                <w:rFonts w:ascii="Arial" w:cs="Arial" w:eastAsia="Arial" w:hAnsi="Arial"/>
                <w:sz w:val="18"/>
                <w:szCs w:val="18"/>
                <w:color w:val="auto"/>
              </w:rPr>
              <w:t>clients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23,181</w:t>
            </w:r>
          </w:p>
        </w:tc>
        <w:tc>
          <w:tcPr>
            <w:tcW w:w="100" w:type="dxa"/>
            <w:vAlign w:val="bottom"/>
          </w:tcPr>
          <w:p>
            <w:pPr>
              <w:spacing w:after="0"/>
              <w:rPr>
                <w:sz w:val="20"/>
                <w:szCs w:val="20"/>
                <w:color w:val="auto"/>
              </w:rPr>
            </w:pPr>
          </w:p>
        </w:tc>
      </w:tr>
      <w:tr>
        <w:trPr>
          <w:trHeight w:val="216"/>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funds held for clients' cash and cash equivalents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(331,078)</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300"/>
              <w:spacing w:after="0"/>
              <w:rPr>
                <w:sz w:val="20"/>
                <w:szCs w:val="20"/>
                <w:color w:val="auto"/>
              </w:rPr>
            </w:pPr>
            <w:r>
              <w:rPr>
                <w:rFonts w:ascii="Arial" w:cs="Arial" w:eastAsia="Arial" w:hAnsi="Arial"/>
                <w:sz w:val="18"/>
                <w:szCs w:val="18"/>
                <w:color w:val="auto"/>
              </w:rPr>
              <w:t>Lease allowances used for tenant improvements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18"/>
                <w:szCs w:val="18"/>
                <w:color w:val="auto"/>
              </w:rPr>
            </w:pPr>
          </w:p>
        </w:tc>
      </w:tr>
      <w:tr>
        <w:trPr>
          <w:trHeight w:val="210"/>
        </w:trPr>
        <w:tc>
          <w:tcPr>
            <w:tcW w:w="66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client fund obligations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403,243</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100" w:type="dxa"/>
            <w:vAlign w:val="bottom"/>
            <w:shd w:val="clear" w:color="auto" w:fill="CCEEFF"/>
          </w:tcPr>
          <w:p>
            <w:pPr>
              <w:spacing w:after="0"/>
              <w:rPr>
                <w:sz w:val="18"/>
                <w:szCs w:val="18"/>
                <w:color w:val="auto"/>
              </w:rPr>
            </w:pPr>
          </w:p>
        </w:tc>
      </w:tr>
      <w:tr>
        <w:trPr>
          <w:trHeight w:val="210"/>
        </w:trPr>
        <w:tc>
          <w:tcPr>
            <w:tcW w:w="66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397,591</w:t>
            </w:r>
          </w:p>
        </w:tc>
        <w:tc>
          <w:tcPr>
            <w:tcW w:w="100" w:type="dxa"/>
            <w:vAlign w:val="bottom"/>
            <w:tcBorders>
              <w:bottom w:val="single" w:sz="8" w:color="CCEEFF"/>
            </w:tcBorders>
          </w:tcPr>
          <w:p>
            <w:pPr>
              <w:spacing w:after="0"/>
              <w:rPr>
                <w:sz w:val="18"/>
                <w:szCs w:val="18"/>
                <w:color w:val="auto"/>
              </w:rPr>
            </w:pPr>
          </w:p>
        </w:tc>
      </w:tr>
      <w:tr>
        <w:trPr>
          <w:trHeight w:val="217"/>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Net cash provided by operating activities was $15.4 million and $34.2 million for the six months ended December 31, 2016 and 2017, respectively. The increase in net cash provided by operating activities from the six months ended December 31, 2016 to the six months ended December 31, 2017 was primarily due to improved operating results after adjusting for non-cash items including stock-based compensation expense and depreciation and amortization expense. The increase was also due to $6.0 million received for tenant improvement allowances.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Net cash provided by (used in) investing activities was $130.8 million and $(424.2) million for the six months ended December 31, 2016 and 2017, respectively.</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Changes in net cash provided by (used in) investing activities are significantly influenced by the amount of funds held for clients at the end of a reporting period. Changes in the amount of funds held for clients from period to period will vary substantially as a result of the timing of payroll and tax obligations due. Our payroll processing activities involve the movement of significant funds from accounts of employers to employees and relevant taxing authorities. During fiscal 2017, we processed over $92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 Fluctuations in the net change in funds held for clients’ cash and cash equivalents are also impacted by the timing of purchases and sales and maturities of investments as we invest a portion of the funds held for clients in highly liquid, investment-grade marketable securities.</w:t>
      </w:r>
    </w:p>
    <w:p>
      <w:pPr>
        <w:spacing w:after="0" w:line="18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Excluding the net change in funds held for clients’ cash and cash equivalents and purchases and proceeds from sales and maturities of available-for-sale securities from funds held for clients, our net cash used in investing activities was $16.3 million and $21.1 million for the six months ended December 31, 2016 and 2017, respectively. The change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net cash used in investing activities was primarily due to $6.0 million in lease allowances used for tenant improvements, partially offset by $2.0 million in fewer purchases of property and equipment during the six months ended December 31, 2017 as compared to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60" w:firstLine="648"/>
        <w:spacing w:after="0" w:line="297" w:lineRule="auto"/>
        <w:rPr>
          <w:sz w:val="20"/>
          <w:szCs w:val="20"/>
          <w:color w:val="auto"/>
        </w:rPr>
      </w:pPr>
      <w:r>
        <w:rPr>
          <w:rFonts w:ascii="Arial" w:cs="Arial" w:eastAsia="Arial" w:hAnsi="Arial"/>
          <w:sz w:val="16"/>
          <w:szCs w:val="16"/>
          <w:color w:val="auto"/>
        </w:rPr>
        <w:t>Net cash provided by (used in) financing activities was $(150.5) million and $397.6 million for the six months ended December 31, 2016 and 2017, respectively. Excluding the net change in client fund obligations, net cash used in financing activities was $(3.3) million and $(5.7) million for the six months ended December 31, 2016 and 2017, respectively. The change in cash provided by (used in) financing activities, excluding the net change in client fund obligations, was primarily the result of higher taxes paid related to net share settlement of equity awards.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4"/>
                <w:szCs w:val="14"/>
                <w:b w:val="1"/>
                <w:bCs w:val="1"/>
                <w:color w:val="auto"/>
                <w:w w:val="99"/>
              </w:rPr>
              <w:t>Payment Due By Fiscal Period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Less than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center"/>
              <w:ind w:left="79"/>
              <w:spacing w:after="0" w:line="149" w:lineRule="exact"/>
              <w:rPr>
                <w:sz w:val="20"/>
                <w:szCs w:val="20"/>
                <w:color w:val="auto"/>
              </w:rPr>
            </w:pPr>
            <w:r>
              <w:rPr>
                <w:rFonts w:ascii="Arial" w:cs="Arial" w:eastAsia="Arial" w:hAnsi="Arial"/>
                <w:sz w:val="14"/>
                <w:szCs w:val="14"/>
                <w:b w:val="1"/>
                <w:bCs w:val="1"/>
                <w:color w:val="auto"/>
                <w:w w:val="76"/>
              </w:rPr>
              <w:t>1</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1-3 Years</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$114,062</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$ 7,799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$17,737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$17,475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$71,051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1,827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80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115,889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$ 9,181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18,182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17,475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71,051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expect to increase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$10.0 million and $8.0 million for the six months ended December 31, 2016 and 2017, respectively, exclusive of capitalized internal-use software costs of $6.3 million and $7.1 million for the same periods, respectively. During the first two quarters of fiscal 2018, we also spent $6.0 million on capital expenditures for which we received reimbursement from tenant improvement allowances.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of December 31, 2017, we had cash and cash equivalents of $111.0 million and funds held for clients of $1,345.7 million. We deposit our cash and cash equivalents and significant portions of our funds held for clients in demand deposit accounts with various financial institutions. Starting in July 2017, we invested a portion of our funds held for clients in marketable securities including commercial paper, corporate bonds and asset-backed securities which were classified as available-for-sale securities as of December 31, 2017.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 falling rate environment, a decline in interest rates would decrease our interest income earned on both cash and cash equivalents and funds held for clients. An increase in the overall interest rate environment may cause the market value of portions of our funds held for clients invested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$0.1 million as of December 31, 2017. A 25-basis point decrease in interest rates would have resulted in a $0.1 million increase in the market value of our available-for-sale securities included in funds held for clients as of December 31, 2017. Fluctuations in the value of our available-for-sale securities caused by a change in interest rates are recorded in other comprehensive income and are only realized if we sell the underlying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9"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December 31, 2017,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9"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consolidated financial statements and related notes.</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causing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If a significant number of clients elected to terminate their agreements with us, our operating results and our business would be adversely affected.</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losses in the past, and we may not be able to sustain profitability for the foreseeable future.</w:t>
      </w:r>
    </w:p>
    <w:p>
      <w:pPr>
        <w:spacing w:after="0" w:line="23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We incurred net losses of $7,110,000, $13,972,000 and $3,851,000 in fiscal 2014, fiscal 2015 and fiscal 2016, respectively. While we generated net income in fiscal 2017, it does not ensure that we will earn continued net income in future periods.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we incur significant legal, accounting and other expenses in order to comply with the rules and regulations to which we are subject to as a public company. These increased expenditures have made it harder for us to achieve and maintain profitability. We also may incur losses in the future for a number of other unforeseen reasons. Accordingly, we may incur losses in the foreseeable future.</w:t>
      </w:r>
    </w:p>
    <w:p>
      <w:pPr>
        <w:spacing w:after="0" w:line="18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business may be adversely impacted if the Patient Protection and Affordable Care Act, or the ACA, is repealed in its entirety or certain aspects of the ACA are repealed or changed.</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ACA remains subject to legislative efforts to repeal, modify or delay the implementation of all or certain aspects of the law. Generally, if the ACA is repealed or modified in whole or in part, or if implementation of certain aspects of the ACA is delayed, such repeal, modification or delay could adversely impact our existing and future business and operating results. For example, any such repeal, modification or delay could negatively impact the revenue we currently generate from our ACA Compliance solution as well as overall gross margins. While we expect continued challenges to the ACA, at this time we are unable to more precisely predict the full impact of any repeal, modification or delay in the implementation of the ACA.</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4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approximately 30% of our new sales in fiscal 2017 were referred to us from our referral network participants. In most cases, our relationships with referral network participants are informal, although in some cases, we have formalized relationships where we are a recommended vendor for their client.</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2017 we processed over $92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6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2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reduce the effectiveness of our applications and adversely affect our business.</w:t>
      </w:r>
    </w:p>
    <w:p>
      <w:pPr>
        <w:spacing w:after="0" w:line="170"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17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Our ability to deliver our payroll and HCM solutions depends on our ability to effectively implement and to transition to, and train our clients on, our solutions. We do not recognize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could be affected if we are unable to accommodate increased demand for our implementation services resulting from growth in our business.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client services may adversely affect our relationships with our clients and our financial results.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Once our applications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8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7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in the operation of our data centers could adversely affect our business.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w:t>
      </w:r>
    </w:p>
    <w:p>
      <w:pPr>
        <w:spacing w:after="0" w:line="18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Problems faced by our data center locations, with the telecommunications network providers with whom we or they contract, or with the systems by which our telecommunications providers allocate capacity among their clients,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invest funds held for our clients in liquid, investment-grade marketable securities such as corporate bonds, commercial paper, and asset-backed securities, money market securities, and other cash equivalents. We follow an established client fund investment policy and set of guidelines to monitor and help mitigate our exposure to liquidity and credit risks.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addition, these funds are held in consolidated accounts in trust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6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negative or unforeseen tax consequences.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December 2017, both houses of the U.S. Congress passed legislation, known as the Tax Cuts and Jobs Act of 2017, that was approved and signed into law. This legislation could have a material benefit or material adverse impact on our effective tax rate, tax expense and cash flow. We are in the process of evaluating the potential aggregate impact the enactment of this passed legislation will have on our financial condition, cash flows and results of operations. Any benefits associated with lower U.S. corporate tax rates could be reduced or offset by other tax changes adverse to our business or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future would have a material adverse effect on our business or operating results, our inability to license this technology could adversely affect our ability to compete.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64" w:lineRule="auto"/>
        <w:rPr>
          <w:sz w:val="20"/>
          <w:szCs w:val="20"/>
          <w:color w:val="auto"/>
        </w:rPr>
      </w:pPr>
      <w:r>
        <w:rPr>
          <w:rFonts w:ascii="Arial" w:cs="Arial" w:eastAsia="Arial" w:hAnsi="Arial"/>
          <w:sz w:val="18"/>
          <w:szCs w:val="18"/>
          <w:color w:val="auto"/>
        </w:rPr>
        <w:t>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1"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99"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7"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78" w:lineRule="exact"/>
        <w:rPr>
          <w:sz w:val="20"/>
          <w:szCs w:val="20"/>
          <w:color w:val="auto"/>
        </w:rPr>
      </w:pPr>
    </w:p>
    <w:p>
      <w:pPr>
        <w:ind w:right="39" w:firstLine="648"/>
        <w:spacing w:after="0" w:line="272" w:lineRule="auto"/>
        <w:rPr>
          <w:sz w:val="20"/>
          <w:szCs w:val="20"/>
          <w:color w:val="auto"/>
        </w:rPr>
      </w:pPr>
      <w:r>
        <w:rPr>
          <w:rFonts w:ascii="Arial" w:cs="Arial" w:eastAsia="Arial" w:hAnsi="Arial"/>
          <w:sz w:val="17"/>
          <w:szCs w:val="17"/>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78" w:lineRule="exact"/>
        <w:rPr>
          <w:sz w:val="20"/>
          <w:szCs w:val="20"/>
          <w:color w:val="auto"/>
        </w:rPr>
      </w:pPr>
    </w:p>
    <w:p>
      <w:pPr>
        <w:ind w:right="279"/>
        <w:spacing w:after="0" w:line="381" w:lineRule="auto"/>
        <w:rPr>
          <w:sz w:val="20"/>
          <w:szCs w:val="20"/>
          <w:color w:val="auto"/>
        </w:rPr>
      </w:pPr>
      <w:r>
        <w:rPr>
          <w:rFonts w:ascii="Arial" w:cs="Arial" w:eastAsia="Arial" w:hAnsi="Arial"/>
          <w:sz w:val="15"/>
          <w:szCs w:val="15"/>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01"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299"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ind w:right="259"/>
        <w:spacing w:after="0" w:line="261"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84"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unable to obtain adequate financing or financing on terms satisfactory to us when we require it, our ability to continue to support our business growth and to respond to business challenges could be significantly limited.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5"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4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00" w:right="420" w:hanging="325"/>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00" w:right="24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80"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of February 2, 2018, our directors, executive officers and holders of more than 5% of our common stock, together with their respective affiliates, beneficially owned, in the aggregate, approximately 42.2%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81" w:lineRule="exact"/>
        <w:rPr>
          <w:sz w:val="20"/>
          <w:szCs w:val="20"/>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340" w:hanging="325"/>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Threatened or actual litigation; and</w:t>
      </w:r>
    </w:p>
    <w:p>
      <w:pPr>
        <w:spacing w:after="0" w:line="225" w:lineRule="exact"/>
        <w:rPr>
          <w:rFonts w:ascii="Arial" w:cs="Arial" w:eastAsia="Arial" w:hAnsi="Arial"/>
          <w:sz w:val="18"/>
          <w:szCs w:val="18"/>
          <w:color w:val="auto"/>
        </w:rPr>
      </w:pPr>
    </w:p>
    <w:p>
      <w:pPr>
        <w:ind w:left="1300" w:right="80" w:hanging="325"/>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1"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of February 2, 2018, we had an aggregate of 52,603,746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addition, we have registered 15,092,927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public market could occur at any time. These sales, or the perception in the market that the holders of a large number of shares intend to sell shares, could reduce the market price of our common stock.</w:t>
      </w:r>
    </w:p>
    <w:p>
      <w:pPr>
        <w:spacing w:after="0" w:line="170"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46" w:lineRule="exact"/>
        <w:rPr>
          <w:sz w:val="20"/>
          <w:szCs w:val="20"/>
          <w:color w:val="auto"/>
        </w:rPr>
      </w:pPr>
    </w:p>
    <w:p>
      <w:pPr>
        <w:ind w:left="1300" w:right="24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00" w:right="68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 provision, therefore, may dissuade or discourage claimants from initiating lawsuits or claims against us or our directors and officers in forums other than Delaware.</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3"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On September 30, 2015, we completed a secondary offering of 4,301,000 shares of common stock at a price of $29.75 per share, before underwriting discounts and commissions. The offer and sale of all of the shares in the secondary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59"/>
        <w:spacing w:after="0" w:line="264" w:lineRule="auto"/>
        <w:rPr>
          <w:sz w:val="20"/>
          <w:szCs w:val="20"/>
          <w:color w:val="auto"/>
        </w:rPr>
      </w:pPr>
      <w:r>
        <w:rPr>
          <w:rFonts w:ascii="Arial" w:cs="Arial" w:eastAsia="Arial" w:hAnsi="Arial"/>
          <w:sz w:val="18"/>
          <w:szCs w:val="18"/>
          <w:color w:val="auto"/>
        </w:rPr>
        <w:t>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information required by this Item is set forth in the Index to Exhibits immediately following this page.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40" w:type="dxa"/>
            <w:vAlign w:val="bottom"/>
            <w:gridSpan w:val="9"/>
          </w:tcPr>
          <w:p>
            <w:pPr>
              <w:ind w:left="2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2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9"/>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rPr>
            </w:pPr>
            <w:hyperlink r:id="rId63">
              <w:r>
                <w:rPr>
                  <w:rFonts w:ascii="Arial" w:cs="Arial" w:eastAsia="Arial" w:hAnsi="Arial"/>
                  <w:sz w:val="18"/>
                  <w:szCs w:val="18"/>
                  <w:color w:val="0000EE"/>
                </w:rPr>
                <w:t>First Amended and Restated Certificate of Incorporation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Corporation’s Form S-1 Registration Statement (Registration No. 333-193661).</w:t>
              </w:r>
            </w:hyperlink>
          </w:p>
        </w:tc>
        <w:tc>
          <w:tcPr>
            <w:tcW w:w="13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4"/>
              </w:rPr>
            </w:pPr>
            <w:hyperlink r:id="rId64">
              <w:r>
                <w:rPr>
                  <w:rFonts w:ascii="Arial" w:cs="Arial" w:eastAsia="Arial" w:hAnsi="Arial"/>
                  <w:sz w:val="18"/>
                  <w:szCs w:val="18"/>
                  <w:color w:val="0000EE"/>
                  <w:w w:val="94"/>
                </w:rPr>
                <w:t>Amended and Restated Bylaws of Paylocity Holding 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Corporation’s Annual Report on Form 10-K for the year ended June 30, 2017 (File No. 001-36348)).</w:t>
              </w:r>
            </w:hyperlink>
          </w:p>
        </w:tc>
        <w:tc>
          <w:tcPr>
            <w:tcW w:w="480" w:type="dxa"/>
            <w:vAlign w:val="bottom"/>
            <w:tcBorders>
              <w:top w:val="single" w:sz="8" w:color="0000EE"/>
            </w:tcBorders>
            <w:gridSpan w:val="4"/>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Certification of Chief Executive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adopted pursuant to Section 302 of the Sarbanes-Oxley Act of 2002.</w:t>
              </w:r>
            </w:hyperlink>
          </w:p>
        </w:tc>
        <w:tc>
          <w:tcPr>
            <w:tcW w:w="2580" w:type="dxa"/>
            <w:vAlign w:val="bottom"/>
            <w:tcBorders>
              <w:top w:val="single" w:sz="8" w:color="0000EE"/>
            </w:tcBorders>
            <w:gridSpan w:val="6"/>
          </w:tcPr>
          <w:p>
            <w:pPr>
              <w:spacing w:after="0"/>
              <w:rPr>
                <w:sz w:val="15"/>
                <w:szCs w:val="15"/>
                <w:color w:val="auto"/>
              </w:rPr>
            </w:pPr>
          </w:p>
        </w:tc>
        <w:tc>
          <w:tcPr>
            <w:tcW w:w="360" w:type="dxa"/>
            <w:vAlign w:val="bottom"/>
            <w:gridSpan w:val="2"/>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Certification of Chief Financial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adopted pursuant to Section 302 of the Sarbanes-Oxley Act of 2002.</w:t>
              </w:r>
            </w:hyperlink>
          </w:p>
        </w:tc>
        <w:tc>
          <w:tcPr>
            <w:tcW w:w="252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2002, by Chief Executive Officer.</w:t>
              </w:r>
            </w:hyperlink>
          </w:p>
        </w:tc>
        <w:tc>
          <w:tcPr>
            <w:tcW w:w="380" w:type="dxa"/>
            <w:vAlign w:val="bottom"/>
            <w:gridSpan w:val="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Borders>
              <w:right w:val="single" w:sz="8" w:color="0000EE"/>
            </w:tcBorders>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2002, by Chief Financial Officer.</w:t>
              </w:r>
            </w:hyperlink>
          </w:p>
        </w:tc>
        <w:tc>
          <w:tcPr>
            <w:tcW w:w="5060" w:type="dxa"/>
            <w:vAlign w:val="bottom"/>
            <w:tcBorders>
              <w:top w:val="single" w:sz="8" w:color="0000EE"/>
            </w:tcBorders>
            <w:gridSpan w:val="6"/>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280" w:hanging="278"/>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280" w:hanging="277"/>
        <w:spacing w:after="0"/>
        <w:tabs>
          <w:tab w:leader="none" w:pos="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340" w:type="dxa"/>
            <w:vAlign w:val="bottom"/>
            <w:gridSpan w:val="2"/>
          </w:tcPr>
          <w:p>
            <w:pPr>
              <w:ind w:left="168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February 9, 2018</w:t>
            </w: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98"/>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280" w:type="dxa"/>
            <w:vAlign w:val="bottom"/>
          </w:tcPr>
          <w:p>
            <w:pPr>
              <w:ind w:left="168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Steven R. Beauchamp</w:t>
            </w:r>
          </w:p>
        </w:tc>
      </w:tr>
      <w:tr>
        <w:trPr>
          <w:trHeight w:val="234"/>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80" w:type="dxa"/>
            <w:vAlign w:val="bottom"/>
          </w:tcPr>
          <w:p>
            <w:pPr>
              <w:ind w:left="168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65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160"/>
              <w:spacing w:after="0"/>
              <w:rPr>
                <w:sz w:val="20"/>
                <w:szCs w:val="20"/>
                <w:color w:val="auto"/>
              </w:rPr>
            </w:pPr>
            <w:r>
              <w:rPr>
                <w:rFonts w:ascii="Arial" w:cs="Arial" w:eastAsia="Arial" w:hAnsi="Arial"/>
                <w:sz w:val="18"/>
                <w:szCs w:val="18"/>
                <w:color w:val="auto"/>
              </w:rPr>
              <w:t>February 9, 2018</w:t>
            </w:r>
          </w:p>
        </w:tc>
        <w:tc>
          <w:tcPr>
            <w:tcW w:w="2280" w:type="dxa"/>
            <w:vAlign w:val="bottom"/>
          </w:tcPr>
          <w:p>
            <w:pPr>
              <w:ind w:left="168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98"/>
        </w:trPr>
        <w:tc>
          <w:tcPr>
            <w:tcW w:w="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280" w:type="dxa"/>
            <w:vAlign w:val="bottom"/>
          </w:tcPr>
          <w:p>
            <w:pPr>
              <w:ind w:left="168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Toby J. Williams</w:t>
            </w:r>
          </w:p>
        </w:tc>
      </w:tr>
      <w:tr>
        <w:trPr>
          <w:trHeight w:val="216"/>
        </w:trPr>
        <w:tc>
          <w:tcPr>
            <w:tcW w:w="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80" w:type="dxa"/>
            <w:vAlign w:val="bottom"/>
          </w:tcPr>
          <w:p>
            <w:pPr>
              <w:ind w:left="168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w:t>
            </w:r>
          </w:p>
        </w:tc>
      </w:tr>
      <w:tr>
        <w:trPr>
          <w:trHeight w:val="234"/>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2017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February 9, 2018</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42"/>
        </w:trPr>
        <w:tc>
          <w:tcPr>
            <w:tcW w:w="5180" w:type="dxa"/>
            <w:vAlign w:val="bottom"/>
          </w:tcPr>
          <w:p>
            <w:pPr>
              <w:ind w:left="4540"/>
              <w:spacing w:after="0" w:line="142" w:lineRule="exact"/>
              <w:rPr>
                <w:sz w:val="20"/>
                <w:szCs w:val="20"/>
                <w:color w:val="auto"/>
              </w:rPr>
            </w:pPr>
            <w:r>
              <w:rPr>
                <w:rFonts w:ascii="Arial" w:cs="Arial" w:eastAsia="Arial" w:hAnsi="Arial"/>
                <w:sz w:val="16"/>
                <w:szCs w:val="16"/>
                <w:b w:val="1"/>
                <w:bCs w:val="1"/>
                <w:color w:val="auto"/>
              </w:rPr>
              <w:t>Name:</w:t>
            </w: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r>
      <w:tr>
        <w:trPr>
          <w:trHeight w:val="234"/>
        </w:trPr>
        <w:tc>
          <w:tcPr>
            <w:tcW w:w="5180" w:type="dxa"/>
            <w:vAlign w:val="bottom"/>
          </w:tcPr>
          <w:p>
            <w:pPr>
              <w:ind w:left="4540"/>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left="1280" w:hanging="395"/>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2017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February 9, 2018</w:t>
            </w: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6"/>
              </w:rPr>
              <w:t>Officer)</w:t>
            </w:r>
          </w:p>
        </w:tc>
        <w:tc>
          <w:tcPr>
            <w:tcW w:w="0" w:type="dxa"/>
            <w:vAlign w:val="bottom"/>
          </w:tcPr>
          <w:p>
            <w:pPr>
              <w:spacing w:after="0"/>
              <w:rPr>
                <w:sz w:val="1"/>
                <w:szCs w:val="1"/>
                <w:color w:val="auto"/>
              </w:rPr>
            </w:pP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December 31, 2017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0"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February 9, 2018</w:t>
      </w:r>
      <w:r>
        <w:rPr>
          <w:sz w:val="20"/>
          <w:szCs w:val="20"/>
          <w:color w:val="auto"/>
        </w:rPr>
        <w:tab/>
      </w:r>
      <w:r>
        <w:rPr>
          <w:rFonts w:ascii="Arial" w:cs="Arial" w:eastAsia="Arial" w:hAnsi="Arial"/>
          <w:sz w:val="15"/>
          <w:szCs w:val="15"/>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960"/>
        <w:spacing w:after="0" w:line="203" w:lineRule="auto"/>
        <w:rPr>
          <w:sz w:val="20"/>
          <w:szCs w:val="20"/>
          <w:color w:val="auto"/>
        </w:rPr>
      </w:pPr>
      <w:r>
        <w:rPr>
          <w:rFonts w:ascii="Arial" w:cs="Arial" w:eastAsia="Arial" w:hAnsi="Arial"/>
          <w:sz w:val="18"/>
          <w:szCs w:val="18"/>
          <w:b w:val="1"/>
          <w:bCs w:val="1"/>
          <w:color w:val="auto"/>
        </w:rPr>
        <w:t>Steven R. Beauchamp</w:t>
      </w:r>
    </w:p>
    <w:p>
      <w:pPr>
        <w:ind w:left="5900"/>
        <w:spacing w:after="0"/>
        <w:rPr>
          <w:sz w:val="20"/>
          <w:szCs w:val="20"/>
          <w:color w:val="auto"/>
        </w:rPr>
      </w:pPr>
      <w:r>
        <w:rPr>
          <w:rFonts w:ascii="Arial" w:cs="Arial" w:eastAsia="Arial" w:hAnsi="Arial"/>
          <w:sz w:val="18"/>
          <w:szCs w:val="18"/>
          <w:b w:val="1"/>
          <w:bCs w:val="1"/>
          <w:color w:val="auto"/>
        </w:rPr>
        <w:t>Chief Executive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23" w:lineRule="exact"/>
        <w:rPr>
          <w:sz w:val="20"/>
          <w:szCs w:val="20"/>
          <w:color w:val="auto"/>
        </w:rPr>
      </w:pPr>
    </w:p>
    <w:p>
      <w:pPr>
        <w:ind w:right="160" w:firstLine="441"/>
        <w:spacing w:after="0" w:line="214" w:lineRule="auto"/>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December 31, 2017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February 9, 2018</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-635</wp:posOffset>
            </wp:positionV>
            <wp:extent cx="30784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3" w:lineRule="auto"/>
        <w:rPr>
          <w:sz w:val="20"/>
          <w:szCs w:val="20"/>
          <w:color w:val="auto"/>
        </w:rPr>
      </w:pPr>
      <w:r>
        <w:rPr>
          <w:rFonts w:ascii="Arial" w:cs="Arial" w:eastAsia="Arial" w:hAnsi="Arial"/>
          <w:sz w:val="18"/>
          <w:szCs w:val="18"/>
          <w:b w:val="1"/>
          <w:bCs w:val="1"/>
          <w:color w:val="auto"/>
        </w:rPr>
        <w:t>Toby J. Williams</w:t>
      </w:r>
    </w:p>
    <w:p>
      <w:pPr>
        <w:jc w:val="center"/>
        <w:ind w:left="42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2"/>
    </w:lvl>
  </w:abstractNum>
  <w:abstractNum w:abstractNumId="4">
    <w:nsid w:val="109CF92E"/>
    <w:multiLevelType w:val="hybridMultilevel"/>
    <w:lvl w:ilvl="0">
      <w:lvlJc w:val="left"/>
      <w:lvlText w:val="(%1)"/>
      <w:numFmt w:val="lowerLetter"/>
      <w:start w:val="3"/>
    </w:lvl>
  </w:abstractNum>
  <w:abstractNum w:abstractNumId="5">
    <w:nsid w:val="DED7263"/>
    <w:multiLevelType w:val="hybridMultilevel"/>
    <w:lvl w:ilvl="0">
      <w:lvlJc w:val="left"/>
      <w:lvlText w:val="(%1)"/>
      <w:numFmt w:val="lowerLetter"/>
      <w:start w:val="4"/>
    </w:lvl>
  </w:abstractNum>
  <w:abstractNum w:abstractNumId="6">
    <w:nsid w:val="7FDCC233"/>
    <w:multiLevelType w:val="hybridMultilevel"/>
    <w:lvl w:ilvl="0">
      <w:lvlJc w:val="left"/>
      <w:lvlText w:val="(%1)"/>
      <w:numFmt w:val="lowerLetter"/>
      <w:start w:val="5"/>
    </w:lvl>
  </w:abstractNum>
  <w:abstractNum w:abstractNumId="7">
    <w:nsid w:val="1BEFD79F"/>
    <w:multiLevelType w:val="hybridMultilevel"/>
    <w:lvl w:ilvl="0">
      <w:lvlJc w:val="left"/>
      <w:lvlText w:val="(%1)"/>
      <w:numFmt w:val="lowerLetter"/>
      <w:start w:val="6"/>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2"/>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lvl w:ilvl="1">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3" Type="http://schemas.openxmlformats.org/officeDocument/2006/relationships/hyperlink" Target="http://www.sec.gov/Archives/edgar/data/1591698/000104746914000931/a2218171zex-3_2.htm" TargetMode="External"/><Relationship Id="rId64" Type="http://schemas.openxmlformats.org/officeDocument/2006/relationships/hyperlink" Target="http://www.sec.gov/Archives/edgar/data/1591698/000155837017006561/pcty-20170630ex321ac616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2019-12-29T01:38:57Z</dcterms:created>
  <dcterms:modified xsi:type="dcterms:W3CDTF">2019-12-29T01:38:57Z</dcterms:modified>
</cp:coreProperties>
</file>