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8904.xml.htm"/>
      <w:bookmarkStart w:id="1" w:name="kswkform4_1789588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Beauchamp Steven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854"/>
        <w:gridCol w:w="416"/>
        <w:gridCol w:w="895"/>
        <w:gridCol w:w="1243"/>
        <w:gridCol w:w="959"/>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1,641</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145.96</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1,271,748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8,460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147.01</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1,263,288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4,799</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147.86</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1,258,489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148.56</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1,258,389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IRIE Family Trust</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SRB 2025 GRAT</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IRIE Foundation</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194,926</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Gotham Triple Advantage Strategy LP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August 19, 2025 and amended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$145.38 to $146.37,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$146.39 to $147.39,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$147.40 to $148.36,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$148.53 to $148.61,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R. Beauchamp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483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4483</Characters>
  <CharactersWithSpaces>5209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