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x Quarterly Report 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2015</w:t>
      </w:r>
    </w:p>
    <w:p>
      <w:pPr>
        <w:spacing w:after="0" w:line="21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o Transition Report Pursuant to Section 13 or 15(d) of the Securities Exchange Act of 1934</w:t>
      </w:r>
    </w:p>
    <w:p>
      <w:pPr>
        <w:spacing w:after="0" w:line="215" w:lineRule="exact"/>
        <w:rPr>
          <w:sz w:val="24"/>
          <w:szCs w:val="24"/>
          <w:color w:val="auto"/>
        </w:rPr>
      </w:pPr>
    </w:p>
    <w:p>
      <w:pPr>
        <w:jc w:val="center"/>
        <w:ind w:right="20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PAYLOCITY HOLDING CORPORATION</w:t>
      </w:r>
    </w:p>
    <w:p>
      <w:pPr>
        <w:spacing w:after="0" w:line="46"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6400" w:type="dxa"/>
            <w:vAlign w:val="bottom"/>
            <w:gridSpan w:val="3"/>
          </w:tcPr>
          <w:p>
            <w:pPr>
              <w:jc w:val="center"/>
              <w:ind w:left="21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520" w:type="dxa"/>
            <w:vAlign w:val="bottom"/>
          </w:tcPr>
          <w:p>
            <w:pPr>
              <w:spacing w:after="0"/>
              <w:rPr>
                <w:sz w:val="20"/>
                <w:szCs w:val="20"/>
                <w:color w:val="auto"/>
              </w:rPr>
            </w:pPr>
          </w:p>
        </w:tc>
      </w:tr>
      <w:tr>
        <w:trPr>
          <w:trHeight w:val="304"/>
        </w:trPr>
        <w:tc>
          <w:tcPr>
            <w:tcW w:w="2900" w:type="dxa"/>
            <w:vAlign w:val="bottom"/>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15"/>
        </w:trPr>
        <w:tc>
          <w:tcPr>
            <w:tcW w:w="64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46-4066644</w:t>
            </w:r>
          </w:p>
        </w:tc>
      </w:tr>
      <w:tr>
        <w:trPr>
          <w:trHeight w:val="216"/>
        </w:trPr>
        <w:tc>
          <w:tcPr>
            <w:tcW w:w="64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4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3850 N. Wilke Road</w:t>
            </w:r>
          </w:p>
        </w:tc>
        <w:tc>
          <w:tcPr>
            <w:tcW w:w="1520" w:type="dxa"/>
            <w:vAlign w:val="bottom"/>
          </w:tcPr>
          <w:p>
            <w:pPr>
              <w:spacing w:after="0"/>
              <w:rPr>
                <w:sz w:val="24"/>
                <w:szCs w:val="24"/>
                <w:color w:val="auto"/>
              </w:rPr>
            </w:pPr>
          </w:p>
        </w:tc>
      </w:tr>
      <w:tr>
        <w:trPr>
          <w:trHeight w:val="220"/>
        </w:trPr>
        <w:tc>
          <w:tcPr>
            <w:tcW w:w="64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rPr>
              <w:t>Arlington Heights, Illinois</w:t>
            </w: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60004</w:t>
            </w:r>
          </w:p>
        </w:tc>
      </w:tr>
      <w:tr>
        <w:trPr>
          <w:trHeight w:val="234"/>
        </w:trPr>
        <w:tc>
          <w:tcPr>
            <w:tcW w:w="64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578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(847) 463-3200</w:t>
            </w: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4"/>
        </w:trPr>
        <w:tc>
          <w:tcPr>
            <w:tcW w:w="6400" w:type="dxa"/>
            <w:vAlign w:val="bottom"/>
            <w:gridSpan w:val="3"/>
          </w:tcPr>
          <w:p>
            <w:pPr>
              <w:jc w:val="center"/>
              <w:ind w:left="21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7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22" w:lineRule="exact"/>
        <w:rPr>
          <w:sz w:val="24"/>
          <w:szCs w:val="24"/>
          <w:color w:val="auto"/>
        </w:rPr>
      </w:pPr>
    </w:p>
    <w:p>
      <w:pPr>
        <w:sectPr>
          <w:pgSz w:w="11900" w:h="16838" w:orient="portrait"/>
          <w:cols w:equalWidth="0" w:num="4">
            <w:col w:w="1700" w:space="600"/>
            <w:col w:w="4620" w:space="720"/>
            <w:col w:w="2980" w:space="720"/>
            <w:col w:w="80"/>
          </w:cols>
          <w:pgMar w:left="240" w:top="229" w:right="239" w:bottom="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22" w:lineRule="exact"/>
        <w:rPr>
          <w:sz w:val="24"/>
          <w:szCs w:val="24"/>
          <w:color w:val="auto"/>
        </w:rPr>
      </w:pPr>
    </w:p>
    <w:p>
      <w:pPr>
        <w:sectPr>
          <w:pgSz w:w="11900" w:h="16838" w:orient="portrait"/>
          <w:cols w:equalWidth="0" w:num="5">
            <w:col w:w="1620" w:space="680"/>
            <w:col w:w="100" w:space="280"/>
            <w:col w:w="4240" w:space="720"/>
            <w:col w:w="2980" w:space="720"/>
            <w:col w:w="80"/>
          </w:cols>
          <w:pgMar w:left="240" w:top="229" w:right="239" w:bottom="0" w:gutter="0" w:footer="0" w:header="0"/>
          <w:type w:val="continuous"/>
        </w:sectPr>
      </w:pPr>
    </w:p>
    <w:p>
      <w:pPr>
        <w:spacing w:after="0" w:line="2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50,956,284 shares of Common Stock, $0.001 par value per share, as of January 29,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2015</w:t>
      </w:r>
    </w:p>
    <w:p>
      <w:pPr>
        <w:sectPr>
          <w:pgSz w:w="11900" w:h="16838" w:orient="portrait"/>
          <w:cols w:equalWidth="0" w:num="1">
            <w:col w:w="11420"/>
          </w:cols>
          <w:pgMar w:left="240" w:top="229" w:right="239" w:bottom="0" w:gutter="0" w:footer="0" w:header="0"/>
          <w:type w:val="continuous"/>
        </w:sectPr>
      </w:pPr>
    </w:p>
    <w:bookmarkStart w:id="1" w:name="page2"/>
    <w:bookmarkEnd w:id="1"/>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gridSpan w:val="6"/>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81"/>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20" w:type="dxa"/>
            <w:vAlign w:val="bottom"/>
            <w:gridSpan w:val="8"/>
          </w:tcPr>
          <w:p>
            <w:pPr>
              <w:jc w:val="center"/>
              <w:ind w:right="620"/>
              <w:spacing w:after="0"/>
              <w:rPr>
                <w:rFonts w:ascii="Times New Roman" w:cs="Times New Roman" w:eastAsia="Times New Roman" w:hAnsi="Times New Roman"/>
                <w:sz w:val="18"/>
                <w:szCs w:val="18"/>
                <w:color w:val="0000EE"/>
                <w:w w:val="98"/>
              </w:rPr>
            </w:pPr>
            <w:hyperlink w:anchor="page2">
              <w:r>
                <w:rPr>
                  <w:rFonts w:ascii="Times New Roman" w:cs="Times New Roman" w:eastAsia="Times New Roman" w:hAnsi="Times New Roman"/>
                  <w:sz w:val="18"/>
                  <w:szCs w:val="18"/>
                  <w:color w:val="0000EE"/>
                  <w:w w:val="98"/>
                </w:rPr>
                <w:t>PART I. FINANCIAL INFORMATION</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4280" w:type="dxa"/>
            <w:vAlign w:val="bottom"/>
            <w:gridSpan w:val="16"/>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ITEM 1. FINANCIAL STATEMENTS</w:t>
              </w:r>
            </w:hyperlink>
          </w:p>
        </w:tc>
        <w:tc>
          <w:tcPr>
            <w:tcW w:w="2880" w:type="dxa"/>
            <w:vAlign w:val="bottom"/>
            <w:tcBorders>
              <w:top w:val="single" w:sz="8" w:color="0000EE"/>
            </w:tcBorders>
            <w:gridSpan w:val="6"/>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r>
      <w:tr>
        <w:trPr>
          <w:trHeight w:val="412"/>
        </w:trPr>
        <w:tc>
          <w:tcPr>
            <w:tcW w:w="29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Unaudited Consolidated Balance Sheets</w:t>
              </w:r>
            </w:hyperlink>
          </w:p>
        </w:tc>
        <w:tc>
          <w:tcPr>
            <w:tcW w:w="4940" w:type="dxa"/>
            <w:vAlign w:val="bottom"/>
            <w:gridSpan w:val="14"/>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36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Unaudited Consolidated Statements of Operations</w:t>
              </w:r>
            </w:hyperlink>
          </w:p>
        </w:tc>
        <w:tc>
          <w:tcPr>
            <w:tcW w:w="4220" w:type="dxa"/>
            <w:vAlign w:val="bottom"/>
            <w:gridSpan w:val="11"/>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5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Consolidated Statement of Changes in Stockholders’ Equity</w:t>
              </w:r>
            </w:hyperlink>
          </w:p>
        </w:tc>
        <w:tc>
          <w:tcPr>
            <w:tcW w:w="270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36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Consolidated Statements of Cash Flows</w:t>
              </w:r>
            </w:hyperlink>
          </w:p>
        </w:tc>
        <w:tc>
          <w:tcPr>
            <w:tcW w:w="4160" w:type="dxa"/>
            <w:vAlign w:val="bottom"/>
            <w:gridSpan w:val="10"/>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42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Notes to the Unaudited Consolidated Financial Statements</w:t>
              </w:r>
            </w:hyperlink>
          </w:p>
        </w:tc>
        <w:tc>
          <w:tcPr>
            <w:tcW w:w="362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412"/>
        </w:trPr>
        <w:tc>
          <w:tcPr>
            <w:tcW w:w="9960" w:type="dxa"/>
            <w:vAlign w:val="bottom"/>
            <w:gridSpan w:val="28"/>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412"/>
        </w:trPr>
        <w:tc>
          <w:tcPr>
            <w:tcW w:w="6820" w:type="dxa"/>
            <w:vAlign w:val="bottom"/>
            <w:tcBorders>
              <w:top w:val="single" w:sz="8" w:color="0000EE"/>
              <w:bottom w:val="single" w:sz="8" w:color="0000EE"/>
            </w:tcBorders>
            <w:gridSpan w:val="20"/>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ITEM 3. QUANTITATIVE AND QUALITATIVE DISCLOSURES ABOUT MARKET RISK</w:t>
              </w:r>
            </w:hyperlink>
          </w:p>
        </w:tc>
        <w:tc>
          <w:tcPr>
            <w:tcW w:w="1020" w:type="dxa"/>
            <w:vAlign w:val="bottom"/>
            <w:tcBorders>
              <w:top w:val="single" w:sz="8" w:color="0000EE"/>
            </w:tcBorders>
            <w:gridSpan w:val="3"/>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7840" w:type="dxa"/>
            <w:vAlign w:val="bottom"/>
            <w:gridSpan w:val="2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4. CONTROLS AND PROCEDURES</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EE"/>
            </w:tcBorders>
            <w:gridSpan w:val="4"/>
          </w:tcPr>
          <w:p>
            <w:pPr>
              <w:jc w:val="cente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PART II. OTHER INFORMATION</w:t>
              </w:r>
            </w:hyperlink>
          </w:p>
        </w:tc>
        <w:tc>
          <w:tcPr>
            <w:tcW w:w="84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7840" w:type="dxa"/>
            <w:vAlign w:val="bottom"/>
            <w:gridSpan w:val="2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1. LEGAL PROCEEDINGS</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20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ITEM 1A. RISK FACTORS</w:t>
              </w:r>
            </w:hyperlink>
          </w:p>
        </w:tc>
        <w:tc>
          <w:tcPr>
            <w:tcW w:w="480" w:type="dxa"/>
            <w:vAlign w:val="bottom"/>
            <w:tcBorders>
              <w:top w:val="single" w:sz="8" w:color="0000EE"/>
            </w:tcBorders>
          </w:tcPr>
          <w:p>
            <w:pPr>
              <w:spacing w:after="0"/>
              <w:rPr>
                <w:sz w:val="24"/>
                <w:szCs w:val="24"/>
                <w:color w:val="auto"/>
              </w:rPr>
            </w:pPr>
          </w:p>
        </w:tc>
        <w:tc>
          <w:tcPr>
            <w:tcW w:w="5300" w:type="dxa"/>
            <w:vAlign w:val="bottom"/>
            <w:gridSpan w:val="17"/>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7840" w:type="dxa"/>
            <w:vAlign w:val="bottom"/>
            <w:gridSpan w:val="23"/>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2. UNREGISTERED SALES OF EQUITY SECURITIES AND USE OF PROCEEDS</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386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ITEM 3. DEFAULTS UPON SENIOR SECURITIES</w:t>
              </w:r>
            </w:hyperlink>
          </w:p>
        </w:tc>
        <w:tc>
          <w:tcPr>
            <w:tcW w:w="2880" w:type="dxa"/>
            <w:vAlign w:val="bottom"/>
            <w:tcBorders>
              <w:top w:val="single" w:sz="8" w:color="0000EE"/>
            </w:tcBorders>
            <w:gridSpan w:val="5"/>
          </w:tcPr>
          <w:p>
            <w:pPr>
              <w:spacing w:after="0"/>
              <w:rPr>
                <w:sz w:val="24"/>
                <w:szCs w:val="24"/>
                <w:color w:val="auto"/>
              </w:rPr>
            </w:pPr>
          </w:p>
        </w:tc>
        <w:tc>
          <w:tcPr>
            <w:tcW w:w="110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3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ITEM 4. MINE SAFETY DISCLOSURES</w:t>
              </w:r>
            </w:hyperlink>
          </w:p>
        </w:tc>
        <w:tc>
          <w:tcPr>
            <w:tcW w:w="472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25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ITEM 5. OTHER INFORMATION</w:t>
              </w:r>
            </w:hyperlink>
          </w:p>
        </w:tc>
        <w:tc>
          <w:tcPr>
            <w:tcW w:w="5280" w:type="dxa"/>
            <w:vAlign w:val="bottom"/>
            <w:gridSpan w:val="16"/>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15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ITEM 6. EXHIBITS</w:t>
              </w:r>
            </w:hyperlink>
          </w:p>
        </w:tc>
        <w:tc>
          <w:tcPr>
            <w:tcW w:w="6340" w:type="dxa"/>
            <w:vAlign w:val="bottom"/>
            <w:gridSpan w:val="19"/>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7840" w:type="dxa"/>
            <w:vAlign w:val="bottom"/>
            <w:gridSpan w:val="23"/>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SIGNATURES</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453"/>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40" w:type="dxa"/>
            <w:vAlign w:val="bottom"/>
            <w:gridSpan w:val="17"/>
          </w:tcPr>
          <w:p>
            <w:pPr>
              <w:jc w:val="center"/>
              <w:ind w:left="349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00" w:type="dxa"/>
            <w:vAlign w:val="bottom"/>
            <w:tcBorders>
              <w:bottom w:val="single" w:sz="8" w:color="808080"/>
            </w:tcBorders>
            <w:gridSpan w:val="2"/>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7840" w:type="dxa"/>
            <w:vAlign w:val="bottom"/>
            <w:gridSpan w:val="2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0"/>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00" w:type="dxa"/>
            <w:vAlign w:val="bottom"/>
            <w:gridSpan w:val="5"/>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gridSpan w:val="6"/>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FINANCIAL INFORMATION</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80" w:type="dxa"/>
            <w:vAlign w:val="bottom"/>
            <w:gridSpan w:val="2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0"/>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8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PAYLOCITY HOLDING CORPORATION</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80" w:type="dxa"/>
            <w:vAlign w:val="bottom"/>
            <w:gridSpan w:val="9"/>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60" w:type="dxa"/>
            <w:vAlign w:val="bottom"/>
            <w:gridSpan w:val="7"/>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0"/>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24"/>
                <w:szCs w:val="24"/>
                <w:color w:val="auto"/>
              </w:rPr>
            </w:pPr>
          </w:p>
        </w:tc>
        <w:tc>
          <w:tcPr>
            <w:tcW w:w="13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78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81,258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79,024</w:t>
            </w:r>
          </w:p>
        </w:tc>
        <w:tc>
          <w:tcPr>
            <w:tcW w:w="40" w:type="dxa"/>
            <w:vAlign w:val="bottom"/>
          </w:tcPr>
          <w:p>
            <w:pPr>
              <w:spacing w:after="0"/>
              <w:rPr>
                <w:sz w:val="18"/>
                <w:szCs w:val="18"/>
                <w:color w:val="auto"/>
              </w:rPr>
            </w:pPr>
          </w:p>
        </w:tc>
      </w:tr>
      <w:tr>
        <w:trPr>
          <w:trHeight w:val="216"/>
        </w:trPr>
        <w:tc>
          <w:tcPr>
            <w:tcW w:w="784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1,115</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1,468</w:t>
            </w: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4,416</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5,521</w:t>
            </w:r>
          </w:p>
        </w:tc>
        <w:tc>
          <w:tcPr>
            <w:tcW w:w="40" w:type="dxa"/>
            <w:vAlign w:val="bottom"/>
          </w:tcPr>
          <w:p>
            <w:pPr>
              <w:spacing w:after="0"/>
              <w:rPr>
                <w:sz w:val="18"/>
                <w:szCs w:val="18"/>
                <w:color w:val="auto"/>
              </w:rPr>
            </w:pPr>
          </w:p>
        </w:tc>
      </w:tr>
      <w:tr>
        <w:trPr>
          <w:trHeight w:val="216"/>
        </w:trPr>
        <w:tc>
          <w:tcPr>
            <w:tcW w:w="784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775</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c>
          <w:tcPr>
            <w:tcW w:w="40" w:type="dxa"/>
            <w:vAlign w:val="bottom"/>
          </w:tcPr>
          <w:p>
            <w:pPr>
              <w:spacing w:after="0"/>
              <w:rPr>
                <w:sz w:val="18"/>
                <w:szCs w:val="18"/>
                <w:color w:val="auto"/>
              </w:rPr>
            </w:pPr>
          </w:p>
        </w:tc>
      </w:tr>
      <w:tr>
        <w:trPr>
          <w:trHeight w:val="210"/>
        </w:trPr>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840" w:type="dxa"/>
            <w:vAlign w:val="bottom"/>
            <w:gridSpan w:val="23"/>
          </w:tcPr>
          <w:p>
            <w:pPr>
              <w:ind w:left="38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87,564</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86,410</w:t>
            </w: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Funds held for clients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591,219</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883,137</w:t>
            </w:r>
          </w:p>
        </w:tc>
        <w:tc>
          <w:tcPr>
            <w:tcW w:w="4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678,783</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969,547</w:t>
            </w:r>
          </w:p>
        </w:tc>
        <w:tc>
          <w:tcPr>
            <w:tcW w:w="40" w:type="dxa"/>
            <w:vAlign w:val="bottom"/>
          </w:tcPr>
          <w:p>
            <w:pPr>
              <w:spacing w:after="0"/>
              <w:rPr>
                <w:sz w:val="18"/>
                <w:szCs w:val="18"/>
                <w:color w:val="auto"/>
              </w:rPr>
            </w:pPr>
          </w:p>
        </w:tc>
      </w:tr>
      <w:tr>
        <w:trPr>
          <w:trHeight w:val="216"/>
        </w:trPr>
        <w:tc>
          <w:tcPr>
            <w:tcW w:w="78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7,357</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9,309</w:t>
            </w:r>
          </w:p>
        </w:tc>
        <w:tc>
          <w:tcPr>
            <w:tcW w:w="40" w:type="dxa"/>
            <w:vAlign w:val="bottom"/>
          </w:tcPr>
          <w:p>
            <w:pPr>
              <w:spacing w:after="0"/>
              <w:rPr>
                <w:sz w:val="18"/>
                <w:szCs w:val="18"/>
                <w:color w:val="auto"/>
              </w:rPr>
            </w:pPr>
          </w:p>
        </w:tc>
      </w:tr>
      <w:tr>
        <w:trPr>
          <w:trHeight w:val="216"/>
        </w:trPr>
        <w:tc>
          <w:tcPr>
            <w:tcW w:w="78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16,061</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21,121</w:t>
            </w:r>
          </w:p>
        </w:tc>
        <w:tc>
          <w:tcPr>
            <w:tcW w:w="40" w:type="dxa"/>
            <w:vAlign w:val="bottom"/>
          </w:tcPr>
          <w:p>
            <w:pPr>
              <w:spacing w:after="0"/>
              <w:rPr>
                <w:sz w:val="18"/>
                <w:szCs w:val="18"/>
                <w:color w:val="auto"/>
              </w:rPr>
            </w:pPr>
          </w:p>
        </w:tc>
      </w:tr>
      <w:tr>
        <w:trPr>
          <w:trHeight w:val="216"/>
        </w:trPr>
        <w:tc>
          <w:tcPr>
            <w:tcW w:w="78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11,941</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11,180</w:t>
            </w:r>
          </w:p>
        </w:tc>
        <w:tc>
          <w:tcPr>
            <w:tcW w:w="40" w:type="dxa"/>
            <w:vAlign w:val="bottom"/>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6,003</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6,003</w:t>
            </w:r>
          </w:p>
        </w:tc>
        <w:tc>
          <w:tcPr>
            <w:tcW w:w="40" w:type="dxa"/>
            <w:vAlign w:val="bottom"/>
          </w:tcPr>
          <w:p>
            <w:pPr>
              <w:spacing w:after="0"/>
              <w:rPr>
                <w:sz w:val="18"/>
                <w:szCs w:val="18"/>
                <w:color w:val="auto"/>
              </w:rPr>
            </w:pPr>
          </w:p>
        </w:tc>
      </w:tr>
      <w:tr>
        <w:trPr>
          <w:trHeight w:val="210"/>
        </w:trPr>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-4306570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-4306570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333"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6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720,548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1,017,855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related to acquisitions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16,430</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18,268</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Client fund obligations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591,219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883,137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609,487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904,022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2,607</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6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612,968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908,066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2015 and</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2015</w:t>
            </w:r>
          </w:p>
        </w:tc>
        <w:tc>
          <w:tcPr>
            <w:tcW w:w="6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2015 and December 31, 2015;</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50,703 shares issued and outstanding at June 30, 2015 and 50,953 shares issued and outstanding at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2015</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155,672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162,481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(48,143)</w:t>
            </w:r>
          </w:p>
        </w:tc>
        <w:tc>
          <w:tcPr>
            <w:tcW w:w="3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(52,743)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107,580</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720,548</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1,017,855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fees</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32,055</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51,732</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61,197</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390</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753</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recurring revenues</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32,445</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52,347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61,950</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3,472</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34,313</w:t>
            </w: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55,184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65,422</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revenues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22,010</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11,488</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18,046</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33,498</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16,267</w:t>
            </w:r>
          </w:p>
        </w:tc>
        <w:tc>
          <w:tcPr>
            <w:tcW w:w="2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31,924</w:t>
            </w:r>
          </w:p>
        </w:tc>
        <w:tc>
          <w:tcPr>
            <w:tcW w:w="2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18,479</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9,298</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15,509</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22,733</w:t>
            </w: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43,286</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(6,386)</w:t>
            </w: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(11,233)</w:t>
            </w: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(6,420)</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(1,165)</w:t>
            </w:r>
          </w:p>
        </w:tc>
        <w:tc>
          <w:tcPr>
            <w:tcW w:w="3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(11,295)</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(0.13)</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(0.23)</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4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200" w:type="dxa"/>
            <w:vAlign w:val="bottom"/>
            <w:tcBorders>
              <w:right w:val="single" w:sz="8" w:color="CCEEFF"/>
            </w:tcBorders>
            <w:vMerge w:val="continue"/>
            <w:shd w:val="clear" w:color="auto" w:fill="CCEEFF"/>
          </w:tcPr>
          <w:p>
            <w:pPr>
              <w:spacing w:after="0"/>
              <w:rPr>
                <w:sz w:val="17"/>
                <w:szCs w:val="17"/>
                <w:color w:val="auto"/>
              </w:rPr>
            </w:pPr>
          </w:p>
        </w:tc>
        <w:tc>
          <w:tcPr>
            <w:tcW w:w="460" w:type="dxa"/>
            <w:vAlign w:val="bottom"/>
            <w:shd w:val="clear" w:color="auto" w:fill="CCEEFF"/>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6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49,775</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50,890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49,670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50,817</w:t>
            </w:r>
          </w:p>
        </w:tc>
      </w:tr>
      <w:tr>
        <w:trPr>
          <w:trHeight w:val="197"/>
        </w:trPr>
        <w:tc>
          <w:tcPr>
            <w:tcW w:w="5620" w:type="dxa"/>
            <w:vAlign w:val="bottom"/>
            <w:tcBorders>
              <w:top w:val="single" w:sz="8" w:color="CCEEFF"/>
              <w:bottom w:val="single" w:sz="8" w:color="CCEEFF"/>
            </w:tcBorders>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49,775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50,890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49,670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50,817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2340" w:type="dxa"/>
            <w:vAlign w:val="bottom"/>
            <w:gridSpan w:val="3"/>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234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440" w:type="dxa"/>
            <w:vAlign w:val="bottom"/>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2015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50,703</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(48,143)</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254</w:t>
            </w: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 of restricted</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stock</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settlement for taxes and/or exercise price related to</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awards</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w:t>
            </w:r>
          </w:p>
        </w:tc>
        <w:tc>
          <w:tcPr>
            <w:tcW w:w="90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(5,559)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2015</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50,953</w:t>
            </w: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(52,743</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940" w:type="dxa"/>
            <w:vAlign w:val="bottom"/>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(11,295)</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7,137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expenses</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Trade accounts payable</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for acquisitions</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funds held for clients</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(440,878)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(291,918)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(449,207)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client funds obligation</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440,878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follow-on offering, net of cash paid for issuance costs</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initial public offering costs</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78,848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116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89,480</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64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Build-out allowance received from landlord</w:t>
            </w:r>
          </w:p>
        </w:tc>
        <w:tc>
          <w:tcPr>
            <w:tcW w:w="1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50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460" w:type="dxa"/>
            <w:vAlign w:val="bottom"/>
            <w:tcBorders>
              <w:top w:val="single" w:sz="8" w:color="CCEEFF"/>
              <w:bottom w:val="single" w:sz="8" w:color="CCEEFF"/>
            </w:tcBorders>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color w:val="auto"/>
              </w:rPr>
              <w:t>Unpaid follow-on offering costs included in accrued expenses</w:t>
            </w: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 accrued but not paid</w:t>
            </w:r>
          </w:p>
        </w:tc>
        <w:tc>
          <w:tcPr>
            <w:tcW w:w="116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60" w:type="dxa"/>
            <w:vAlign w:val="bottom"/>
            <w:tcBorders>
              <w:bottom w:val="single" w:sz="8" w:color="CCEEFF"/>
            </w:tcBorders>
            <w:vMerge w:val="continue"/>
          </w:tcPr>
          <w:p>
            <w:pPr>
              <w:spacing w:after="0"/>
              <w:rPr>
                <w:sz w:val="20"/>
                <w:szCs w:val="20"/>
                <w:color w:val="auto"/>
              </w:rPr>
            </w:pPr>
          </w:p>
        </w:tc>
        <w:tc>
          <w:tcPr>
            <w:tcW w:w="1160" w:type="dxa"/>
            <w:vAlign w:val="bottom"/>
            <w:tcBorders>
              <w:bottom w:val="single" w:sz="8" w:color="CCEEFF"/>
            </w:tcBorders>
            <w:vMerge w:val="continue"/>
          </w:tcPr>
          <w:p>
            <w:pPr>
              <w:spacing w:after="0"/>
              <w:rPr>
                <w:sz w:val="20"/>
                <w:szCs w:val="20"/>
                <w:color w:val="auto"/>
              </w:rPr>
            </w:pPr>
          </w:p>
        </w:tc>
        <w:tc>
          <w:tcPr>
            <w:tcW w:w="6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1,366</w:t>
            </w:r>
          </w:p>
        </w:tc>
        <w:tc>
          <w:tcPr>
            <w:tcW w:w="3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62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1,531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64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1800" w:type="dxa"/>
            <w:vAlign w:val="bottom"/>
            <w:gridSpan w:val="2"/>
          </w:tcPr>
          <w:p>
            <w:pPr>
              <w:jc w:val="right"/>
              <w:ind w:right="4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18"/>
                <w:szCs w:val="18"/>
                <w:color w:val="auto"/>
              </w:rPr>
            </w:pPr>
          </w:p>
        </w:tc>
        <w:tc>
          <w:tcPr>
            <w:tcW w:w="640" w:type="dxa"/>
            <w:vAlign w:val="bottom"/>
            <w:gridSpan w:val="2"/>
          </w:tcPr>
          <w:p>
            <w:pPr>
              <w:jc w:val="right"/>
              <w:ind w:right="50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20" w:firstLine="654"/>
        <w:spacing w:after="0" w:line="261" w:lineRule="auto"/>
        <w:rPr>
          <w:sz w:val="20"/>
          <w:szCs w:val="20"/>
          <w:color w:val="auto"/>
        </w:rPr>
      </w:pPr>
      <w:r>
        <w:rPr>
          <w:rFonts w:ascii="Times New Roman" w:cs="Times New Roman" w:eastAsia="Times New Roman" w:hAnsi="Times New Roman"/>
          <w:sz w:val="18"/>
          <w:szCs w:val="18"/>
          <w:color w:val="auto"/>
        </w:rPr>
        <w:t>Paylocity Holding Corporation (the “Company”), through its wholly owned subsidiary, Paylocity Corporation,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w:t>
      </w:r>
    </w:p>
    <w:p>
      <w:pPr>
        <w:spacing w:after="0" w:line="229" w:lineRule="exact"/>
        <w:rPr>
          <w:sz w:val="20"/>
          <w:szCs w:val="20"/>
          <w:color w:val="auto"/>
        </w:rPr>
      </w:pPr>
    </w:p>
    <w:p>
      <w:pPr>
        <w:ind w:right="180" w:firstLine="654"/>
        <w:spacing w:after="0" w:line="282" w:lineRule="auto"/>
        <w:rPr>
          <w:sz w:val="20"/>
          <w:szCs w:val="20"/>
          <w:color w:val="auto"/>
        </w:rPr>
      </w:pPr>
      <w:r>
        <w:rPr>
          <w:rFonts w:ascii="Times New Roman" w:cs="Times New Roman" w:eastAsia="Times New Roman" w:hAnsi="Times New Roman"/>
          <w:sz w:val="18"/>
          <w:szCs w:val="18"/>
          <w:color w:val="auto"/>
        </w:rPr>
        <w:t>In September 2015, the Company completed a secondary offering in which its existing shareholders sold 3,740 shares of common stock at a public offering price of $29.75 per share. The Company did not receive any proceeds from the sale of common stock by the existing shareholders.</w:t>
      </w:r>
    </w:p>
    <w:p>
      <w:pPr>
        <w:spacing w:after="0" w:line="162" w:lineRule="exact"/>
        <w:rPr>
          <w:sz w:val="20"/>
          <w:szCs w:val="20"/>
          <w:color w:val="auto"/>
        </w:rPr>
      </w:pPr>
    </w:p>
    <w:p>
      <w:pPr>
        <w:ind w:right="160" w:firstLine="654"/>
        <w:spacing w:after="0" w:line="266" w:lineRule="auto"/>
        <w:rPr>
          <w:sz w:val="20"/>
          <w:szCs w:val="20"/>
          <w:color w:val="auto"/>
        </w:rPr>
      </w:pPr>
      <w:r>
        <w:rPr>
          <w:rFonts w:ascii="Times New Roman" w:cs="Times New Roman" w:eastAsia="Times New Roman" w:hAnsi="Times New Roman"/>
          <w:sz w:val="18"/>
          <w:szCs w:val="18"/>
          <w:color w:val="auto"/>
        </w:rPr>
        <w:t>In October 2015, the underwriters for the Company’s secondary offering exercised their option to purchase 561 additional shares from certain shareholders of the Company as described in the final prospectus filed with the Securities and Exchange Commission (“SEC”) on September 25, 2015. The Company did not receive any proceeds from the sale of common stock by the existing shareholders.</w:t>
      </w:r>
    </w:p>
    <w:p>
      <w:pPr>
        <w:spacing w:after="0" w:line="172" w:lineRule="exact"/>
        <w:rPr>
          <w:sz w:val="20"/>
          <w:szCs w:val="20"/>
          <w:color w:val="auto"/>
        </w:rPr>
      </w:pPr>
    </w:p>
    <w:p>
      <w:pPr>
        <w:ind w:left="300" w:hanging="247"/>
        <w:spacing w:after="0"/>
        <w:tabs>
          <w:tab w:leader="none" w:pos="300"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Consolidation and Use of Estimates</w:t>
      </w:r>
    </w:p>
    <w:p>
      <w:pPr>
        <w:spacing w:after="0" w:line="229" w:lineRule="exact"/>
        <w:rPr>
          <w:sz w:val="20"/>
          <w:szCs w:val="20"/>
          <w:color w:val="auto"/>
        </w:rPr>
      </w:pPr>
    </w:p>
    <w:p>
      <w:pPr>
        <w:ind w:right="80" w:firstLine="654"/>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subsidiary. All intercompany accounts and transactions have been eliminated in consolidation.</w:t>
      </w:r>
    </w:p>
    <w:p>
      <w:pPr>
        <w:spacing w:after="0" w:line="176" w:lineRule="exact"/>
        <w:rPr>
          <w:sz w:val="20"/>
          <w:szCs w:val="20"/>
          <w:color w:val="auto"/>
        </w:rPr>
      </w:pPr>
    </w:p>
    <w:p>
      <w:pPr>
        <w:ind w:right="120" w:firstLine="654"/>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allowance for doubtful accounts, internal-use software, valuation and useful lives of long-lived assets, definite-lived intangibles, goodwill, stock-based compensation, valuation of net deferred income tax assets and the best estimate of selling price for revenue recognition purposes.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81"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right="200" w:firstLine="654"/>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results of operations, financial position, changes in stockholders’ equity and cash flows. The results of operations for the three and six months ended December 31, 2015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2015 included in the Company’s Annual Report on Form 10-K filed with the SEC on August 14, 2015.</w:t>
      </w:r>
    </w:p>
    <w:p>
      <w:pPr>
        <w:spacing w:after="0" w:line="185"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60" w:firstLine="654"/>
        <w:spacing w:after="0" w:line="282" w:lineRule="auto"/>
        <w:rPr>
          <w:sz w:val="20"/>
          <w:szCs w:val="20"/>
          <w:color w:val="auto"/>
        </w:rPr>
      </w:pPr>
      <w:r>
        <w:rPr>
          <w:rFonts w:ascii="Times New Roman" w:cs="Times New Roman" w:eastAsia="Times New Roman" w:hAnsi="Times New Roman"/>
          <w:sz w:val="18"/>
          <w:szCs w:val="18"/>
          <w:color w:val="auto"/>
        </w:rPr>
        <w:t>Differences in the normal relationship between the income tax expense and pre-tax loss materially result from the existence of a valuation allowance recorded against the preponderance of the net deferred tax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Stock-Based Compensation</w:t>
      </w:r>
    </w:p>
    <w:p>
      <w:pPr>
        <w:sectPr>
          <w:pgSz w:w="11900" w:h="16838" w:orient="portrait"/>
          <w:cols w:equalWidth="0" w:num="1">
            <w:col w:w="11420"/>
          </w:cols>
          <w:pgMar w:left="240" w:top="140" w:right="239" w:bottom="0" w:gutter="0" w:footer="0" w:header="0"/>
        </w:sectPr>
      </w:pPr>
    </w:p>
    <w:bookmarkStart w:id="5" w:name="page6"/>
    <w:bookmarkEnd w:id="5"/>
    <w:p>
      <w:pPr>
        <w:ind w:firstLine="654"/>
        <w:spacing w:after="0" w:line="258" w:lineRule="auto"/>
        <w:rPr>
          <w:sz w:val="20"/>
          <w:szCs w:val="20"/>
          <w:color w:val="auto"/>
        </w:rPr>
      </w:pPr>
      <w:r>
        <w:rPr>
          <w:rFonts w:ascii="Times New Roman" w:cs="Times New Roman" w:eastAsia="Times New Roman" w:hAnsi="Times New Roman"/>
          <w:sz w:val="18"/>
          <w:szCs w:val="18"/>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 requisite service period for each separately vesting portion of the award. The Company estimates grant date fair value using the Black-Scholes option-pricing model and periodically updates the assumed forfeiture rates for actual experience over the option vesting term or the term of the ESPP purchase period.</w:t>
      </w:r>
    </w:p>
    <w:p>
      <w:pPr>
        <w:spacing w:after="0" w:line="180"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right="20" w:firstLine="654"/>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ASU 2014-09 supersedes a majority of existing revenue recognition guidance 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Topic 606 allows for either a “retrospective” or “cumulative effect” transition method. The original standard was effective for fiscal years beginning after December 15, 2016. In July 2015, the FASB approved a one-year deferral of this standard, with a new effective date for fiscal years beginning after December 15, 2017 with early adoption permitted as of the original effective date. The Company is currently assessing the potential effects of these changes to its consolidated financial statements and is evaluating the adoption method and timing.</w:t>
      </w:r>
    </w:p>
    <w:p>
      <w:pPr>
        <w:spacing w:after="0" w:line="185" w:lineRule="exact"/>
        <w:rPr>
          <w:sz w:val="20"/>
          <w:szCs w:val="20"/>
          <w:color w:val="auto"/>
        </w:rPr>
      </w:pPr>
    </w:p>
    <w:p>
      <w:pPr>
        <w:ind w:right="100" w:firstLine="654"/>
        <w:spacing w:after="0" w:line="259"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Balance Sheet Classification of Deferred Taxes (Topic 740)</w:t>
      </w:r>
      <w:r>
        <w:rPr>
          <w:rFonts w:ascii="Times New Roman" w:cs="Times New Roman" w:eastAsia="Times New Roman" w:hAnsi="Times New Roman"/>
          <w:sz w:val="18"/>
          <w:szCs w:val="18"/>
          <w:color w:val="auto"/>
        </w:rPr>
        <w:t xml:space="preserve"> (“ASU 2015-17”). ASU 2015-17 requires all deferred income tax assets and liabilities to be classified as non-current in a classified balance sheet. This ASU would first apply prospectively or retrospectively for fiscal years beginning after December 15, 2016. Earlier adoption is permitted as of the beginning of an interim or annual reporting period. The Company is currently assessing the potential effects of these changes to its consolidated financial statements and is evaluating the adoption method and timing.</w:t>
      </w:r>
    </w:p>
    <w:p>
      <w:pPr>
        <w:spacing w:after="0" w:line="182" w:lineRule="exact"/>
        <w:rPr>
          <w:sz w:val="20"/>
          <w:szCs w:val="20"/>
          <w:color w:val="auto"/>
        </w:rPr>
      </w:pPr>
    </w:p>
    <w:p>
      <w:pPr>
        <w:jc w:val="both"/>
        <w:ind w:right="140" w:firstLine="654"/>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Balance Sheet Information</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Activity in the allowance for doubtful accounts was as follows: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2015</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Charged to expense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24"/>
                <w:szCs w:val="24"/>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57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(17,376)</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(19,741)</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654"/>
        <w:spacing w:after="0" w:line="266" w:lineRule="auto"/>
        <w:rPr>
          <w:sz w:val="20"/>
          <w:szCs w:val="20"/>
          <w:color w:val="auto"/>
        </w:rPr>
      </w:pPr>
      <w:r>
        <w:rPr>
          <w:rFonts w:ascii="Times New Roman" w:cs="Times New Roman" w:eastAsia="Times New Roman" w:hAnsi="Times New Roman"/>
          <w:sz w:val="18"/>
          <w:szCs w:val="18"/>
          <w:color w:val="auto"/>
        </w:rPr>
        <w:t>Amortization of capitalized internal-use software costs is included in Cost of Revenues-Recurring Revenues and amounted to $685 and $1,423 for the three months ended December 31, 2014 and 2015, respectively and $1,278 and $2,365 for the six months ended December 31, 2014 and 2015,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0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15,595</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3,032</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5,094</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7,230</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3,729</w:t>
            </w:r>
          </w:p>
        </w:tc>
      </w:tr>
      <w:tr>
        <w:trPr>
          <w:trHeight w:val="210"/>
        </w:trPr>
        <w:tc>
          <w:tcPr>
            <w:tcW w:w="5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(15,968)</w:t>
            </w:r>
          </w:p>
        </w:tc>
      </w:tr>
      <w:tr>
        <w:trPr>
          <w:trHeight w:val="210"/>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54"/>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$1,354 and $1,632 for the three months ended December 31, 2014 and 2015, respectively and $2,502 and $3,029 for the six months ended December 31, 2014 and 2015,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ectPr>
          <w:pgSz w:w="11900" w:h="16838" w:orient="portrait"/>
          <w:cols w:equalWidth="0" w:num="1">
            <w:col w:w="11420"/>
          </w:cols>
          <w:pgMar w:left="240" w:top="121" w:right="239" w:bottom="0" w:gutter="0" w:footer="0" w:header="0"/>
        </w:sectPr>
      </w:pPr>
    </w:p>
    <w:p>
      <w:pPr>
        <w:spacing w:after="0" w:line="219" w:lineRule="exact"/>
        <w:rPr>
          <w:sz w:val="20"/>
          <w:szCs w:val="20"/>
          <w:color w:val="auto"/>
        </w:rPr>
      </w:pPr>
    </w:p>
    <w:p>
      <w:pPr>
        <w:ind w:left="5340"/>
        <w:spacing w:after="0"/>
        <w:tabs>
          <w:tab w:leader="none" w:pos="6800" w:val="left"/>
          <w:tab w:leader="none" w:pos="856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December 31,</w:t>
      </w:r>
      <w:r>
        <w:rPr>
          <w:sz w:val="20"/>
          <w:szCs w:val="20"/>
          <w:color w:val="auto"/>
        </w:rPr>
        <w:tab/>
      </w:r>
      <w:r>
        <w:rPr>
          <w:rFonts w:ascii="Times New Roman" w:cs="Times New Roman" w:eastAsia="Times New Roman" w:hAnsi="Times New Roman"/>
          <w:sz w:val="14"/>
          <w:szCs w:val="14"/>
          <w:b w:val="1"/>
          <w:bCs w:val="1"/>
          <w:color w:val="auto"/>
        </w:rPr>
        <w:t>Weighted</w:t>
      </w:r>
    </w:p>
    <w:p>
      <w:pPr>
        <w:spacing w:after="0" w:line="6" w:lineRule="exact"/>
        <w:rPr>
          <w:sz w:val="20"/>
          <w:szCs w:val="20"/>
          <w:color w:val="auto"/>
        </w:rPr>
      </w:pPr>
    </w:p>
    <w:p>
      <w:pPr>
        <w:ind w:left="5460"/>
        <w:spacing w:after="0"/>
        <w:tabs>
          <w:tab w:leader="none" w:pos="7080" w:val="left"/>
          <w:tab w:leader="none" w:pos="860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Average</w:t>
      </w:r>
    </w:p>
    <w:p>
      <w:pPr>
        <w:sectPr>
          <w:pgSz w:w="11900" w:h="16838" w:orient="portrait"/>
          <w:cols w:equalWidth="0" w:num="1">
            <w:col w:w="11420"/>
          </w:cols>
          <w:pgMar w:left="240" w:top="121" w:right="239" w:bottom="0" w:gutter="0" w:footer="0" w:header="0"/>
          <w:type w:val="continuous"/>
        </w:sectPr>
      </w:pPr>
    </w:p>
    <w:bookmarkStart w:id="6" w:name="page7"/>
    <w:bookmarkEnd w:id="6"/>
    <w:p>
      <w:pPr>
        <w:spacing w:after="0" w:line="11"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Useful</w:t>
            </w:r>
          </w:p>
        </w:tc>
      </w:tr>
      <w:tr>
        <w:trPr>
          <w:trHeight w:val="173"/>
        </w:trPr>
        <w:tc>
          <w:tcPr>
            <w:tcW w:w="2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w:t>
            </w: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Client relationships</w:t>
            </w:r>
          </w:p>
        </w:tc>
        <w:tc>
          <w:tcPr>
            <w:tcW w:w="9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 years</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360</w:t>
            </w:r>
          </w:p>
        </w:tc>
        <w:tc>
          <w:tcPr>
            <w:tcW w:w="4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2-3 years</w:t>
            </w: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(999)</w:t>
            </w:r>
          </w:p>
        </w:tc>
        <w:tc>
          <w:tcPr>
            <w:tcW w:w="4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(1,760)</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Amortization expense for acquired intangible assets was $190 and $381 for the three months </w:t>
      </w:r>
      <w:r>
        <w:rPr>
          <w:rFonts w:ascii="Times New Roman" w:cs="Times New Roman" w:eastAsia="Times New Roman" w:hAnsi="Times New Roman"/>
          <w:sz w:val="17"/>
          <w:szCs w:val="17"/>
          <w:color w:val="auto"/>
        </w:rPr>
        <w:t>ended December 31, 2014 and 2015, respectively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$380 and $761 for the six months ended December 31, 2014 and 2015, respectively. Future amortization expense for acquired intangible assets is as follows,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w:t>
      </w:r>
    </w:p>
    <w:p>
      <w:pPr>
        <w:spacing w:after="0" w:line="22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2016</w:t>
            </w:r>
          </w:p>
        </w:tc>
        <w:tc>
          <w:tcPr>
            <w:tcW w:w="2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Fiscal 2017</w:t>
            </w:r>
          </w:p>
        </w:tc>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1,512</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2018</w:t>
            </w:r>
          </w:p>
        </w:tc>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1,427</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1,398</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1,398</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4,683</w:t>
            </w:r>
          </w:p>
        </w:tc>
      </w:tr>
      <w:tr>
        <w:trPr>
          <w:trHeight w:val="210"/>
        </w:trPr>
        <w:tc>
          <w:tcPr>
            <w:tcW w:w="3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p>
      <w:pPr>
        <w:spacing w:after="0" w:line="20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deferred rent</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CEEFF"/>
          </w:tcPr>
          <w:p>
            <w:pPr>
              <w:spacing w:after="0"/>
              <w:rPr>
                <w:sz w:val="18"/>
                <w:szCs w:val="18"/>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229" w:lineRule="exact"/>
        <w:rPr>
          <w:sz w:val="20"/>
          <w:szCs w:val="20"/>
          <w:color w:val="auto"/>
        </w:rPr>
      </w:pPr>
    </w:p>
    <w:p>
      <w:pPr>
        <w:ind w:right="40" w:firstLine="654"/>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fair value measurement and disclosure provisions of ASC 820, Fair Value Measurements and Disclosures, and ASU 2011-04, </w:t>
      </w:r>
      <w:r>
        <w:rPr>
          <w:rFonts w:ascii="Times New Roman" w:cs="Times New Roman" w:eastAsia="Times New Roman" w:hAnsi="Times New Roman"/>
          <w:sz w:val="18"/>
          <w:szCs w:val="18"/>
          <w:i w:val="1"/>
          <w:iCs w:val="1"/>
          <w:color w:val="auto"/>
        </w:rPr>
        <w:t>Fair Value Measurement (Topic 820): Amendments to Achieve Common Fair Value Measurement and Disclosure Requirements in U.S. GAAP and IFRS</w:t>
      </w:r>
      <w:r>
        <w:rPr>
          <w:rFonts w:ascii="Times New Roman" w:cs="Times New Roman" w:eastAsia="Times New Roman" w:hAnsi="Times New Roman"/>
          <w:sz w:val="18"/>
          <w:szCs w:val="18"/>
          <w:color w:val="auto"/>
        </w:rPr>
        <w:t>. Fair value is defined as the price that would be received to sell an asset or paid to transfer a liability in an orderly transaction between market participants at the measurement date. A three-level fair value hierarchy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prioritizes the inputs used to measure fair value. The hierarchy requires entities to maximize the use of observable inputs and minimize the use of unobservable inputs. The three levels of inputs used to measure fair value are as follows:</w:t>
      </w:r>
    </w:p>
    <w:p>
      <w:pPr>
        <w:spacing w:after="0" w:line="162" w:lineRule="exact"/>
        <w:rPr>
          <w:sz w:val="20"/>
          <w:szCs w:val="20"/>
          <w:color w:val="auto"/>
        </w:rPr>
      </w:pPr>
    </w:p>
    <w:p>
      <w:pPr>
        <w:ind w:left="860" w:hanging="96"/>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ind w:left="760" w:right="520" w:firstLine="4"/>
        <w:spacing w:after="0" w:line="282" w:lineRule="auto"/>
        <w:tabs>
          <w:tab w:leader="none" w:pos="8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61" w:lineRule="exact"/>
        <w:rPr>
          <w:rFonts w:ascii="Times New Roman" w:cs="Times New Roman" w:eastAsia="Times New Roman" w:hAnsi="Times New Roman"/>
          <w:sz w:val="18"/>
          <w:szCs w:val="18"/>
          <w:color w:val="auto"/>
        </w:rPr>
      </w:pPr>
    </w:p>
    <w:p>
      <w:pPr>
        <w:ind w:left="760" w:firstLine="4"/>
        <w:spacing w:after="0" w:line="313" w:lineRule="auto"/>
        <w:tabs>
          <w:tab w:leader="none" w:pos="85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38" w:lineRule="exact"/>
        <w:rPr>
          <w:sz w:val="20"/>
          <w:szCs w:val="20"/>
          <w:color w:val="auto"/>
        </w:rPr>
      </w:pPr>
    </w:p>
    <w:p>
      <w:pPr>
        <w:ind w:right="80" w:firstLine="654"/>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assets that are measured at fair value on a recurring basis are measured using Level 1 inputs. The Company considers the recorded value of its financial assets and liabilities, which consist primarily of cash and cash equivalents, accounts receivable, and accounts payable, to approximate the fair value of the respective assets and liabilities at June 30, 2015 and December 31, 2015 based upon the short-term nature of the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Benefit Plans</w:t>
      </w:r>
    </w:p>
    <w:p>
      <w:pPr>
        <w:spacing w:after="0" w:line="225"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Equity Incentive Plan</w:t>
      </w:r>
    </w:p>
    <w:p>
      <w:pPr>
        <w:spacing w:after="0" w:line="229" w:lineRule="exact"/>
        <w:rPr>
          <w:sz w:val="20"/>
          <w:szCs w:val="20"/>
          <w:color w:val="auto"/>
        </w:rPr>
      </w:pPr>
    </w:p>
    <w:p>
      <w:pPr>
        <w:ind w:right="20" w:firstLine="654"/>
        <w:spacing w:after="0" w:line="255" w:lineRule="auto"/>
        <w:rPr>
          <w:sz w:val="20"/>
          <w:szCs w:val="20"/>
          <w:color w:val="auto"/>
        </w:rPr>
      </w:pPr>
      <w:r>
        <w:rPr>
          <w:rFonts w:ascii="Times New Roman" w:cs="Times New Roman" w:eastAsia="Times New Roman" w:hAnsi="Times New Roman"/>
          <w:sz w:val="18"/>
          <w:szCs w:val="18"/>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will increase automatically each calendar year, continuing through and including January 1, 2024. The number of shares added each year will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85" w:lineRule="exact"/>
        <w:rPr>
          <w:sz w:val="20"/>
          <w:szCs w:val="20"/>
          <w:color w:val="auto"/>
        </w:rPr>
      </w:pPr>
    </w:p>
    <w:p>
      <w:pPr>
        <w:ind w:right="120" w:firstLine="654"/>
        <w:spacing w:after="0" w:line="261" w:lineRule="auto"/>
        <w:rPr>
          <w:sz w:val="20"/>
          <w:szCs w:val="20"/>
          <w:color w:val="auto"/>
        </w:rPr>
      </w:pPr>
      <w:r>
        <w:rPr>
          <w:rFonts w:ascii="Times New Roman" w:cs="Times New Roman" w:eastAsia="Times New Roman" w:hAnsi="Times New Roman"/>
          <w:sz w:val="18"/>
          <w:szCs w:val="18"/>
          <w:color w:val="auto"/>
        </w:rPr>
        <w:t>As of December 31, 2015, the Company had 8,551 shares allocated to the plans, of which 4,761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 The following table summarizes changes during the quarter in the number of shares available for grant under our equity incentive plans:</w:t>
      </w:r>
    </w:p>
    <w:p>
      <w:pPr>
        <w:sectPr>
          <w:pgSz w:w="11900" w:h="16849" w:orient="portrait"/>
          <w:cols w:equalWidth="0" w:num="1">
            <w:col w:w="11400"/>
          </w:cols>
          <w:pgMar w:left="240" w:top="102" w:right="259" w:bottom="0" w:gutter="0" w:footer="0" w:header="0"/>
        </w:sectPr>
      </w:pPr>
    </w:p>
    <w:p>
      <w:pPr>
        <w:spacing w:after="0" w:line="174"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-3175</wp:posOffset>
            </wp:positionV>
            <wp:extent cx="5360035" cy="3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60035" cy="36195"/>
                    </a:xfrm>
                    <a:prstGeom prst="rect">
                      <a:avLst/>
                    </a:prstGeom>
                    <a:noFill/>
                  </pic:spPr>
                </pic:pic>
              </a:graphicData>
            </a:graphic>
          </wp:anchor>
        </w:drawing>
      </w:r>
    </w:p>
    <w:p>
      <w:pPr>
        <w:sectPr>
          <w:pgSz w:w="11900" w:h="16849" w:orient="portrait"/>
          <w:cols w:equalWidth="0" w:num="1">
            <w:col w:w="11400"/>
          </w:cols>
          <w:pgMar w:left="240" w:top="102" w:right="259" w:bottom="0" w:gutter="0" w:footer="0" w:header="0"/>
          <w:type w:val="continuous"/>
        </w:sectPr>
      </w:pPr>
    </w:p>
    <w:bookmarkStart w:id="7" w:name="page8"/>
    <w:bookmarkEnd w:id="7"/>
    <w:tbl>
      <w:tblPr>
        <w:tblLayout w:type="fixed"/>
        <w:tblInd w:w="580" w:type="dxa"/>
        <w:tblCellMar>
          <w:top w:w="0" w:type="dxa"/>
          <w:left w:w="0" w:type="dxa"/>
          <w:bottom w:w="0" w:type="dxa"/>
          <w:right w:w="0" w:type="dxa"/>
        </w:tblCellMar>
      </w:tblP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grant at July 1, 2015</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4,490</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(722)</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in settlement of taxes and exercise price</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Shares removed</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r>
      <w:tr>
        <w:trPr>
          <w:trHeight w:val="210"/>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grant at December 31, 2015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Shares removed represents forfeitures of shares and shares withheld in settlement of taxes and payment of exercise price related to grants made under the 2008 Plan. As noted above, no new awards will be issued under the 2008 Plan.</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options, restricted stock units (“RSUs”), and the Employee Stock Purchase Plan (as described below) is included in the following line items in the accompanying unaudited consolidated statements of operations:</w:t>
      </w:r>
    </w:p>
    <w:p>
      <w:pPr>
        <w:spacing w:after="0" w:line="143"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18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 recurring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 non-recurring</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2,118</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815</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1,384</w:t>
            </w: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shd w:val="clear" w:color="auto" w:fill="CCEEFF"/>
          </w:tcPr>
          <w:p>
            <w:pPr>
              <w:spacing w:after="0"/>
              <w:rPr>
                <w:sz w:val="18"/>
                <w:szCs w:val="18"/>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capitalized $148 and $276 of stock compensation costs in its internal use software in the three months ended December 31, 2014 and 2015, respectively and $310 and $542 in the six months ended December 31, 2014 and 2015, respectively.</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Under the 2008 and 2014 Plans, the exercise price of each option cannot be less than the fair value of a share of common stock on the grant date. The options typically vest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17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Company values stock options using the Black-Scholes option-pricing model, which requires the input of subjective assumptions, including the risk-free rate, expected life, expected stock price volatility and dividend yield. The risk-free interest rate assumption is based upon observed interest rates for U.S. Treasury securities consistent with the expected term of the Company’s employee stock options. The expected life represents the period of time the stock options are expected to be outstanding and is based on the simplified method. Under the simplified method, the expected life of an option is presumed to be the mid-point between the vesting date and the end of the contractual term. As the Company has a limited history of trading as a public company, the Company utilizes the simplified method due to the lack of sufficient historical exercise data to provide a reasonable basis upon which to otherwise estimate the expected life of the stock options. Therefore, the expected volatility is based on historical volatilities for publicly traded stock of comparable companies over the estimated expected life of the stock options. The Company assumed no dividend yield because it does not expect to pay dividends in the near future, which is consistent with the Company’s history of not paying dividends.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assumptions used for estimating the fair value of stock options granted for the six months ended December 31:</w:t>
      </w:r>
    </w:p>
    <w:p>
      <w:pPr>
        <w:spacing w:after="0" w:line="21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Period ended</w:t>
      </w:r>
    </w:p>
    <w:p>
      <w:pPr>
        <w:ind w:left="76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58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6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Valuation assumptions:</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6.25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4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39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22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table below presents stock option activity during the six months ended December 31, 2015:</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4"/>
            <w:vMerge w:val="restart"/>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4"/>
          </w:tcPr>
          <w:p>
            <w:pPr>
              <w:jc w:val="center"/>
              <w:ind w:right="1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3"/>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2015</w:t>
            </w:r>
          </w:p>
        </w:tc>
        <w:tc>
          <w:tcPr>
            <w:tcW w:w="4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98,434</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December 31, 2015</w:t>
            </w:r>
          </w:p>
        </w:tc>
        <w:tc>
          <w:tcPr>
            <w:tcW w:w="4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640" w:type="dxa"/>
            <w:vAlign w:val="bottom"/>
            <w:tcBorders>
              <w:bottom w:val="single" w:sz="8" w:color="CCEEFF"/>
            </w:tcBorders>
            <w:gridSpan w:val="2"/>
            <w:vMerge w:val="continue"/>
          </w:tcPr>
          <w:p>
            <w:pPr>
              <w:spacing w:after="0"/>
              <w:rPr>
                <w:sz w:val="20"/>
                <w:szCs w:val="20"/>
                <w:color w:val="auto"/>
              </w:rPr>
            </w:pPr>
          </w:p>
        </w:tc>
        <w:tc>
          <w:tcPr>
            <w:tcW w:w="420" w:type="dxa"/>
            <w:vAlign w:val="bottom"/>
            <w:tcBorders>
              <w:bottom w:val="single" w:sz="8" w:color="CCEEFF"/>
            </w:tcBorders>
            <w:vMerge w:val="continue"/>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1,835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6.85</w:t>
            </w:r>
          </w:p>
        </w:tc>
        <w:tc>
          <w:tcPr>
            <w:tcW w:w="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6.35</w:t>
            </w:r>
          </w:p>
        </w:tc>
        <w:tc>
          <w:tcPr>
            <w:tcW w:w="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61,842</w:t>
            </w:r>
          </w:p>
        </w:tc>
        <w:tc>
          <w:tcPr>
            <w:tcW w:w="120" w:type="dxa"/>
            <w:vAlign w:val="bottom"/>
            <w:tcBorders>
              <w:bottom w:val="single" w:sz="8" w:color="CCEEFF"/>
            </w:tcBorders>
            <w:vMerge w:val="continue"/>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4640" w:type="dxa"/>
            <w:vAlign w:val="bottom"/>
            <w:tcBorders>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Options vested and expected to vest at December 31, 2015</w:t>
            </w:r>
          </w:p>
        </w:tc>
        <w:tc>
          <w:tcPr>
            <w:tcW w:w="4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3,678</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11.83</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7.23</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105,625</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-2428240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-2428240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8" w:name="page9"/>
    <w:bookmarkEnd w:id="8"/>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There were no options granted during either of the three-month periods December 31, 2014 and 2015. The weighted average grant date fair value of options granted during the six-month period ended December 31, 2014 and 2015 was $11.15 and $12.92, respectively. The total intrinsic value of options exercised was $1,839 and $4,653 during the three-month periods ended December 31, 2014 and 2015, respectively and $2,063 and $7,588 during the six-month periods ended December 31, 2014 and 2015, respectively. At December 31, 2015, there was $4,849 of total unrecognized compensation cost, net of estimated forfeitures, related to unvested stock option granted under the Plan. That cost is expected to be recognized over a weighted average period of 1.59 years.</w:t>
      </w:r>
    </w:p>
    <w:p>
      <w:pPr>
        <w:spacing w:after="0" w:line="18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may also grant RSUs under the 2014 Plan with terms determined at the discretion of the Compensation Committee of the Company’s Board of Directors. RSUs generally vest over three or four years following the grant date. Certain RSU awards have time-based vesting conditions while other RSU awards are based on attainment of certain performance benchmarks. The following table represents restricted stock unit activity during the six months ended December 31, 2015:</w:t>
      </w:r>
    </w:p>
    <w:p>
      <w:pPr>
        <w:spacing w:after="0" w:line="161"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9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balance at July 1, 2015</w:t>
            </w:r>
          </w:p>
        </w:tc>
        <w:tc>
          <w:tcPr>
            <w:tcW w:w="9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vested</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cancelled/forfeited</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balance at December 31, 2015</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RSUs expected to vest at December 31, 2015</w:t>
            </w: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20" w:type="dxa"/>
            <w:vAlign w:val="bottom"/>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862</w:t>
            </w:r>
          </w:p>
        </w:tc>
        <w:tc>
          <w:tcPr>
            <w:tcW w:w="2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32.20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At December 31, 2015, there was $20,399 of total unrecognized compensation cost, net of estimated forfeitures, related to unvested restricted stock awards granted under the Plan. That cost is expected to be recognized over a weighted average period of 2.3 years.</w:t>
      </w:r>
    </w:p>
    <w:p>
      <w:pPr>
        <w:spacing w:after="0" w:line="158"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Company’s 2014 Employee Stock Purchase Plan (“ESPP”) was adopted by the Company’s board of directors and approved by the stockholders on February 6, 2014 and was effective upon completion of the Company’s initial public offering.</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Company’s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2015, a total of 1,003 common stock were reserved for future issuances under the ESPP. The number of shares of common stock reserved for issuance under the ESPP will increase automatically each calendar year, continuing through and including January 1, 2024. The number of shares added each year will be equal to the lesser of (a) 400, (b) seventy-five one hundredths percent (0.75%) of the number of shares of common stock of the Company issued and outstanding on the immediately preceding December 31, or (c) an amount determined by the Company’s board of directors.</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issued 50 shares upon the completion of its six-month offering period ending November 15, 2015. The Company recorded compensation expense attributable to the ESPP of $154 and $256 for the three months ended December 31, 2014 and 2015, respectively and $284 and $508 for the six months ended December 31, 2014 and 2015, respectively, which is included in the summary of stock-based compensation expense above. The grant date fair value of the ESPP offering periods was estimated using the following weighted average assumptions:</w:t>
      </w:r>
    </w:p>
    <w:p>
      <w:pPr>
        <w:spacing w:after="0" w:line="17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Period ended</w:t>
      </w:r>
    </w:p>
    <w:p>
      <w:pPr>
        <w:ind w:left="76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800" w:type="dxa"/>
        <w:tblCellMar>
          <w:top w:w="0" w:type="dxa"/>
          <w:left w:w="0" w:type="dxa"/>
          <w:bottom w:w="0" w:type="dxa"/>
          <w:right w:w="0" w:type="dxa"/>
        </w:tblCellMar>
      </w:tblPr>
      <w:tr>
        <w:trPr>
          <w:trHeight w:val="142"/>
        </w:trPr>
        <w:tc>
          <w:tcPr>
            <w:tcW w:w="58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58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Valuation assumptions: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35.5 – 41.7%</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44.1 - 48.4%</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 – 0.5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0.04 – 0.06%</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0.11 - 0.31%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401(k) plan with a safe harbor matching provision that covers all eligible employees. The Company matches 50% of the employees’ contributions up to 6% of their gross pay. Contributions were $327 and $536 for the three-month periods ended December 31, 2014 and 2015, respectively and were $709 and $1,116 for the six-month periods ended December 31, 2014 and 2015, respectively.</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Net Loss Per Share</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computed using the weighted-average number of common shares outstanding during the period. Diluted net loss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 The dilutive effect of outstanding stock options is reflected in diluted earnings per share by application of the treasury stock method. The following table presents the calculation of basic and diluted net loss per share:</w:t>
      </w:r>
    </w:p>
    <w:p>
      <w:pPr>
        <w:sectPr>
          <w:pgSz w:w="11900" w:h="16838" w:orient="portrait"/>
          <w:cols w:equalWidth="0" w:num="1">
            <w:col w:w="11420"/>
          </w:cols>
          <w:pgMar w:left="240" w:top="121" w:right="239" w:bottom="0" w:gutter="0" w:footer="0" w:header="0"/>
        </w:sectPr>
      </w:pPr>
    </w:p>
    <w:p>
      <w:pPr>
        <w:spacing w:after="0" w:line="181" w:lineRule="exact"/>
        <w:rPr>
          <w:sz w:val="20"/>
          <w:szCs w:val="20"/>
          <w:color w:val="auto"/>
        </w:rPr>
      </w:pPr>
    </w:p>
    <w:p>
      <w:pPr>
        <w:ind w:left="6440"/>
        <w:spacing w:after="0"/>
        <w:tabs>
          <w:tab w:leader="none" w:pos="9120" w:val="left"/>
        </w:tabs>
        <w:rPr>
          <w:sz w:val="20"/>
          <w:szCs w:val="20"/>
          <w:color w:val="auto"/>
        </w:rPr>
      </w:pPr>
      <w:r>
        <w:rPr>
          <w:rFonts w:ascii="Times New Roman" w:cs="Times New Roman" w:eastAsia="Times New Roman" w:hAnsi="Times New Roman"/>
          <w:sz w:val="14"/>
          <w:szCs w:val="14"/>
          <w:b w:val="1"/>
          <w:bCs w:val="1"/>
          <w:color w:val="auto"/>
        </w:rPr>
        <w:t>Three months ended</w:t>
      </w:r>
      <w:r>
        <w:rPr>
          <w:sz w:val="20"/>
          <w:szCs w:val="20"/>
          <w:color w:val="auto"/>
        </w:rPr>
        <w:tab/>
      </w:r>
      <w:r>
        <w:rPr>
          <w:rFonts w:ascii="Times New Roman" w:cs="Times New Roman" w:eastAsia="Times New Roman" w:hAnsi="Times New Roman"/>
          <w:sz w:val="14"/>
          <w:szCs w:val="14"/>
          <w:b w:val="1"/>
          <w:bCs w:val="1"/>
          <w:color w:val="auto"/>
        </w:rPr>
        <w:t>Six months ended</w:t>
      </w:r>
    </w:p>
    <w:p>
      <w:pPr>
        <w:sectPr>
          <w:pgSz w:w="11900" w:h="16838" w:orient="portrait"/>
          <w:cols w:equalWidth="0" w:num="1">
            <w:col w:w="11420"/>
          </w:cols>
          <w:pgMar w:left="240" w:top="121" w:right="2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520" w:type="dxa"/>
            <w:vAlign w:val="bottom"/>
          </w:tcPr>
          <w:p>
            <w:pPr>
              <w:spacing w:after="0"/>
              <w:rPr>
                <w:sz w:val="12"/>
                <w:szCs w:val="12"/>
                <w:color w:val="auto"/>
              </w:rPr>
            </w:pPr>
          </w:p>
        </w:tc>
      </w:tr>
      <w:tr>
        <w:trPr>
          <w:trHeight w:val="196"/>
        </w:trPr>
        <w:tc>
          <w:tcPr>
            <w:tcW w:w="34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(11,295)</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(4,600)</w:t>
            </w: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49,670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50,817</w:t>
            </w: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198"/>
        </w:trPr>
        <w:tc>
          <w:tcPr>
            <w:tcW w:w="340" w:type="dxa"/>
            <w:vAlign w:val="bottom"/>
          </w:tcPr>
          <w:p>
            <w:pPr>
              <w:spacing w:after="0"/>
              <w:rPr>
                <w:sz w:val="17"/>
                <w:szCs w:val="17"/>
                <w:color w:val="auto"/>
              </w:rPr>
            </w:pPr>
          </w:p>
        </w:tc>
        <w:tc>
          <w:tcPr>
            <w:tcW w:w="51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Employee stock options, restricted stock units and employee stock</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plan shares</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50,817</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52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51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outstanding employee stock options, restricted stock units, and shares purchasable via the employee stock purchase plan as of the balance sheet date that were excluded from the diluted per share calculation for the periods presented because to include them would have been anti-dilutive:</w:t>
      </w:r>
    </w:p>
    <w:p>
      <w:pPr>
        <w:spacing w:after="0" w:line="157"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2160" w:type="dxa"/>
            <w:vAlign w:val="bottom"/>
            <w:gridSpan w:val="4"/>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2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4,387</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3,773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377</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989</w:t>
            </w:r>
          </w:p>
        </w:tc>
        <w:tc>
          <w:tcPr>
            <w:tcW w:w="1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377</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18"/>
                <w:szCs w:val="18"/>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4,776</w:t>
            </w:r>
          </w:p>
        </w:tc>
        <w:tc>
          <w:tcPr>
            <w:tcW w:w="28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4,775</w:t>
            </w:r>
          </w:p>
        </w:tc>
        <w:tc>
          <w:tcPr>
            <w:tcW w:w="2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3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an estimated annual income tax rate. The Company’s quarterly provision for income taxes also includes the tax impact of certain unusual or infrequently occurring items, if any, including changes in judgment about valuation allowances and effects of changes in tax laws or rates, in the interim period in which they occur.</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income tax expense of $34 and $85 for the three-month periods ended December 31, 2014 and 2015, respectively and $62 and $186 for the six-month periods ended December 31, 2014 and 2015, respectively. The Company’s effective tax rate for the three and six months ended December 31, 2014 and 2015 differs from statutory rates primarily due to the existence of a valuation allowance recorded against the preponderance of the net deferred tax assets.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reviews the likelihood that it will realize the benefit of its deferred tax assets and, therefore, the need for a valuation allowance on a quarterly basis. It established a valuation allowance on all of its net deferred tax assets except for deferred tax liabilities associated with indefinite-lived intangible assets during fiscal 2014, given that the Company determined that it was more likely than not that the Company would not recognize the benefits of its net operating loss carryforwards prior to their expiration. The Company has continued to carry the valuation allowance during fiscal 2015 and for the three and six months ending December 31, 2015. As of December 31, 2015, the Company had no unrecognized tax benefits.</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60" w:firstLine="45"/>
        <w:spacing w:after="0" w:line="274" w:lineRule="auto"/>
        <w:rPr>
          <w:sz w:val="20"/>
          <w:szCs w:val="20"/>
          <w:color w:val="auto"/>
        </w:rPr>
      </w:pP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17"/>
          <w:szCs w:val="17"/>
          <w:i w:val="1"/>
          <w:iCs w:val="1"/>
          <w:color w:val="auto"/>
        </w:rPr>
        <w:t>he statements included herein that are not based solely on historical facts are “forward looking statements.” Such forward-looking statements are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7"/>
          <w:szCs w:val="17"/>
          <w:i w:val="1"/>
          <w:iCs w:val="1"/>
          <w:color w:val="auto"/>
        </w:rPr>
        <w:t>current expectations and assumptions that are subject to risks and uncertainties. Our actual results could differ materially from those anticipated by us in these forward-looking statements as a result of various factors, including those discussed below and under Part II, Item 1A: “Risk Factors.”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human resource, payroll and finance capabilities of our clients.</w:t>
      </w:r>
    </w:p>
    <w:p>
      <w:pPr>
        <w:spacing w:after="0" w:line="18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pacing w:after="0" w:line="176" w:lineRule="exact"/>
        <w:rPr>
          <w:sz w:val="20"/>
          <w:szCs w:val="20"/>
          <w:color w:val="auto"/>
        </w:rPr>
      </w:pPr>
    </w:p>
    <w:p>
      <w:pPr>
        <w:ind w:right="120" w:firstLine="648"/>
        <w:spacing w:after="0" w:line="313" w:lineRule="auto"/>
        <w:rPr>
          <w:sz w:val="20"/>
          <w:szCs w:val="20"/>
          <w:color w:val="auto"/>
        </w:rPr>
      </w:pPr>
      <w:r>
        <w:rPr>
          <w:rFonts w:ascii="Times New Roman" w:cs="Times New Roman" w:eastAsia="Times New Roman" w:hAnsi="Times New Roman"/>
          <w:sz w:val="17"/>
          <w:szCs w:val="17"/>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w:t>
      </w:r>
    </w:p>
    <w:p>
      <w:pPr>
        <w:sectPr>
          <w:pgSz w:w="11900" w:h="16838" w:orient="portrait"/>
          <w:cols w:equalWidth="0" w:num="1">
            <w:col w:w="11460"/>
          </w:cols>
          <w:pgMar w:left="240" w:top="114" w:right="199" w:bottom="0" w:gutter="0" w:footer="0" w:header="0"/>
        </w:sectPr>
      </w:pPr>
    </w:p>
    <w:bookmarkStart w:id="10" w:name="page11"/>
    <w:bookmarkEnd w:id="10"/>
    <w:p>
      <w:pPr>
        <w:ind w:right="320"/>
        <w:spacing w:after="0" w:line="282" w:lineRule="auto"/>
        <w:rPr>
          <w:sz w:val="20"/>
          <w:szCs w:val="20"/>
          <w:color w:val="auto"/>
        </w:rPr>
      </w:pPr>
      <w:r>
        <w:rPr>
          <w:rFonts w:ascii="Times New Roman" w:cs="Times New Roman" w:eastAsia="Times New Roman" w:hAnsi="Times New Roman"/>
          <w:sz w:val="18"/>
          <w:szCs w:val="18"/>
          <w:color w:val="auto"/>
        </w:rPr>
        <w:t>user experience. Our platform offers automated data integration with over 200 related third-party systems, such as 401(k), benefits and insurance provider systems.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functionality. We have invested in, and we intend to continue to invest in, research and development to expand our product offerings and advance our platform.</w:t>
      </w:r>
    </w:p>
    <w:p>
      <w:pPr>
        <w:spacing w:after="0" w:line="17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8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medium-sized organizations. We expect to continue to invest in and grow our implementation and client service organization as our client base grows.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our business has grown, we have become increasingly subject to the risks arising from adverse changes in domestic and global economic conditions. If general economic conditions were to deteriorate further, including declines in private sector employment growth and business productivity, increases in the unemployment rate and changes in interest rates, we may experience delays in our sales cycles, increased pressure from prospective customers to offer discounts and increased pressure from existing customers to renew expiring recurring revenue agreements for lower amounts. Our interest income on funds held for clients continues to be negatively impacted by historically low interest rates.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operating subsidiary Paylocity Corporation was incorporated in July 1997 as an Illinois corporation. In November 2013, we formed Paylocity Holding Corporation, a Delaware corporation, of which Paylocity Corporation is now a wholly-owned subsidiary. Paylocity Holding Corporation had no operations prior to the restructuring. All of our business operations, excluding interest earned on certain cash holdings and expenses associated with certain secondary stock offerings, have historically been, and are currently, conducted by Paylocity Corporation, and the financial results presented herein are entirely attributable to the results of its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 Growth</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Recurring revenue, which is comprised of recurring fees and interest income on funds held for clients, increased from $62.0 million for the six months ended December 31, 2014 to $95.2 million for the six months ended December 31, 2015, representing a 54% year-over-year increase. Recurring revenue represented 95% of total revenue during both of the six month periods ended December 31, 2014 and 2015. Recurring revenue increased from $32.4 million for the three months ended December 31, 2014 to $52.3 million for the three months ended December 31, 2015, representing a 61% year-over-year increase. Recurring revenue represented 95% of total revenue during both of the three month periods ended December 31, 2014 and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Fees from New Clients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calculate recurring fees from new clients as the percentage of year-to-date recurring fees from all clients on our solutions which had not been on or used any of our solutions for a full year as of the start of the current fiscal year. We believe recurring fees from new clients is an important metric to measure the expansion of our existing client base as well as the growth in our client base. Our recurring fees from new clients was 41% and 42% for the three months ended December 31, 2014 and 2015, respectively, and 38% and 39% for the six months ended December 31, 2014 and 2015,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Adjusted Recurring Gross Profit and Adjusted EBITDA</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it to enhance investors’ understanding of our operating performance and cash flows.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Adjusted Gross Profit, Adjusted Recurring Gross Profit and Adjusted EBITDA are not measurements of financial performance under generally accepted accounting principles in the United States, or GAAP, and you should not consider Adjusted Gross Profit as an alternative to gross profit, Adjusted Recurring Gross Profit as an alternative to total recurring revenues, or Adjusted EBITDA as an alternative to net loss or cash provided by (used in) operating</w:t>
      </w:r>
    </w:p>
    <w:p>
      <w:pPr>
        <w:sectPr>
          <w:pgSz w:w="11900" w:h="16838" w:orient="portrait"/>
          <w:cols w:equalWidth="0" w:num="1">
            <w:col w:w="11420"/>
          </w:cols>
          <w:pgMar w:left="240" w:top="121" w:right="239" w:bottom="0" w:gutter="0" w:footer="0" w:header="0"/>
        </w:sectPr>
      </w:pPr>
    </w:p>
    <w:bookmarkStart w:id="11" w:name="page12"/>
    <w:bookmarkEnd w:id="11"/>
    <w:p>
      <w:pPr>
        <w:ind w:right="380"/>
        <w:spacing w:after="0" w:line="282" w:lineRule="auto"/>
        <w:rPr>
          <w:sz w:val="20"/>
          <w:szCs w:val="20"/>
          <w:color w:val="auto"/>
        </w:rPr>
      </w:pPr>
      <w:r>
        <w:rPr>
          <w:rFonts w:ascii="Times New Roman" w:cs="Times New Roman" w:eastAsia="Times New Roman" w:hAnsi="Times New Roman"/>
          <w:sz w:val="18"/>
          <w:szCs w:val="18"/>
          <w:color w:val="auto"/>
        </w:rPr>
        <w:t>activities, 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162"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stock-based compensation expense, and employer payroll taxes related to stock releases and option exercises. We define Adjusted Recurring Gross Profit as total recurring revenues after cost of recurring revenues and before amortization of capitalized internal-use software costs, stock-based compensation expense, and employer payroll taxes related to stock releases and option exercises. We define Adjusted EBITDA as net loss before interest expense, income tax expense, depreciation and amortization, stock-based compensation expense, and employer payroll taxes related to stock releases and option exercises. The table below sets forth our Adjusted Gross Profit, Adjusted Recurring Gross Profit and Adjusted EBITDA for the periods presented.</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2"/>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4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4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3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2"/>
          </w:tcPr>
          <w:p>
            <w:pPr>
              <w:jc w:val="cente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86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17,806</w:t>
            </w:r>
          </w:p>
        </w:tc>
        <w:tc>
          <w:tcPr>
            <w:tcW w:w="6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33,279</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34,695</w:t>
            </w:r>
          </w:p>
        </w:tc>
        <w:tc>
          <w:tcPr>
            <w:tcW w:w="6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59,822</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Adjusted Recurring Gross Profit</w:t>
            </w:r>
          </w:p>
        </w:tc>
        <w:tc>
          <w:tcPr>
            <w:tcW w:w="860" w:type="dxa"/>
            <w:vAlign w:val="bottom"/>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21,643</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38,106</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42,032</w:t>
            </w:r>
          </w:p>
        </w:tc>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69,179</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6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(242)</w:t>
            </w:r>
          </w:p>
        </w:tc>
        <w:tc>
          <w:tcPr>
            <w:tcW w:w="6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7,236</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6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10,527</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3"/>
        </w:trPr>
        <w:tc>
          <w:tcPr>
            <w:tcW w:w="6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42"/>
        </w:trPr>
        <w:tc>
          <w:tcPr>
            <w:tcW w:w="6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2015</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3"/>
          </w:tcPr>
          <w:p>
            <w:pPr>
              <w:jc w:val="center"/>
              <w:ind w:left="45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3"/>
          </w:tcPr>
          <w:p>
            <w:pPr>
              <w:jc w:val="center"/>
              <w:ind w:left="37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4"/>
        </w:trPr>
        <w:tc>
          <w:tcPr>
            <w:tcW w:w="660" w:type="dxa"/>
            <w:vAlign w:val="bottom"/>
          </w:tcPr>
          <w:p>
            <w:pPr>
              <w:spacing w:after="0"/>
              <w:rPr>
                <w:sz w:val="16"/>
                <w:szCs w:val="16"/>
                <w:color w:val="auto"/>
              </w:rPr>
            </w:pPr>
          </w:p>
        </w:tc>
        <w:tc>
          <w:tcPr>
            <w:tcW w:w="4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from Gross Profit to Adjusted Gross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tcPr>
          <w:p>
            <w:pPr>
              <w:spacing w:after="0"/>
              <w:rPr>
                <w:sz w:val="16"/>
                <w:szCs w:val="16"/>
                <w:color w:val="auto"/>
              </w:rPr>
            </w:pPr>
          </w:p>
        </w:tc>
      </w:tr>
      <w:tr>
        <w:trPr>
          <w:trHeight w:val="238"/>
        </w:trPr>
        <w:tc>
          <w:tcPr>
            <w:tcW w:w="660" w:type="dxa"/>
            <w:vAlign w:val="bottom"/>
          </w:tcPr>
          <w:p>
            <w:pPr>
              <w:spacing w:after="0"/>
              <w:rPr>
                <w:sz w:val="20"/>
                <w:szCs w:val="20"/>
                <w:color w:val="auto"/>
              </w:rPr>
            </w:pPr>
          </w:p>
        </w:tc>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16,267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31,084</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31,924</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55,997</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685</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1,278</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2,365</w:t>
            </w:r>
          </w:p>
        </w:tc>
        <w:tc>
          <w:tcPr>
            <w:tcW w:w="1000" w:type="dxa"/>
            <w:vAlign w:val="bottom"/>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4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and employer</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payroll taxes related to stock releases and option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854</w:t>
            </w:r>
          </w:p>
        </w:tc>
        <w:tc>
          <w:tcPr>
            <w:tcW w:w="3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1,493</w:t>
            </w:r>
          </w:p>
        </w:tc>
        <w:tc>
          <w:tcPr>
            <w:tcW w:w="4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1,460</w:t>
            </w:r>
          </w:p>
        </w:tc>
        <w:tc>
          <w:tcPr>
            <w:tcW w:w="10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Gross Profit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20"/>
        </w:trPr>
        <w:tc>
          <w:tcPr>
            <w:tcW w:w="6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6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42"/>
        </w:trPr>
        <w:tc>
          <w:tcPr>
            <w:tcW w:w="6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2015</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3"/>
          </w:tcPr>
          <w:p>
            <w:pPr>
              <w:jc w:val="center"/>
              <w:ind w:left="45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3"/>
          </w:tcPr>
          <w:p>
            <w:pPr>
              <w:jc w:val="center"/>
              <w:ind w:left="37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4"/>
        </w:trPr>
        <w:tc>
          <w:tcPr>
            <w:tcW w:w="660" w:type="dxa"/>
            <w:vAlign w:val="bottom"/>
          </w:tcPr>
          <w:p>
            <w:pPr>
              <w:spacing w:after="0"/>
              <w:rPr>
                <w:sz w:val="16"/>
                <w:szCs w:val="16"/>
                <w:color w:val="auto"/>
              </w:rPr>
            </w:pPr>
          </w:p>
        </w:tc>
        <w:tc>
          <w:tcPr>
            <w:tcW w:w="4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from Total Recurring Revenues to</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tcPr>
          <w:p>
            <w:pPr>
              <w:spacing w:after="0"/>
              <w:rPr>
                <w:sz w:val="16"/>
                <w:szCs w:val="16"/>
                <w:color w:val="auto"/>
              </w:rPr>
            </w:pPr>
          </w:p>
        </w:tc>
      </w:tr>
      <w:tr>
        <w:trPr>
          <w:trHeight w:val="238"/>
        </w:trPr>
        <w:tc>
          <w:tcPr>
            <w:tcW w:w="660" w:type="dxa"/>
            <w:vAlign w:val="bottom"/>
          </w:tcPr>
          <w:p>
            <w:pPr>
              <w:spacing w:after="0"/>
              <w:rPr>
                <w:sz w:val="20"/>
                <w:szCs w:val="20"/>
                <w:color w:val="auto"/>
              </w:rPr>
            </w:pPr>
          </w:p>
        </w:tc>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Recurring Gross Profit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revenues</w:t>
            </w:r>
          </w:p>
        </w:tc>
        <w:tc>
          <w:tcPr>
            <w:tcW w:w="4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32,445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52,347</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61,950</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95,238</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recurring revenues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22,010</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29,282</w:t>
            </w:r>
          </w:p>
        </w:tc>
        <w:tc>
          <w:tcPr>
            <w:tcW w:w="10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gross profit</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20,492</w:t>
            </w: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39,940</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65,956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685</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1,278</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2,365</w:t>
            </w:r>
          </w:p>
        </w:tc>
        <w:tc>
          <w:tcPr>
            <w:tcW w:w="1000" w:type="dxa"/>
            <w:vAlign w:val="bottom"/>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4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and employer</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payroll taxes related to stock releases and option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466</w:t>
            </w:r>
          </w:p>
        </w:tc>
        <w:tc>
          <w:tcPr>
            <w:tcW w:w="3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814</w:t>
            </w:r>
          </w:p>
        </w:tc>
        <w:tc>
          <w:tcPr>
            <w:tcW w:w="4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858</w:t>
            </w:r>
          </w:p>
        </w:tc>
        <w:tc>
          <w:tcPr>
            <w:tcW w:w="10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Recurring Gross Profit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20"/>
        </w:trPr>
        <w:tc>
          <w:tcPr>
            <w:tcW w:w="6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6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42"/>
        </w:trPr>
        <w:tc>
          <w:tcPr>
            <w:tcW w:w="6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2015</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3"/>
          </w:tcPr>
          <w:p>
            <w:pPr>
              <w:jc w:val="center"/>
              <w:ind w:left="45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3"/>
          </w:tcPr>
          <w:p>
            <w:pPr>
              <w:jc w:val="center"/>
              <w:ind w:left="37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from Net Loss to Adjusted EBITDA</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(6,420)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(1,165)</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(11,295)</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(4,600)</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4,160</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6,155</w:t>
            </w:r>
          </w:p>
        </w:tc>
        <w:tc>
          <w:tcPr>
            <w:tcW w:w="10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4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and employer</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payroll taxes related to stock releases and option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7,198</w:t>
            </w:r>
          </w:p>
        </w:tc>
        <w:tc>
          <w:tcPr>
            <w:tcW w:w="4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8,786</w:t>
            </w:r>
          </w:p>
        </w:tc>
        <w:tc>
          <w:tcPr>
            <w:tcW w:w="1000" w:type="dxa"/>
            <w:vAlign w:val="bottom"/>
          </w:tcPr>
          <w:p>
            <w:pPr>
              <w:spacing w:after="0"/>
              <w:rPr>
                <w:sz w:val="20"/>
                <w:szCs w:val="20"/>
                <w:color w:val="auto"/>
              </w:rPr>
            </w:pPr>
          </w:p>
        </w:tc>
      </w:tr>
      <w:tr>
        <w:trPr>
          <w:trHeight w:val="223"/>
        </w:trPr>
        <w:tc>
          <w:tcPr>
            <w:tcW w:w="660" w:type="dxa"/>
            <w:vAlign w:val="bottom"/>
          </w:tcPr>
          <w:p>
            <w:pPr>
              <w:spacing w:after="0"/>
              <w:rPr>
                <w:sz w:val="19"/>
                <w:szCs w:val="19"/>
                <w:color w:val="auto"/>
              </w:rPr>
            </w:pPr>
          </w:p>
        </w:tc>
        <w:tc>
          <w:tcPr>
            <w:tcW w:w="4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1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Fees</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clients have</w:t>
      </w:r>
    </w:p>
    <w:p>
      <w:pPr>
        <w:sectPr>
          <w:pgSz w:w="11900" w:h="16838" w:orient="portrait"/>
          <w:cols w:equalWidth="0" w:num="1">
            <w:col w:w="11460"/>
          </w:cols>
          <w:pgMar w:left="240" w:top="121" w:right="199" w:bottom="0" w:gutter="0" w:footer="0" w:header="0"/>
        </w:sectPr>
      </w:pPr>
    </w:p>
    <w:bookmarkStart w:id="12" w:name="page13"/>
    <w:bookmarkEnd w:id="12"/>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consistently had on average between 95 and 115 employees. We derive revenue from a client based on the solutions purchased by the client, the number of client employees as well as the amount, type and timing of services provided in respect of those client employees. As such, the number of client employees on our system is not a good indicator of our financial results in any period. Recurring fees attributable to our cloud-based payroll and HCM solutions accounted for 93% and 94% of our total revenues during the three months ended December 31, 2014 and 2015, respectively and 94% of our total revenues during both of the six month periods ended December 31, 2014 and 2015, respectively.</w:t>
      </w:r>
    </w:p>
    <w:p>
      <w:pPr>
        <w:spacing w:after="0" w:line="18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Our agreements with clients do not have a specified term and are generally cancellable by the client on 60 days’ or less notice. Our agreements do not include general rights of return and do not provide clients with the right to take possession of the software supporting the services being provided. We recognize recurring fees in the period in which services are provided and when collection of fees is reasonably assured and the amount of fees is fixed or determinable.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financial institutions with which we have automated clearing house, or ACH, arrangements.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Services and Other</w:t>
      </w:r>
    </w:p>
    <w:p>
      <w:pPr>
        <w:spacing w:after="0" w:line="22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Implementation services and other revenues primarily consist of implementation fees charged to new clients for professional services provided to implement and configure our payroll and HCM solutions. Implementations of our payroll solutions typically require only three to four weeks at which point the new client’s payroll is first run using our solution, our implementation services are deemed completed, and we recognize the related revenue. We implement additional HCM products as requested by clients and leverage the data within our payroll solution to accelerate our implementation processes. Implementation services and other revenues may fluctuate significantly from quarter to quarter based on the number of new clients, pricing and the product utilization.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Recurring Revenues</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Costs of recurring revenues are generally expensed as incurred, and include costs to provide our payroll and other HCM solutions primarily consisting of employee-related expenses, including wages, stock-based compensation, bonuses and benefits, relating to the provision of ongoing client support, payroll tax filing and distribution of printed checks and other materials. These costs also include third-party reseller costs, delivery costs, computing costs and amortization of capitalized internal-use software costs, as well as bank fees associated with client fund transfers. We expect to realize cost efficiencies over the long term as our business scales, resulting in improved operating leverage and increased margins.</w:t>
      </w:r>
    </w:p>
    <w:p>
      <w:pPr>
        <w:spacing w:after="0" w:line="184"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internal-use software costs, which are then all amortized as a cost of recurring revenues. We amortized $0.7 million and $1.4 million during the three months ended December 31, 2014 and 2015, respectively and $1.3 million and $2.4 million during the six months ended December 31, 2014 and 2015,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Implementation Services and Other</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Cost of implementation services and other consists almost entirely of employee-related expenses, including wages, stock-based compensation, bonuses and benefits, involved in the implementation of our payroll and other HCM solutions for new clients. Implementation costs are generally fixed in the short-term and exceed associated implementation revenue charged to each client. We intend to grow our business through expanding our client base, and doing so will require increased personnel to implement our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solutions. Therefore our cost of implementation services and other is expected to increase in absolute dollars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and benefits, marketing expenses and other related costs. Commissions are primarily earned and recognized in the month when implementation is complete and the client first utilizes a service, typically by running its first payroll. Bonuses paid to sales staff for attainment of certain performance criteria are accrued in the fiscal year in which they are earned and are subsequently paid annually in the first fiscal quarter of the following year.</w:t>
      </w:r>
    </w:p>
    <w:p>
      <w:pPr>
        <w:spacing w:after="0" w:line="184"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staff, including wages, stock-based compensation, benefits and bonuses.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0" w:lineRule="exact"/>
        <w:rPr>
          <w:sz w:val="20"/>
          <w:szCs w:val="20"/>
          <w:color w:val="auto"/>
        </w:rPr>
      </w:pPr>
    </w:p>
    <w:p>
      <w:pPr>
        <w:ind w:right="120" w:firstLine="648"/>
        <w:spacing w:after="0" w:line="313" w:lineRule="auto"/>
        <w:rPr>
          <w:sz w:val="20"/>
          <w:szCs w:val="20"/>
          <w:color w:val="auto"/>
        </w:rPr>
      </w:pPr>
      <w:r>
        <w:rPr>
          <w:rFonts w:ascii="Times New Roman" w:cs="Times New Roman" w:eastAsia="Times New Roman" w:hAnsi="Times New Roman"/>
          <w:sz w:val="17"/>
          <w:szCs w:val="17"/>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w:t>
      </w:r>
    </w:p>
    <w:p>
      <w:pPr>
        <w:sectPr>
          <w:pgSz w:w="11900" w:h="16889" w:orient="portrait"/>
          <w:cols w:equalWidth="0" w:num="1">
            <w:col w:w="11420"/>
          </w:cols>
          <w:pgMar w:left="240" w:top="121" w:right="239" w:bottom="0" w:gutter="0" w:footer="0" w:header="0"/>
        </w:sectPr>
      </w:pPr>
    </w:p>
    <w:bookmarkStart w:id="13" w:name="page14"/>
    <w:bookmarkEnd w:id="13"/>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for the three and six months ended December 31, 2014 and 2015.</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3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2015</w:t>
            </w:r>
          </w:p>
        </w:tc>
        <w:tc>
          <w:tcPr>
            <w:tcW w:w="120" w:type="dxa"/>
            <w:vAlign w:val="bottom"/>
            <w:tcBorders>
              <w:bottom w:val="single" w:sz="8" w:color="CCEEFF"/>
            </w:tcBorders>
          </w:tcPr>
          <w:p>
            <w:pPr>
              <w:spacing w:after="0"/>
              <w:rPr>
                <w:sz w:val="12"/>
                <w:szCs w:val="12"/>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2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5,271</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6,799</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9,298</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12,228</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6,086</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8,807</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16,545</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other employee-related costs, including wages, benefits, stock-based compensation and bonuses for our administrative, finance, accounting, and human resources departments. Additional expenses include consulting and professional fees, insurance and other corporate expenses.</w:t>
      </w:r>
    </w:p>
    <w:p>
      <w:pPr>
        <w:spacing w:after="0" w:line="17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administrative expenses to continue to increase in absolute dollars as a result of our operation as a public company. These expenses will also include costs associated with compliance with regulations governing public companies, costs of directors’ and officers’ liability insurance and professional services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generally consists of interest income related to interest received on our cash and cash equivalents.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3"/>
        </w:trPr>
        <w:tc>
          <w:tcPr>
            <w:tcW w:w="6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42"/>
        </w:trPr>
        <w:tc>
          <w:tcPr>
            <w:tcW w:w="6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2015</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3"/>
          </w:tcPr>
          <w:p>
            <w:pPr>
              <w:jc w:val="center"/>
              <w:ind w:left="45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3"/>
          </w:tcPr>
          <w:p>
            <w:pPr>
              <w:jc w:val="center"/>
              <w:ind w:left="3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 fees</w:t>
            </w:r>
          </w:p>
        </w:tc>
        <w:tc>
          <w:tcPr>
            <w:tcW w:w="6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32,055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51,732</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61,197</w:t>
            </w: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94,095</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390</w:t>
            </w:r>
          </w:p>
        </w:tc>
        <w:tc>
          <w:tcPr>
            <w:tcW w:w="3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753</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1,143</w:t>
            </w:r>
          </w:p>
        </w:tc>
        <w:tc>
          <w:tcPr>
            <w:tcW w:w="10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recurring revenues</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32,445</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61,950</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95,238</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3,472</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5,054</w:t>
            </w:r>
          </w:p>
        </w:tc>
        <w:tc>
          <w:tcPr>
            <w:tcW w:w="10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34,313</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65,422</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100,292</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3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Cost of revenues:</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 revenues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22,010</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29,282</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11,488</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15,013</w:t>
            </w:r>
          </w:p>
        </w:tc>
        <w:tc>
          <w:tcPr>
            <w:tcW w:w="10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of revenues</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33,498</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44,295</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16,267</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31,924</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55,997</w:t>
            </w:r>
          </w:p>
        </w:tc>
        <w:tc>
          <w:tcPr>
            <w:tcW w:w="120" w:type="dxa"/>
            <w:vAlign w:val="bottom"/>
            <w:tcBorders>
              <w:bottom w:val="single" w:sz="8" w:color="CCEEFF"/>
            </w:tcBorders>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18,479</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26,790</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9,298</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12,228</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15,509</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21,690</w:t>
            </w:r>
          </w:p>
        </w:tc>
        <w:tc>
          <w:tcPr>
            <w:tcW w:w="10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22,733</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43,286</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60,708</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w:t>
            </w:r>
          </w:p>
        </w:tc>
        <w:tc>
          <w:tcPr>
            <w:tcW w:w="10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100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39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240" w:type="dxa"/>
            <w:vAlign w:val="bottom"/>
            <w:gridSpan w:val="4"/>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3"/>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73"/>
        </w:trPr>
        <w:tc>
          <w:tcPr>
            <w:tcW w:w="42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Borders>
              <w:bottom w:val="single" w:sz="8" w:color="auto"/>
            </w:tcBorders>
            <w:gridSpan w:val="3"/>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42"/>
        </w:trPr>
        <w:tc>
          <w:tcPr>
            <w:tcW w:w="42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8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2015</w:t>
            </w:r>
          </w:p>
        </w:tc>
        <w:tc>
          <w:tcPr>
            <w:tcW w:w="280" w:type="dxa"/>
            <w:vAlign w:val="bottom"/>
          </w:tcPr>
          <w:p>
            <w:pPr>
              <w:spacing w:after="0"/>
              <w:rPr>
                <w:sz w:val="12"/>
                <w:szCs w:val="12"/>
                <w:color w:val="auto"/>
              </w:rPr>
            </w:pPr>
          </w:p>
        </w:tc>
      </w:tr>
      <w:tr>
        <w:trPr>
          <w:trHeight w:val="142"/>
        </w:trPr>
        <w:tc>
          <w:tcPr>
            <w:tcW w:w="4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80" w:type="dxa"/>
            <w:vAlign w:val="bottom"/>
            <w:gridSpan w:val="3"/>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3"/>
          </w:tcPr>
          <w:p>
            <w:pPr>
              <w:jc w:val="center"/>
              <w:ind w:left="58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 fees</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7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r>
      <w:tr>
        <w:trPr>
          <w:trHeight w:val="37"/>
        </w:trPr>
        <w:tc>
          <w:tcPr>
            <w:tcW w:w="428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auto"/>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66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r>
    </w:tbl>
    <w:p>
      <w:pPr>
        <w:sectPr>
          <w:pgSz w:w="11900" w:h="16900" w:orient="portrait"/>
          <w:cols w:equalWidth="0" w:num="1">
            <w:col w:w="11460"/>
          </w:cols>
          <w:pgMar w:left="240" w:top="121" w:right="19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2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recurring revenues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Borders>
              <w:right w:val="single" w:sz="8" w:color="CCEEFF"/>
            </w:tcBorders>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right w:val="single" w:sz="8" w:color="CCEEFF"/>
            </w:tcBorders>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 revenues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Borders>
              <w:right w:val="single" w:sz="8" w:color="CCEEFF"/>
            </w:tcBorders>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of revenues</w:t>
            </w: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right w:val="single" w:sz="8" w:color="CCEEFF"/>
            </w:tcBorders>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28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Borders>
              <w:right w:val="single" w:sz="8" w:color="CCEEFF"/>
            </w:tcBorders>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right w:val="single" w:sz="8" w:color="CCEEFF"/>
            </w:tcBorders>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5"/>
              </w:rPr>
              <w:t>)%</w:t>
            </w: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1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3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December 31, 2014 and 2015</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gridSpan w:val="6"/>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gridSpan w:val="6"/>
            <w:vMerge w:val="restart"/>
          </w:tcPr>
          <w:p>
            <w:pPr>
              <w:jc w:val="right"/>
              <w:ind w:right="1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gridSpan w:val="6"/>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 w:type="dxa"/>
            <w:vAlign w:val="bottom"/>
            <w:tcBorders>
              <w:bottom w:val="single" w:sz="8" w:color="CCEEFF"/>
            </w:tcBorders>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gridSpan w:val="3"/>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fees</w:t>
            </w:r>
          </w:p>
        </w:tc>
        <w:tc>
          <w:tcPr>
            <w:tcW w:w="3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19,677</w:t>
            </w:r>
          </w:p>
        </w:tc>
        <w:tc>
          <w:tcPr>
            <w:tcW w:w="28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18"/>
                <w:szCs w:val="18"/>
                <w:color w:val="auto"/>
              </w:rPr>
            </w:pPr>
          </w:p>
        </w:tc>
        <w:tc>
          <w:tcPr>
            <w:tcW w:w="12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615</w:t>
            </w:r>
          </w:p>
        </w:tc>
        <w:tc>
          <w:tcPr>
            <w:tcW w:w="2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w:t>
            </w:r>
          </w:p>
        </w:tc>
        <w:tc>
          <w:tcPr>
            <w:tcW w:w="1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18"/>
                <w:szCs w:val="18"/>
                <w:color w:val="auto"/>
              </w:rPr>
            </w:pPr>
          </w:p>
        </w:tc>
        <w:tc>
          <w:tcPr>
            <w:tcW w:w="12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2,837</w:t>
            </w:r>
          </w:p>
        </w:tc>
        <w:tc>
          <w:tcPr>
            <w:tcW w:w="2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969</w:t>
            </w:r>
          </w:p>
        </w:tc>
        <w:tc>
          <w:tcPr>
            <w:tcW w:w="1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4"/>
        </w:trPr>
        <w:tc>
          <w:tcPr>
            <w:tcW w:w="4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0"/>
                <w:szCs w:val="20"/>
                <w:color w:val="auto"/>
              </w:rPr>
            </w:pPr>
          </w:p>
        </w:tc>
        <w:tc>
          <w:tcPr>
            <w:tcW w:w="12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Fees</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Recurring fees for the three months ended December 31, 2015 increased by $19.7 million, or 61%, to $51.7 million from $32.1 million for the three months ended December 31, 2014. Recurring fees increased primarily as a result of revenue from new clients and increased revenue per client as well as revenue related to our Affordable Care Act (“ACA”) compliance solution offered to new and existing clients.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three months ended December 31, 2015 increased by $0.2 million, or 58% to $0.6 million from $0.4 million for the three months ended December 31, 2014. Interest income on funds held for clients increased primarily as a result of an increased average daily balance for funds held due to the addition of new clients to our client base.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Services and Other</w:t>
      </w:r>
    </w:p>
    <w:p>
      <w:pPr>
        <w:spacing w:after="0" w:line="227"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Implementation services and other revenue for the three months ended December 31, 2015 increased by $1.0 million, or 52%, to $2.8 million from $1.9 million for the three months ended December 31, 2014. Implementation services and other revenue increased primarily as a result of an increase in the number of new clients during the three months ended December 31, 2015 in comparison to the three months ended December 31,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3"/>
          </w:tcPr>
          <w:p>
            <w:pPr>
              <w:jc w:val="center"/>
              <w:ind w:left="4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recurring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Percentage of recurring revenues</w:t>
            </w:r>
          </w:p>
        </w:tc>
        <w:tc>
          <w:tcPr>
            <w:tcW w:w="2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gross margin</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Cost of implementation services and other</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6,093</w:t>
            </w:r>
          </w:p>
        </w:tc>
        <w:tc>
          <w:tcPr>
            <w:tcW w:w="3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7,975</w:t>
            </w: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1,882</w:t>
            </w: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Percentage of implementation services and other revenue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Implementation gross margin</w:t>
            </w:r>
          </w:p>
        </w:tc>
        <w:tc>
          <w:tcPr>
            <w:tcW w:w="2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3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Recurring Revenues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Cost of recurring revenues for the three months ended December 31, 2015 increased by $4.2 million, or 35%, to $16.1 million from $12.0 million for the three months ended December 31, 2014. Cost of recurring revenues increased primarily as a result of the continued growth of our business, in particular $2.3 million in employee-related costs resulting from additional personnel necessary to provide services to new and existing clients and $1.8 million in fees related to the delivery of our services, and $0.7 million in increased internal-use software amortization expense, partially offset by a $0.7 million decrease in reseller expenses primarily due to our acquisition of substantially all of the assets of our remaining reseller during fiscal 2015. Recurring gross margin</w:t>
      </w:r>
    </w:p>
    <w:p>
      <w:pPr>
        <w:sectPr>
          <w:pgSz w:w="11900" w:h="16838" w:orient="portrait"/>
          <w:cols w:equalWidth="0" w:num="1">
            <w:col w:w="11420"/>
          </w:cols>
          <w:pgMar w:left="240" w:top="140" w:right="239" w:bottom="0" w:gutter="0" w:footer="0" w:header="0"/>
        </w:sectPr>
      </w:pPr>
    </w:p>
    <w:bookmarkStart w:id="15" w:name="page16"/>
    <w:bookmarkEnd w:id="15"/>
    <w:p>
      <w:pPr>
        <w:ind w:right="160"/>
        <w:spacing w:after="0" w:line="282" w:lineRule="auto"/>
        <w:rPr>
          <w:sz w:val="20"/>
          <w:szCs w:val="20"/>
          <w:color w:val="auto"/>
        </w:rPr>
      </w:pPr>
      <w:r>
        <w:rPr>
          <w:rFonts w:ascii="Times New Roman" w:cs="Times New Roman" w:eastAsia="Times New Roman" w:hAnsi="Times New Roman"/>
          <w:sz w:val="18"/>
          <w:szCs w:val="18"/>
          <w:color w:val="auto"/>
        </w:rPr>
        <w:t>increased from 63% for the three months ended December 31, 2014 to 69% for the three months ended December 31, 2015, primarily due to a 2% reduction in reseller expenses and 2% decreases in both employee-related and processing-related costs as a percentage of total recurring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Implementation Services and Other</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Cost of implementation services and other for the three months ended December 31, 2015 increased by $1.9 million, or 31%, to $8.0 million from $6.1 million for the three months ended December 31, 2014. Cost of implementation services and other increased primarily due to an increase in new clients, and a corresponding increase of $1.9 million in employee-related and other costs to implement our solutions for those new clients during the three months ended December 31,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3"/>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3"/>
          </w:tcPr>
          <w:p>
            <w:pPr>
              <w:jc w:val="center"/>
              <w:ind w:left="50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3"/>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the three months ended December 31, 2015 increased by $4.9 million, or 53%, to $14.3 million from $9.4 million for the three months ended December 31, 2014. The increase in sales and marketing expenses was primarily the result of $4.2 million of additional employee-related expenses incurred due to the expansion of our sales force by 41 personnel (including management, direct sales and sales administration), our sales lead generation group by 11 personnel and our marketing team by 5 personnel.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left="46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for the three months ended December 31, 2015 increased by $1.5 million, or 29%, to $6.8 million from $5.3 million for the three months ended December 31, 2014. The increase in research and development expense was primarily as a result of $2.5 million in employee-related expenses related to 55 additional development personnel, partially offset by higher year-over-year internal-use software capitalization of $1.2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3"/>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tcPr>
          <w:p>
            <w:pPr>
              <w:jc w:val="center"/>
              <w:ind w:left="44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for the three months ended December 31, 2015 increased by $3.2 million, or 39%, to $11.2 million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 million for the three months ended December 31, 2014. The increase was primarily the result of $1.5 million of additional employee-related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35 additional personnel, $0.7 million of additional stock-based compensation costs, $0.4 million of increased occupancy costs and professional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fees, and $0.2 million of additional intangible amortization.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gridSpan w:val="4"/>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20" w:type="dxa"/>
            <w:vAlign w:val="bottom"/>
            <w:gridSpan w:val="4"/>
          </w:tcPr>
          <w:p>
            <w:pPr>
              <w:jc w:val="center"/>
              <w:ind w:right="34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78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for the three months ended December 31, 2015 was not materially different as compared to the three months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80" w:type="dxa"/>
            <w:vAlign w:val="bottom"/>
            <w:gridSpan w:val="4"/>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80" w:type="dxa"/>
            <w:vAlign w:val="bottom"/>
            <w:gridSpan w:val="4"/>
          </w:tcPr>
          <w:p>
            <w:pPr>
              <w:jc w:val="center"/>
              <w:ind w:right="40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78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020"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for the three months ended December 31, 2015 was not materially different as compared to the three months ended December 31, 2014.</w:t>
      </w:r>
    </w:p>
    <w:p>
      <w:pPr>
        <w:sectPr>
          <w:pgSz w:w="11900" w:h="16838" w:orient="portrait"/>
          <w:cols w:equalWidth="0" w:num="1">
            <w:col w:w="11420"/>
          </w:cols>
          <w:pgMar w:left="240" w:top="121" w:right="239" w:bottom="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December 31, 2014 and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fees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61,197</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4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753</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1,143</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3,472</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5,054</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4"/>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Fees</w:t>
      </w:r>
    </w:p>
    <w:p>
      <w:pPr>
        <w:spacing w:after="0" w:line="227"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Recurring fees for the six months ended December 31, 2015 increased by $32.9 million, or 54%, to $94.1 million from $61.2 million for the six months ended December 31, 2014. Recurring fees increased primarily as a result of revenue from new clients and increased revenue per client as well as revenue related to our Affordable Care Act (“ACA”) compliance solution offered to new and existing clients.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six months ended December 31, 2015 increased by $0.4 million, or 52% to $1.1 million from $0.8 million for the six months ended December 31, 2014. Interest income on funds held for clients increased primarily as a result of an increased average daily balance for funds held due to the addition of new clients to our client base.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Services and Other</w:t>
      </w:r>
    </w:p>
    <w:p>
      <w:pPr>
        <w:spacing w:after="0" w:line="227"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Implementation services and other revenue for the six months ended December 31, 2015 increased by $1.6 million, or 46%, to $5.1 million from $3.5 million for the six months ended December 31, 2014. Implementation services and other revenue increased primarily as a result of an increase in the number of new clients during the six months ended December 31, 2015 in comparison to the six months ended December 31,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3"/>
          </w:tcPr>
          <w:p>
            <w:pPr>
              <w:jc w:val="center"/>
              <w:ind w:left="51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recurring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Percentage of recurring revenues</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gross margin</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Cost of implementation services and other</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11,488</w:t>
            </w:r>
          </w:p>
        </w:tc>
        <w:tc>
          <w:tcPr>
            <w:tcW w:w="4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15,013</w:t>
            </w:r>
          </w:p>
        </w:tc>
        <w:tc>
          <w:tcPr>
            <w:tcW w:w="3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3,525</w:t>
            </w:r>
          </w:p>
        </w:tc>
        <w:tc>
          <w:tcPr>
            <w:tcW w:w="3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Percentage of implementation services and other</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Implementation gross margin</w:t>
            </w:r>
          </w:p>
        </w:tc>
        <w:tc>
          <w:tcPr>
            <w:tcW w:w="28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4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Recurring Revenues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Cost of recurring revenues for the six months ended December 31, 2015 increased by $7.3 million, or 33%, to $29.3 million from $22.0 million for the six months ended December 31, 2014. Cost of recurring revenues increased primarily as a result of the continued growth of our business, in particular $4.3 million in employee-related costs resulting from additional personnel necessary to provide services to new and existing clients and $3.3 million in fees related to the delivery of our services, and a $1.1 million increase in internal-use software amortization, partially offset by a $1.3 million decrease in reseller expenses primarily due to our acquisition of substantially all of the assets of our remaining reseller during fiscal 2015. Recurring gross margin increased from 64% for the six months ended December 31, 2014 to 69% for the six months ended December 31, 2015, primarily due to a 2% reduction in reseller expenses and 1% decreases in both employee-related and processing-related costs as a percentage of total recurring revenue.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Implementation Services and Other</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Cost of implementation services and other for the six months ended December 31, 2015 increased by $3.5 million, or 31%, to $15.0 million from $11.5 million for the six months ended December 31, 2014. Cost of implementation services and other increased primarily due to an increase in new clients, and a corresponding increase of $3.6 million in employee-related and other costs to implement our solutions for those new clients during the six months ended December 31,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ectPr>
          <w:pgSz w:w="11900" w:h="16838" w:orient="portrait"/>
          <w:cols w:equalWidth="0" w:num="1">
            <w:col w:w="11420"/>
          </w:cols>
          <w:pgMar w:left="240" w:top="121" w:right="239" w:bottom="0" w:gutter="0" w:footer="0" w:header="0"/>
        </w:sectPr>
      </w:pPr>
    </w:p>
    <w:p>
      <w:pPr>
        <w:spacing w:after="0" w:line="221" w:lineRule="exact"/>
        <w:rPr>
          <w:sz w:val="20"/>
          <w:szCs w:val="20"/>
          <w:color w:val="auto"/>
        </w:rPr>
      </w:pPr>
    </w:p>
    <w:p>
      <w:pPr>
        <w:ind w:left="6720"/>
        <w:spacing w:after="0"/>
        <w:tabs>
          <w:tab w:leader="none" w:pos="9680" w:val="left"/>
        </w:tabs>
        <w:rPr>
          <w:sz w:val="20"/>
          <w:szCs w:val="20"/>
          <w:color w:val="auto"/>
        </w:rPr>
      </w:pPr>
      <w:r>
        <w:rPr>
          <w:rFonts w:ascii="Times New Roman" w:cs="Times New Roman" w:eastAsia="Times New Roman" w:hAnsi="Times New Roman"/>
          <w:sz w:val="14"/>
          <w:szCs w:val="14"/>
          <w:b w:val="1"/>
          <w:bCs w:val="1"/>
          <w:color w:val="auto"/>
        </w:rPr>
        <w:t>Six Months</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b w:val="1"/>
          <w:bCs w:val="1"/>
          <w:color w:val="auto"/>
        </w:rPr>
        <w:t>Ended</w:t>
      </w:r>
    </w:p>
    <w:p>
      <w:pPr>
        <w:sectPr>
          <w:pgSz w:w="11900" w:h="16838" w:orient="portrait"/>
          <w:cols w:equalWidth="0" w:num="1">
            <w:col w:w="11420"/>
          </w:cols>
          <w:pgMar w:left="240" w:top="121" w:right="239" w:bottom="0" w:gutter="0" w:footer="0" w:header="0"/>
          <w:type w:val="continuous"/>
        </w:sectPr>
      </w:pPr>
    </w:p>
    <w:bookmarkStart w:id="17" w:name="page18"/>
    <w:bookmarkEnd w:id="17"/>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57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18,479</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the six months ended December 31, 2015 increased by $8.3 million, or 45%, to $26.8 million from $18.5 million for the six months ended December 31, 2014. The increase in sales and marketing expenses was primarily the result of $7.3 million of additional employee-related expenses incurred due to the expansion of our sales force by 41 personnel (including management, direct sales and sales administration), our sales lead generation group by 11 personnel and our marketing team by 5 personnel.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3"/>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3"/>
          </w:tcPr>
          <w:p>
            <w:pPr>
              <w:jc w:val="center"/>
              <w:ind w:left="52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0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40" w:firstLine="648"/>
        <w:spacing w:after="0" w:line="289" w:lineRule="auto"/>
        <w:rPr>
          <w:sz w:val="20"/>
          <w:szCs w:val="20"/>
          <w:color w:val="auto"/>
        </w:rPr>
      </w:pPr>
      <w:r>
        <w:rPr>
          <w:rFonts w:ascii="Times New Roman" w:cs="Times New Roman" w:eastAsia="Times New Roman" w:hAnsi="Times New Roman"/>
          <w:sz w:val="17"/>
          <w:szCs w:val="17"/>
          <w:color w:val="auto"/>
        </w:rPr>
        <w:t>Research and development for the six months ended December 31, 2015 increased by $2.9 million, or 32%, to $12.2 million from $9.3 million for the six months ended December 31, 2014. The increase in research and development expense was primarily as a result of $4.9 million in employee-related expenses related to 55 additional development personnel, partially offset by higher year-over-year internal-use software capitalization of $2.4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3"/>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3"/>
          </w:tcPr>
          <w:p>
            <w:pPr>
              <w:jc w:val="center"/>
              <w:ind w:left="52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0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for the six months ended December 31, 2015 increased by $6.2 million, or 40%, to $21.7 million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$15.5 million for the six months ended December 31, 2014. The increase was primarily the result of $3.1 million of additional employee-related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35 additional personnel, $1.1 million of additional stock-based compensation costs, $0.6 million of increased occupancy costs incurred as a result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requirement for additional office space, $0.4 million in costs associated with the secondary offering completed during the first quarter of fiscal 2016,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 million of additional intangible amortization.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40" w:type="dxa"/>
            <w:vAlign w:val="bottom"/>
            <w:gridSpan w:val="4"/>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40" w:type="dxa"/>
            <w:vAlign w:val="bottom"/>
            <w:gridSpan w:val="4"/>
          </w:tcPr>
          <w:p>
            <w:pPr>
              <w:jc w:val="center"/>
              <w:ind w:right="47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for the six months ended December 31, 2015 was not materially different as compared to the six months ended December 31, 2014.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40" w:type="dxa"/>
            <w:vAlign w:val="bottom"/>
            <w:gridSpan w:val="4"/>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40" w:type="dxa"/>
            <w:vAlign w:val="bottom"/>
            <w:gridSpan w:val="4"/>
          </w:tcPr>
          <w:p>
            <w:pPr>
              <w:jc w:val="center"/>
              <w:ind w:right="47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for the six months ended December 31, 2015 was not materially different as compared to the six months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8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Implementation revenues are also typically higher during our fiscal third quarter as many of our new clients elect to implement our services following a calendar year-end. Implementation gross profit varies on a quarterly basis as costs are generally fixed in the near-term, while revenues vary based on the number of new client implementations.</w:t>
      </w:r>
    </w:p>
    <w:p>
      <w:pPr>
        <w:sectPr>
          <w:pgSz w:w="11900" w:h="16852" w:orient="portrait"/>
          <w:cols w:equalWidth="0" w:num="1">
            <w:col w:w="11420"/>
          </w:cols>
          <w:pgMar w:left="240" w:top="114" w:right="239" w:bottom="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might differ from these estimates under different assumptions or conditions and, to the extent that there are differences between our estimates and actual results, our future financial statement presentation, financial condition, results of operations and cash flows will be affected. During the six months ended December 31, 2015, there were no material changes to our critical accounting policies and use of estimates, which are disclosed in our audited consolidated financial statements for the year ended June 30, 2015 included in our Annual Report on Form 10-K filed with the SEC on August 14,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December 31, 2015, our principal source of liquidity was $79.0 million of cash and cash equivalents.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significant investments in our platform, data centers and infrastructure generally. The timing and amount of these investments will vary based on the rate at which we can add new clients and new personnel and the scale of our application development, data center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available borrowings to satisfy those needs.</w:t>
      </w:r>
    </w:p>
    <w:p>
      <w:pPr>
        <w:spacing w:after="0" w:line="18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Our cash flows from investing activities and our cash flows from financing activities are influenced by the amount of funds held for clients which varies significantly from quarter to quarter. The balance of the funds we hold depends on our clients’ payroll calendar, and therefore such balance changes from period to period in accordance with the timing with each payroll cycle. Funds held for clients are restricted solely for the repayment of client fund obligations.</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believe our current cash and cash equivalents and cash flow from operations will be sufficient to meet our working capital, capital expenditure and other investment requirements for at least the next 12 months.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(1,579)</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(3,775)</w:t>
            </w: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(4,165)</w:t>
            </w:r>
          </w:p>
        </w:tc>
        <w:tc>
          <w:tcPr>
            <w:tcW w:w="30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(6,865)</w:t>
            </w: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for acquisitions</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(2,585)</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funds held for clients</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(440,878)</w:t>
            </w:r>
          </w:p>
        </w:tc>
        <w:tc>
          <w:tcPr>
            <w:tcW w:w="30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(291,918)</w:t>
            </w:r>
          </w:p>
        </w:tc>
      </w:tr>
      <w:tr>
        <w:trPr>
          <w:trHeight w:val="210"/>
        </w:trPr>
        <w:tc>
          <w:tcPr>
            <w:tcW w:w="65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(449,207)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(302,741)</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client funds obligation</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440,878</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291,918</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follow-on offering, net of issuance costs</w:t>
            </w: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18,716</w:t>
            </w:r>
          </w:p>
        </w:tc>
        <w:tc>
          <w:tcPr>
            <w:tcW w:w="3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initial public offering costs</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(1,380)</w:t>
            </w:r>
          </w:p>
        </w:tc>
        <w:tc>
          <w:tcPr>
            <w:tcW w:w="30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(3,765)</w:t>
            </w:r>
          </w:p>
        </w:tc>
      </w:tr>
      <w:tr>
        <w:trPr>
          <w:trHeight w:val="210"/>
        </w:trPr>
        <w:tc>
          <w:tcPr>
            <w:tcW w:w="65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458,990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289,693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280" w:type="dxa"/>
            <w:vAlign w:val="bottom"/>
          </w:tcPr>
          <w:p>
            <w:pPr>
              <w:spacing w:after="0"/>
              <w:rPr>
                <w:sz w:val="19"/>
                <w:szCs w:val="19"/>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$10.8 million for the six months ended December 31, 2015 as compared to $0.8 million for the six months ended December 31, 2014. The increase in net cash provided by operating activities from the six months ended December 31, 2014 to the six months ended December 31, 2015 was primarily due to improved operating results after adjusting for non-cash items including stock-based compensation and depreciation and amortization.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$302.7 million for the six months ended December 31, 2015 as compared to $449.2 million for the six months ended December 31, 2014.</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Changes in net cash used in investing activities are significantly influenced by the amount of funds held for clients at the end of a reporting period. Changes in the amount of funds held for client from period to period will vary substantially. Our payroll processing activities involve the movement of significant funds from the account of an employer to employees and relevant taxing authorities. Though we debit a client’s account prior to any disbursement</w:t>
      </w:r>
    </w:p>
    <w:p>
      <w:pPr>
        <w:sectPr>
          <w:pgSz w:w="11900" w:h="16838" w:orient="portrait"/>
          <w:cols w:equalWidth="0" w:num="1">
            <w:col w:w="11420"/>
          </w:cols>
          <w:pgMar w:left="240" w:top="333" w:right="239" w:bottom="0" w:gutter="0" w:footer="0" w:header="0"/>
        </w:sectPr>
      </w:pPr>
    </w:p>
    <w:bookmarkStart w:id="19" w:name="page20"/>
    <w:bookmarkEnd w:id="19"/>
    <w:p>
      <w:pPr>
        <w:ind w:right="320"/>
        <w:spacing w:after="0" w:line="282" w:lineRule="auto"/>
        <w:rPr>
          <w:sz w:val="20"/>
          <w:szCs w:val="20"/>
          <w:color w:val="auto"/>
        </w:rPr>
      </w:pPr>
      <w:r>
        <w:rPr>
          <w:rFonts w:ascii="Times New Roman" w:cs="Times New Roman" w:eastAsia="Times New Roman" w:hAnsi="Times New Roman"/>
          <w:sz w:val="18"/>
          <w:szCs w:val="18"/>
          <w:color w:val="auto"/>
        </w:rPr>
        <w:t>on its behalf, there is a delay between our payment of amounts due to employees and taxing and other regulatory authorities and when the incoming funds from the client to cover these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7"/>
          <w:szCs w:val="17"/>
          <w:color w:val="auto"/>
        </w:rPr>
        <w:t>amounts payable actually clear into our operating accounts. We currently have agreements with nine banks to execute ACH and wire transfers to support our client payroll and tax services. We believe we have sufficient capacity under these ACH arrangements to handle our transactions for the foreseeable future.</w:t>
      </w:r>
    </w:p>
    <w:p>
      <w:pPr>
        <w:spacing w:after="0" w:line="13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Excluding the net change in funds held for clients, our net cash used in investing activities was $10.8 million for the six months ended December 31, 2015 as compared to $8.3 million for the six months ended December 31, 2014. The increase in net cash used in investing activities is primarily due to higher purchases of property and equipment and capitalized internal-use software costs, offset by lower payments for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$289.7 million for the six months ended December 31, 2015 as compared to $459.0 million for the six months ended December 31, 2014. The change in cash provided by financing activities was primarily the result of the decrease in client fund obligations and $18.7 million of proceeds related to the follow-on offering, net of issuance costs in the six months ended December 31, 2014, partially offset by the increase in taxes paid related to the net settlement of employee equity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principal commitments consist of operating lease obligations. The following table summarizes our contractual obligations at December 31, 2015: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0"/>
                <w:szCs w:val="10"/>
                <w:color w:val="auto"/>
              </w:rPr>
            </w:pPr>
          </w:p>
        </w:tc>
        <w:tc>
          <w:tcPr>
            <w:tcW w:w="10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Less than 1</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2,905</w:t>
            </w: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related to acquisition</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34,892</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expect to increase capital spending as we continue to grow our business and expand and enhance our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$4.2 million and $6.9 million for the six months ended December 31, 2014 and 2015, respectively, exclusive of capitalized internal-use software costs of $1.6 million and $3.8 million for the same periods,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7"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 Board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ASU 2014-09 supersedes a majority of existing revenue recognition guidance 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Topic 606 allows for either a “retrospective” or “cumulative effect” transition method. The original standard was effective for fiscal years beginning after December 15, 2016. In July 2015, the FASB approved a one-year deferral of this standard, with a new effective date for fiscal years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beginning after December 15, 2017 with early adoption permitted as of the original effective date. We are currently assessing the potential effects of these changes to our consolidated financial statements and are evaluating the adoption method and timing.</w:t>
      </w:r>
    </w:p>
    <w:p>
      <w:pPr>
        <w:spacing w:after="0" w:line="160"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Balance Sheet Classification of Deferred Taxes (Topic 740)</w:t>
      </w:r>
      <w:r>
        <w:rPr>
          <w:rFonts w:ascii="Times New Roman" w:cs="Times New Roman" w:eastAsia="Times New Roman" w:hAnsi="Times New Roman"/>
          <w:sz w:val="18"/>
          <w:szCs w:val="18"/>
          <w:color w:val="auto"/>
        </w:rPr>
        <w:t xml:space="preserve"> (“ASU 2015-17”). ASU 2015-17 requires all deferred income tax assets and liabilities to be classified as non-current in a classified balance sheet. This ASU would first apply prospectively or retrospectively for fiscal years beginning after December 15, 2016. Earlier adoption is permitted as of the beginning of an interim or annual reporting period. The Company is currently assessing the potential effects of these changes to its consolidated financial statements and is evaluating the adoption method and timing.</w:t>
      </w:r>
    </w:p>
    <w:p>
      <w:pPr>
        <w:spacing w:after="0" w:line="18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ectPr>
          <w:pgSz w:w="11900" w:h="16838" w:orient="portrait"/>
          <w:cols w:equalWidth="0" w:num="1">
            <w:col w:w="11420"/>
          </w:cols>
          <w:pgMar w:left="240" w:top="121" w:right="239" w:bottom="0" w:gutter="0" w:footer="0" w:header="0"/>
        </w:sectPr>
      </w:pPr>
    </w:p>
    <w:bookmarkStart w:id="20" w:name="page21"/>
    <w:bookmarkEnd w:id="20"/>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have operations solely in the United States and are exposed to market risks in the ordinary course of our business. These risks primarily include interest rate and certain exposure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Funds held for clients are held in interest-bearing accounts at financial institutions. As a result of our investing activities, we are exposed to changes in interest rates that may materially affect our results of operations. In a falling rate environment, a decline in interest rates would decrease our interest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4"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evaluated the effectiveness of our disclosure controls and procedures as of December 31, 2015,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 period covered by this Quarterly Report on Form 10-Q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litigation relating to claims arising in the ordinary course of business. Management believes that there are no claims or actions pending or threatened against the Company, the ultimate disposition of which would have a material impact on our consolidated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in the past, and we may not be able to achieve or sustain profitability for the foreseeable future.</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have incurred net losses from time to time. We incurred net losses of $130,000, $7,110,000, and $13,972,000 in fiscal 2011, fiscal 2014 and fiscal 2015, respectively, and incurred a net loss of $4,600,000 in the first two quarters of fiscal 2016.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and support new clients. We intend for the foreseeable future to continue to focus predominately on adding new clients, and we cannot predict when we will achieve sustained profitability, if at all. We also expect to make other significant expenditures and investments in research and development to expand and improve our product offerings and technical infrastructure. In addition, as a public company, we have incurred significant legal, accounting and other expenses that we had not incurred as a private company. These increased expenditures have made it harder for us to achieve and maintain profitability. We also may incur losses in the future for a number of other unforeseen reasons. Accordingly, we may incur losses for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have fluctuated in the past and may continue to fluctuate, causing the value of our common stock to decline substantially.</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ectPr>
          <w:pgSz w:w="11900" w:h="16838" w:orient="portrait"/>
          <w:cols w:equalWidth="0" w:num="1">
            <w:col w:w="11400"/>
          </w:cols>
          <w:pgMar w:left="240" w:top="337" w:right="259" w:bottom="0" w:gutter="0" w:footer="0" w:header="0"/>
        </w:sectPr>
      </w:pPr>
    </w:p>
    <w:bookmarkStart w:id="21" w:name="page22"/>
    <w:bookmarkEnd w:id="21"/>
    <w:p>
      <w:pPr>
        <w:spacing w:after="0" w:line="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number of new clients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other risk factors listed in this section, some of the important factors that may cause fluctuations in our quarterly operating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w:t>
      </w:r>
    </w:p>
    <w:p>
      <w:pPr>
        <w:spacing w:after="0" w:line="207" w:lineRule="exact"/>
        <w:rPr>
          <w:sz w:val="20"/>
          <w:szCs w:val="20"/>
          <w:color w:val="auto"/>
        </w:rPr>
      </w:pPr>
    </w:p>
    <w:p>
      <w:pPr>
        <w:ind w:left="1260" w:hanging="280"/>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products achieve or maintain market acceptance;</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and enhancements and updates to our existing products on a timely basis;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and the introduction of enhanced products and services from competitors;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budgets and procurement policies;</w:t>
      </w:r>
    </w:p>
    <w:p>
      <w:pPr>
        <w:spacing w:after="0" w:line="225"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investment in research and development activities and whether such investments are capitalized or expensed as incurred;</w:t>
      </w:r>
    </w:p>
    <w:p>
      <w:pPr>
        <w:spacing w:after="0" w:line="161"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clients’ employees;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recognition of revenues and expenses;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renewal rates;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our business;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 with our products or interruptions in our services;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qualified personnel;</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requirements and environment related to the products and services which we offer; and</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legal expenses, including litigation and settlement costs.</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do not have long-term agreements with clients, and our standard agreements with clients are generally terminable by our clients upon 60 or fewer days’ notice. If a significant number of clients elected to terminate their agreements with us, our operating results and our business would be adversely affected.</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0"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growth effectively could increase our expenses, decrease our revenue, and prevent us from implementing our business strategy.</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highly competitive, and if we do not compete effectively, our operating results could be adversely affected.</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and other regional providers, and HCM point solutions, such as Cornerstone OnDemand, Inc.</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ectPr>
          <w:pgSz w:w="11900" w:h="16844" w:orient="portrait"/>
          <w:cols w:equalWidth="0" w:num="1">
            <w:col w:w="11420"/>
          </w:cols>
          <w:pgMar w:left="240" w:top="121" w:right="239" w:bottom="0" w:gutter="0" w:footer="0" w:header="0"/>
        </w:sectPr>
      </w:pPr>
    </w:p>
    <w:bookmarkStart w:id="22" w:name="page23"/>
    <w:bookmarkEnd w:id="22"/>
    <w:p>
      <w:pPr>
        <w:spacing w:after="0" w:line="7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offerings. We expect intense competition to continue for these reasons, and such competition could negatively impact our sales, profitability or market share.</w:t>
      </w:r>
    </w:p>
    <w:p>
      <w:pPr>
        <w:spacing w:after="0" w:line="22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5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1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The Patient Protection and Affordable Care Act (“PPACA”) remains subject to continuing legislative scrutiny, including efforts by Congress to amend or repeal, or delay implementation of, a number of its provisions. In addition, numerous lawsuits have challenged and continue to challenge the constitutionality and other aspects of the PPACA, and regulations and regulatory guidance continue to be issued on various aspects of PPACA that may affect our business. Changes in tax, benefit and other laws and regulations, including the PPACA, could require us to make significant modifications to our products or delay or cease sales of certain products, which could result in reduced revenues or revenue growth and our incurring substantial expenses and write-offs.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recognize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recognize our expenses over varying periods based on the nature of the expense. In particular, we recognize implementation costs and sales commissions as they are incurred even though we recognize revenue as we perform services over extended periods. When a client terminates its relationship with us, we may not have derived enough revenue from that client to cover associated implementation costs. As a result, we may report poor operating results due to higher implementation costs and sales commissions in a period in which we experience strong sales of our solutions. Alternatively, we may report better operating results due to lower implementation costs and sales commissions in a period in which we experience a slowdown in sales. As a result, our expenses fluctuate as a percentage of revenue, and changes in our business generally may not be immediately reflected in our results of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and system passwords.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w:t>
      </w:r>
    </w:p>
    <w:p>
      <w:pPr>
        <w:sectPr>
          <w:pgSz w:w="11900" w:h="16915" w:orient="portrait"/>
          <w:cols w:equalWidth="0" w:num="1">
            <w:col w:w="11400"/>
          </w:cols>
          <w:pgMar w:left="240" w:top="337" w:right="259" w:bottom="0" w:gutter="0" w:footer="0" w:header="0"/>
        </w:sectPr>
      </w:pPr>
    </w:p>
    <w:bookmarkStart w:id="23" w:name="page24"/>
    <w:bookmarkEnd w:id="23"/>
    <w:p>
      <w:pPr>
        <w:spacing w:after="0" w:line="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Any such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adequately expand our direct sales force with qualified and productive persons, we may not be able to grow our business effectively.</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8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referral network participants reduce their referrals to us, we may not be able to grow our client base or revenues in the future.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greater than 25% of our new sales in fiscal 2015 were referred to us from our referral network participants, and our referral network may become an even more significant source of client referrals in the future. In most cases, our relationships with referral network participants are informal, although in some cases, we have formalized relationships where we are a recommended vendor for their client.</w:t>
      </w:r>
    </w:p>
    <w:p>
      <w:pPr>
        <w:spacing w:after="0" w:line="18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80"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18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pay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payroll processing business involves the movement of significant funds from the account of a client to employees and relevant taxing authorities. For example, in fiscal 2015 we processed almost $54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w:t>
      </w:r>
    </w:p>
    <w:p>
      <w:pPr>
        <w:sectPr>
          <w:pgSz w:w="11900" w:h="16848" w:orient="portrait"/>
          <w:cols w:equalWidth="0" w:num="1">
            <w:col w:w="11420"/>
          </w:cols>
          <w:pgMar w:left="240" w:top="121" w:right="239" w:bottom="0" w:gutter="0" w:footer="0" w:header="0"/>
        </w:sectPr>
      </w:pPr>
    </w:p>
    <w:bookmarkStart w:id="24" w:name="page25"/>
    <w:bookmarkEnd w:id="24"/>
    <w:p>
      <w:pPr>
        <w:spacing w:after="0" w:line="261" w:lineRule="auto"/>
        <w:rPr>
          <w:sz w:val="20"/>
          <w:szCs w:val="20"/>
          <w:color w:val="auto"/>
        </w:rPr>
      </w:pPr>
      <w:r>
        <w:rPr>
          <w:rFonts w:ascii="Times New Roman" w:cs="Times New Roman" w:eastAsia="Times New Roman" w:hAnsi="Times New Roman"/>
          <w:sz w:val="18"/>
          <w:szCs w:val="18"/>
          <w:color w:val="auto"/>
        </w:rPr>
        <w:t>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economic or political conditions could adversely affect our operating results and our business.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further in the future. If weakness in the economy continues or worsens,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8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Trade, monetary and fiscal policies, and political and economic conditions may substantially change, and credit markets may experience periods of constriction and volatility.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18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7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currently have agreements with nine banks to execute ACH and wire transfers to support our client payroll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employees, and the loss of these persons or an inability to attract and retain highly skilled employees could adversely affect our business.</w:t>
      </w:r>
    </w:p>
    <w:p>
      <w:pPr>
        <w:spacing w:after="0" w:line="15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including Steven R. Beauchamp, our President and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certain of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highly-skilled product development and other technical persons, our ability to develop and support widely-accepted products could be impaired and our business could be harmed.</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81"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concerns and laws or other domestic regulations may reduce the effectiveness of our applications and adversely affect our business.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The costs of compliance with, and other burdens imposed by, such laws and regulations that are applicable to our clients’ 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ectPr>
          <w:pgSz w:w="11900" w:h="16838" w:orient="portrait"/>
          <w:cols w:equalWidth="0" w:num="1">
            <w:col w:w="11420"/>
          </w:cols>
          <w:pgMar w:left="240" w:top="121" w:right="239" w:bottom="0" w:gutter="0" w:footer="0" w:header="0"/>
        </w:sectPr>
      </w:pPr>
    </w:p>
    <w:bookmarkStart w:id="25" w:name="page26"/>
    <w:bookmarkEnd w:id="25"/>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applications and adversely affect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we do not effectively implement our solutions or our clients are not satisfied with our implementation services.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ability to deliver our payroll and HCM solutions depends on our ability to effectively implement and to transition to, and train our clients on, our solutions. We do not recognize revenue from new clients until they process their first payroll. Further, our agreements with our clients are generally terminable by the clients on 60 days’ or less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affected if we are unable to accommodate increased demand for our implementation services resulting from growth in our business.</w:t>
      </w:r>
    </w:p>
    <w:p>
      <w:pPr>
        <w:spacing w:after="0" w:line="15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We may be unable to respond quickly enough to accommodate increased client demand for implementation services driven by our growth. The implementation process is the first substantive interaction with a new client. As a predicate to providing knowledgeable implementation services, we must have a sufficient number of personnel dedicated to that process. In order to ensure that we have sufficient employees to implement our solutions, we must closely coordinate hiring of personnel with our projected sales for a particular period. Because our sales cycle is typically only three to six weeks long, we may not be successful in coordinating hiring of implementation personnel to meet increased demand for our implementation services. Increased demand for implementation services without a corresponding staffing increase of qualified personnel could adversely affect the quality of services provided to new clients, and our business and our reputation could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client services may adversely affect our relationships with our clients and our financial results.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Once our applications are deployed, our clients depend on our client service organization to resolve issues relating to our solutions.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our sales process is highly dependent on our applications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technical operations infrastructure, our existing clients may experience service outages and our new clients may experience delays in the deployment of our applications.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experienced significant growth in the number of users, transactions and data that our operations infrastructure supports. We seek to maintain sufficient excess capacity in our data center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9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88" w:lineRule="exact"/>
        <w:rPr>
          <w:sz w:val="20"/>
          <w:szCs w:val="20"/>
          <w:color w:val="auto"/>
        </w:rPr>
      </w:pPr>
    </w:p>
    <w:p>
      <w:pPr>
        <w:ind w:left="1260" w:hanging="280"/>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from fire, power loss, natural disasters and other force majeure events outside our control;</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failures;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hardware errors, failures and crashes;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computer viruses, hacking, denial-of-service attacks and similar disruptive problems; and</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interruptions.</w:t>
      </w:r>
    </w:p>
    <w:p>
      <w:pPr>
        <w:sectPr>
          <w:pgSz w:w="11900" w:h="16838" w:orient="portrait"/>
          <w:cols w:equalWidth="0" w:num="1">
            <w:col w:w="11420"/>
          </w:cols>
          <w:pgMar w:left="240" w:top="121" w:right="239" w:bottom="0" w:gutter="0" w:footer="0" w:header="0"/>
        </w:sectPr>
      </w:pPr>
    </w:p>
    <w:bookmarkStart w:id="26" w:name="page27"/>
    <w:bookmarkEnd w:id="26"/>
    <w:p>
      <w:pPr>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Furthermore, our payroll application is essential to our clients’ timely payment of wages to their employees. Any interruption in our service may affect the availability, accuracy or timeliness of these programs and could damage our reputation, cause our clients to terminate their use of our application, require us to indemnify our clients against certain losses due to our own errors and prevent us from gaining additional business from current or future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disruption in the operation of our data centers could adversely affect our business.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host our applications and serve all of our clients from data centers located at our company headquarters in Arlington Heights, Illinois with backup data centers at third-party facilities in Franklin Park, Illinois and Kenosha, Wisconsin. We also may decide to employ additional offsite data centers in the future to accommodate growth.</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8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obligations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5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84"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 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8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7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Client funds that we hold are subject to market, interest rate, credit and liquidity risks. The loss of these funds could have an adverse impact on our business.</w:t>
      </w:r>
    </w:p>
    <w:p>
      <w:pPr>
        <w:sectPr>
          <w:pgSz w:w="11900" w:h="16838" w:orient="portrait"/>
          <w:cols w:equalWidth="0" w:num="1">
            <w:col w:w="11420"/>
          </w:cols>
          <w:pgMar w:left="240" w:top="121" w:right="239" w:bottom="0" w:gutter="0" w:footer="0" w:header="0"/>
        </w:sectPr>
      </w:pPr>
    </w:p>
    <w:bookmarkStart w:id="27" w:name="page28"/>
    <w:bookmarkEnd w:id="27"/>
    <w:p>
      <w:pPr>
        <w:spacing w:after="0" w:line="1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invest funds held for our clients in liquid, investment-grade marketable securities, money market securities, and other cash equivalents. Nevertheless, our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18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In addition, these funds are held in consolidated trust accounts,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8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For example, we might lose sales or incur significant expenses if states successfully impose broader guidelines on state sales and use taxes. A successful assertion by one or more states requiring us to collect sales or other taxes on the licensing of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software and services to our clients and might adversely affect our ability to retain existing clients or to gain new clients in the areas in which such taxes are imposed.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may become subject, from time to time, to legal proceedings and claims that arise in the ordinary course of business such as claims brought by our clients in connection with commercial disputes or employment claims made by our current or former employees.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proprietary technology and our brand.</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89"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w:t>
      </w:r>
    </w:p>
    <w:p>
      <w:pPr>
        <w:sectPr>
          <w:pgSz w:w="11900" w:h="16852" w:orient="portrait"/>
          <w:cols w:equalWidth="0" w:num="1">
            <w:col w:w="11420"/>
          </w:cols>
          <w:pgMar w:left="240" w:top="121" w:right="239" w:bottom="0" w:gutter="0" w:footer="0" w:header="0"/>
        </w:sectPr>
      </w:pPr>
    </w:p>
    <w:bookmarkStart w:id="28" w:name="page29"/>
    <w:bookmarkEnd w:id="28"/>
    <w:p>
      <w:pPr>
        <w:spacing w:after="0" w:line="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of their proprietary rights.</w:t>
      </w:r>
    </w:p>
    <w:p>
      <w:pPr>
        <w:spacing w:after="0" w:line="229"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applications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and solutions may expose us to additional risks and harm our intellectual property rights.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nature of open source software, it may be more likely that third parties might assert copyright and other intellectual property infringement claims against us based on our use of these open source software programs.</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third-party software used in our products is not adequately maintained or updated, our business could be materially adversely affected.</w:t>
      </w:r>
    </w:p>
    <w:p>
      <w:pPr>
        <w:spacing w:after="0" w:line="229" w:lineRule="exact"/>
        <w:rPr>
          <w:sz w:val="20"/>
          <w:szCs w:val="20"/>
          <w:color w:val="auto"/>
        </w:rPr>
      </w:pPr>
    </w:p>
    <w:p>
      <w:pPr>
        <w:jc w:val="both"/>
        <w:ind w:right="300" w:firstLine="648"/>
        <w:spacing w:after="0" w:line="257" w:lineRule="auto"/>
        <w:rPr>
          <w:sz w:val="20"/>
          <w:szCs w:val="20"/>
          <w:color w:val="auto"/>
        </w:rPr>
      </w:pPr>
      <w:r>
        <w:rPr>
          <w:rFonts w:ascii="Times New Roman" w:cs="Times New Roman" w:eastAsia="Times New Roman" w:hAnsi="Times New Roman"/>
          <w:sz w:val="18"/>
          <w:szCs w:val="18"/>
          <w:color w:val="auto"/>
        </w:rPr>
        <w:t>Our products utilize certain software of third-party software developers. For example, we license technology from bswift as part of our Paylocity Web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w:t>
      </w:r>
    </w:p>
    <w:p>
      <w:pPr>
        <w:spacing w:after="0" w:line="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8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ectPr>
          <w:pgSz w:w="11900" w:h="16844" w:orient="portrait"/>
          <w:cols w:equalWidth="0" w:num="1">
            <w:col w:w="11420"/>
          </w:cols>
          <w:pgMar w:left="240" w:top="121" w:right="239" w:bottom="0" w:gutter="0" w:footer="0" w:header="0"/>
        </w:sectPr>
      </w:pPr>
    </w:p>
    <w:bookmarkStart w:id="29" w:name="page30"/>
    <w:bookmarkEnd w:id="29"/>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placed on our software and services could impose increased costs on us, delay or prevent our introduction of new products and services, and impair the function or value of our existing products and services.</w:t>
      </w:r>
    </w:p>
    <w:p>
      <w:pPr>
        <w:spacing w:after="0" w:line="15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support business growth, and this capital might not be available.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 Accordingly, we might need to engage in equity or debt financings to secure additional funds. In addition, we will need to expand our ACH capacity as we grow our business.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services present the potential for embezzlement, identity theft, or other similar illegal behavior by our associates with respect to third parties.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Financial Accounting Standards Board, or FASB, the Securities and Exchange Commission,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5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76" w:lineRule="exact"/>
        <w:rPr>
          <w:sz w:val="20"/>
          <w:szCs w:val="20"/>
          <w:color w:val="auto"/>
        </w:rPr>
      </w:pPr>
    </w:p>
    <w:p>
      <w:pPr>
        <w:jc w:val="both"/>
        <w:ind w:right="540" w:firstLine="648"/>
        <w:spacing w:after="0" w:line="266" w:lineRule="auto"/>
        <w:rPr>
          <w:sz w:val="20"/>
          <w:szCs w:val="20"/>
          <w:color w:val="auto"/>
        </w:rPr>
      </w:pPr>
      <w:r>
        <w:rPr>
          <w:rFonts w:ascii="Times New Roman" w:cs="Times New Roman" w:eastAsia="Times New Roman" w:hAnsi="Times New Roman"/>
          <w:sz w:val="18"/>
          <w:szCs w:val="18"/>
          <w:color w:val="auto"/>
        </w:rPr>
        <w:t>In addition, we have limited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76" w:lineRule="exact"/>
        <w:rPr>
          <w:sz w:val="20"/>
          <w:szCs w:val="20"/>
          <w:color w:val="auto"/>
        </w:rPr>
      </w:pPr>
    </w:p>
    <w:p>
      <w:pPr>
        <w:ind w:left="1260" w:hanging="280"/>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ectPr>
          <w:pgSz w:w="11900" w:h="16838" w:orient="portrait"/>
          <w:cols w:equalWidth="0" w:num="1">
            <w:col w:w="11400"/>
          </w:cols>
          <w:pgMar w:left="240" w:top="337" w:right="259" w:bottom="0" w:gutter="0" w:footer="0" w:header="0"/>
        </w:sectPr>
      </w:pPr>
    </w:p>
    <w:bookmarkStart w:id="30" w:name="page31"/>
    <w:bookmarkEnd w:id="30"/>
    <w:p>
      <w:pPr>
        <w:spacing w:after="0" w:line="13" w:lineRule="exact"/>
        <w:rPr>
          <w:sz w:val="20"/>
          <w:szCs w:val="20"/>
          <w:color w:val="auto"/>
        </w:rPr>
      </w:pPr>
    </w:p>
    <w:p>
      <w:pPr>
        <w:ind w:left="1260" w:hanging="280"/>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acquisition-related costs;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225"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converting the clients of the acquired business onto our applications and contract terms, including disparities in the revenues, licensing, support or professional services model of the acquired company;</w:t>
      </w:r>
    </w:p>
    <w:p>
      <w:pPr>
        <w:spacing w:after="0" w:line="161"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clients as a result of the acquisition;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if an acquired business fails to meet our expectations, our operating results, business and financial position may suffer.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January 29, 2016 our directors, executive officers and holders of more than 5% of our common stock, together with their respective affiliates, beneficially owned, in the aggregate, approximately 52.1%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subject to wide fluctuations.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trading price of our common stock could be subject to wide fluctuations in response to various factors, some of which are beyond our control.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include those discussed in this “Risk Factors” section of this Quarterly Report on Form 10-Q and others such as:</w:t>
      </w:r>
    </w:p>
    <w:p>
      <w:pPr>
        <w:spacing w:after="0" w:line="207" w:lineRule="exact"/>
        <w:rPr>
          <w:sz w:val="20"/>
          <w:szCs w:val="20"/>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operating performance of similar companies;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senior management;</w:t>
      </w:r>
    </w:p>
    <w:p>
      <w:pPr>
        <w:spacing w:after="0" w:line="225"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us, our competitors, or our industry, or positive or negative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our directors and executive officers;</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reaction to our reduced disclosure as a result of being an emerging growth company under the JOBS Act;</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and</w:t>
      </w:r>
    </w:p>
    <w:p>
      <w:pPr>
        <w:spacing w:after="0" w:line="225" w:lineRule="exact"/>
        <w:rPr>
          <w:rFonts w:ascii="Times New Roman" w:cs="Times New Roman" w:eastAsia="Times New Roman" w:hAnsi="Times New Roman"/>
          <w:sz w:val="18"/>
          <w:szCs w:val="18"/>
          <w:color w:val="auto"/>
        </w:rPr>
      </w:pPr>
    </w:p>
    <w:p>
      <w:pPr>
        <w:jc w:val="both"/>
        <w:ind w:left="1300" w:right="120" w:hanging="320"/>
        <w:spacing w:after="0" w:line="266" w:lineRule="auto"/>
        <w:tabs>
          <w:tab w:leader="none" w:pos="1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changes in general conditions in the United States and global economies or financial markets (including those resulting from ongoing budget negotiations and intermittent government shutdowns in the United States, acts of God, war, incidents of terrorism, or responses to such events).</w:t>
      </w:r>
    </w:p>
    <w:p>
      <w:pPr>
        <w:sectPr>
          <w:pgSz w:w="11900" w:h="16852" w:orient="portrait"/>
          <w:cols w:equalWidth="0" w:num="1">
            <w:col w:w="11360"/>
          </w:cols>
          <w:pgMar w:left="240" w:top="121" w:right="299" w:bottom="0" w:gutter="0" w:footer="0" w:header="0"/>
        </w:sectPr>
      </w:pPr>
    </w:p>
    <w:bookmarkStart w:id="31" w:name="page32"/>
    <w:bookmarkEnd w:id="31"/>
    <w:p>
      <w:pPr>
        <w:spacing w:after="0" w:line="8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ind w:right="200" w:firstLine="648"/>
        <w:spacing w:after="0" w:line="281" w:lineRule="auto"/>
        <w:rPr>
          <w:sz w:val="20"/>
          <w:szCs w:val="20"/>
          <w:color w:val="auto"/>
        </w:rPr>
      </w:pPr>
      <w:r>
        <w:rPr>
          <w:rFonts w:ascii="Times New Roman" w:cs="Times New Roman" w:eastAsia="Times New Roman" w:hAnsi="Times New Roman"/>
          <w:sz w:val="17"/>
          <w:szCs w:val="17"/>
          <w:color w:val="auto"/>
        </w:rPr>
        <w:t>We have not declared or paid dividends on our common stock in the past two fiscal years and do not currently intend to do so for the foreseeable future. We currently intend to invest our future earnings, if any, to fund our growth.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by existing stockholders could depress the market price of our common stock.</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As of January 29, 2016, we had an aggregate of 50,956,284 outstanding shares of common stock. The 17,362,750 shares sold in our initial public, follow-on and secondary offerings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76"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registered 10,485,694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8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7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controls over financial reporting in the future, investors may lose confidence in the accuracy and completeness of our financial reports and the market price of our common stock may be negatively affected.</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beginning with the annual report for the fiscal year ended June 30, 2015, provide a management report on the internal controls over financial reporting. When we lose our status as an “emerging growth company,” as defined by the Jumpstart Our Business Startups Act of 2012, or the JOBS Act, management’s report on the internal controls over financial reporting will be required to be attested to by our independent registered public accounting firm. The aggregate worldwide market value of our common stock held by non-affiliates as of December 31, 2015 (the last business day of our most recently completed second fiscal quarter) exceeded $700 million, and we therefore will cease to satisfy the conditions of remaining an emerging growth company as of June 30, 2016.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9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5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significant expenses and devoted substantial management effort toward ensuring compliance with the requirements of Section 404 of the Sarbanes-Oxley Act, which will increase when we are no longer an emerging growth company, as defined by the JOBS Act. At such time as we are no longer an emerging growth company, as defined by the JOBS Act, we will need to hire additional accounting and financial staff with appropriate public company experience and technical accounting knowledge. We</w:t>
      </w:r>
    </w:p>
    <w:p>
      <w:pPr>
        <w:sectPr>
          <w:pgSz w:w="11900" w:h="16922" w:orient="portrait"/>
          <w:cols w:equalWidth="0" w:num="1">
            <w:col w:w="11400"/>
          </w:cols>
          <w:pgMar w:left="240" w:top="337" w:right="259" w:bottom="0" w:gutter="0" w:footer="0" w:header="0"/>
        </w:sectPr>
      </w:pPr>
    </w:p>
    <w:bookmarkStart w:id="32" w:name="page33"/>
    <w:bookmarkEnd w:id="32"/>
    <w:p>
      <w:pPr>
        <w:ind w:right="100"/>
        <w:spacing w:after="0" w:line="266" w:lineRule="auto"/>
        <w:rPr>
          <w:sz w:val="20"/>
          <w:szCs w:val="20"/>
          <w:color w:val="auto"/>
        </w:rPr>
      </w:pPr>
      <w:r>
        <w:rPr>
          <w:rFonts w:ascii="Times New Roman" w:cs="Times New Roman" w:eastAsia="Times New Roman" w:hAnsi="Times New Roman"/>
          <w:sz w:val="18"/>
          <w:szCs w:val="18"/>
          <w:color w:val="auto"/>
        </w:rPr>
        <w:t>cannot predict or estimate the amount of additional costs we may incur or the timing of such costs. The aggregate worldwide market value of our common stock held by non-affiliates as of December 31, 2015 (the last business day of our most recently completed second fiscal quarter) exceeded $700 million, and we therefore will cease to satisfy the conditions of remaining an emerging growth company as of June 30, 2016.</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5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184" w:lineRule="exact"/>
        <w:rPr>
          <w:sz w:val="20"/>
          <w:szCs w:val="20"/>
          <w:color w:val="auto"/>
        </w:rPr>
      </w:pPr>
    </w:p>
    <w:p>
      <w:pPr>
        <w:ind w:left="1300" w:right="480" w:hanging="320"/>
        <w:spacing w:after="0" w:line="282" w:lineRule="auto"/>
        <w:tabs>
          <w:tab w:leader="none" w:pos="1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convertible preferred stock that could be issued by our board of directors to thwart a takeover attempt;</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61"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directors only be removed from office for cause and only upon a supermajority stockholder vote;</w:t>
      </w:r>
    </w:p>
    <w:p>
      <w:pPr>
        <w:spacing w:after="0" w:line="225"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including newly-created directorships, may be filled only by a majority vote of directors then in office rather than by stockholders;</w:t>
      </w:r>
    </w:p>
    <w:p>
      <w:pPr>
        <w:spacing w:after="0" w:line="161"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stockholders from calling special meetings; and</w:t>
      </w:r>
    </w:p>
    <w:p>
      <w:pPr>
        <w:spacing w:after="0" w:line="225"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requiring all actions to be taken at a meeting of the stockholders.</w:t>
      </w:r>
    </w:p>
    <w:p>
      <w:pPr>
        <w:spacing w:after="0" w:line="22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5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the JOBS Act, emerging growth companies can delay adopting new or revised accounting standards until such time as those standards apply to private companies.</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For as long as we continue to be an emerging growth company, we intend to take advantage of certain other exemptions from various reporting requirements that are applicable to other public companies including, but not limited to,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exemptions from the requirements of auditor attestation reports on the effectiveness of our internal control over financial reporting.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Although we are eligible under the JOBS Act to delay adoption of new or revised financial accounting standards until they are applicable to private companies, we have elected not to avail ourselves of this exclusion. This election by us is irrevocable.</w:t>
      </w:r>
    </w:p>
    <w:p>
      <w:pPr>
        <w:spacing w:after="0" w:line="162"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aggregate worldwide market value of our common stock held by non-affiliates as of December 31, 2015 (the last business day of our most recently completed second fiscal quarter) exceeded $700 million, and we therefore will cease to satisfy the conditions of remaining an emerging growth company as of June 30,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980" w:right="8020" w:hanging="324"/>
        <w:spacing w:after="0" w:line="501" w:lineRule="auto"/>
        <w:tabs>
          <w:tab w:leader="none" w:pos="987"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Sales of Unregistered Securities </w:t>
      </w:r>
      <w:r>
        <w:rPr>
          <w:rFonts w:ascii="Times New Roman" w:cs="Times New Roman" w:eastAsia="Times New Roman" w:hAnsi="Times New Roman"/>
          <w:sz w:val="18"/>
          <w:szCs w:val="18"/>
          <w:color w:val="auto"/>
        </w:rPr>
        <w:t>Not applicable.</w:t>
      </w:r>
    </w:p>
    <w:p>
      <w:pPr>
        <w:ind w:left="1000" w:hanging="344"/>
        <w:spacing w:after="0"/>
        <w:tabs>
          <w:tab w:leader="none" w:pos="10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$9.5 million for the purchase of substantially all of the assets of BFKMS Inc. and paid $9.2 million for the purchase of substantially all of the assets of Synergy Payroll, LLC.</w:t>
      </w:r>
    </w:p>
    <w:p>
      <w:pPr>
        <w:sectPr>
          <w:pgSz w:w="11900" w:h="16838" w:orient="portrait"/>
          <w:cols w:equalWidth="0" w:num="1">
            <w:col w:w="11420"/>
          </w:cols>
          <w:pgMar w:left="240" w:top="121" w:right="239" w:bottom="0" w:gutter="0" w:footer="0" w:header="0"/>
        </w:sectPr>
      </w:pPr>
    </w:p>
    <w:bookmarkStart w:id="33" w:name="page34"/>
    <w:bookmarkEnd w:id="33"/>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offering from that described in the final prospectus filed with the SEC pursuant to Rule 424(b) on December 12, 2014.</w:t>
      </w:r>
    </w:p>
    <w:p>
      <w:pPr>
        <w:spacing w:after="0" w:line="18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90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120" w:type="dxa"/>
            <w:vAlign w:val="bottom"/>
          </w:tcPr>
          <w:p>
            <w:pPr>
              <w:spacing w:after="0"/>
              <w:rPr>
                <w:sz w:val="15"/>
                <w:szCs w:val="15"/>
                <w:color w:val="auto"/>
              </w:rPr>
            </w:pPr>
          </w:p>
        </w:tc>
        <w:tc>
          <w:tcPr>
            <w:tcW w:w="992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First Amended and Restated Certificate of Incorporation (filed as Exhibit 3.2 of the Paylocity Holding Corporation’s Form S-1</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Registration Statement (Registration No. 333-193661).</w:t>
            </w:r>
          </w:p>
        </w:tc>
        <w:tc>
          <w:tcPr>
            <w:tcW w:w="40" w:type="dxa"/>
            <w:vAlign w:val="bottom"/>
          </w:tcPr>
          <w:p>
            <w:pPr>
              <w:spacing w:after="0"/>
              <w:rPr>
                <w:sz w:val="20"/>
                <w:szCs w:val="20"/>
                <w:color w:val="auto"/>
              </w:rPr>
            </w:pPr>
          </w:p>
        </w:tc>
      </w:tr>
      <w:tr>
        <w:trPr>
          <w:trHeight w:val="41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Amended and Restated Bylaws of Paylocity Holding Corporation (as amended by the amendment to the Bylaws approved by the Board</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Directors of Paylocity Holding Corporation on February 2, 2016).</w:t>
            </w:r>
          </w:p>
        </w:tc>
        <w:tc>
          <w:tcPr>
            <w:tcW w:w="40" w:type="dxa"/>
            <w:vAlign w:val="bottom"/>
          </w:tcPr>
          <w:p>
            <w:pPr>
              <w:spacing w:after="0"/>
              <w:rPr>
                <w:sz w:val="20"/>
                <w:szCs w:val="20"/>
                <w:color w:val="auto"/>
              </w:rPr>
            </w:pPr>
          </w:p>
        </w:tc>
      </w:tr>
      <w:tr>
        <w:trPr>
          <w:trHeight w:val="41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Securities Exchange Act Rules 13a-4 and 15d-14 as adopted pursuant to Section 302</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40" w:type="dxa"/>
            <w:vAlign w:val="bottom"/>
          </w:tcPr>
          <w:p>
            <w:pPr>
              <w:spacing w:after="0"/>
              <w:rPr>
                <w:sz w:val="20"/>
                <w:szCs w:val="20"/>
                <w:color w:val="auto"/>
              </w:rPr>
            </w:pPr>
          </w:p>
        </w:tc>
      </w:tr>
      <w:tr>
        <w:trPr>
          <w:trHeight w:val="41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Securities Exchange Act Rules 13a-4 and 15d-14 as adopted pursuant to Section 302</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40" w:type="dxa"/>
            <w:vAlign w:val="bottom"/>
          </w:tcPr>
          <w:p>
            <w:pPr>
              <w:spacing w:after="0"/>
              <w:rPr>
                <w:sz w:val="20"/>
                <w:szCs w:val="20"/>
                <w:color w:val="auto"/>
              </w:rPr>
            </w:pPr>
          </w:p>
        </w:tc>
      </w:tr>
      <w:tr>
        <w:trPr>
          <w:trHeight w:val="41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Certification pursuant to 18 U.S.C. 1350, adopted pursuant to Section 906 of the Sarbanes-Oxley Act of 2002, by Chief Executive</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424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24"/>
                <w:szCs w:val="24"/>
                <w:color w:val="auto"/>
              </w:rPr>
            </w:pPr>
          </w:p>
        </w:tc>
      </w:tr>
      <w:tr>
        <w:trPr>
          <w:trHeight w:val="132"/>
        </w:trPr>
        <w:tc>
          <w:tcPr>
            <w:tcW w:w="1280" w:type="dxa"/>
            <w:vAlign w:val="bottom"/>
            <w:tcBorders>
              <w:bottom w:val="single" w:sz="8" w:color="808080"/>
            </w:tcBorders>
            <w:gridSpan w:val="3"/>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380" w:type="dxa"/>
            <w:vAlign w:val="bottom"/>
            <w:gridSpan w:val="4"/>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Certification pursuant to 18 U.S.C. 1350, adopted pursuant to Section 906 of the Sarbanes-Oxley Act of 2002, by Chief Financial Officer.</w:t>
            </w:r>
          </w:p>
        </w:tc>
        <w:tc>
          <w:tcPr>
            <w:tcW w:w="40" w:type="dxa"/>
            <w:vAlign w:val="bottom"/>
          </w:tcPr>
          <w:p>
            <w:pPr>
              <w:spacing w:after="0"/>
              <w:rPr>
                <w:sz w:val="19"/>
                <w:szCs w:val="19"/>
                <w:color w:val="auto"/>
              </w:rPr>
            </w:pPr>
          </w:p>
        </w:tc>
      </w:tr>
      <w:tr>
        <w:trPr>
          <w:trHeight w:val="414"/>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Instance Document.</w:t>
            </w:r>
          </w:p>
        </w:tc>
        <w:tc>
          <w:tcPr>
            <w:tcW w:w="40" w:type="dxa"/>
            <w:vAlign w:val="bottom"/>
          </w:tcPr>
          <w:p>
            <w:pPr>
              <w:spacing w:after="0"/>
              <w:rPr>
                <w:sz w:val="24"/>
                <w:szCs w:val="24"/>
                <w:color w:val="auto"/>
              </w:rPr>
            </w:pPr>
          </w:p>
        </w:tc>
      </w:tr>
      <w:tr>
        <w:trPr>
          <w:trHeight w:val="432"/>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0" w:type="dxa"/>
            <w:vAlign w:val="bottom"/>
          </w:tcPr>
          <w:p>
            <w:pPr>
              <w:spacing w:after="0"/>
              <w:rPr>
                <w:sz w:val="24"/>
                <w:szCs w:val="24"/>
                <w:color w:val="auto"/>
              </w:rPr>
            </w:pPr>
          </w:p>
        </w:tc>
      </w:tr>
      <w:tr>
        <w:trPr>
          <w:trHeight w:val="432"/>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0" w:type="dxa"/>
            <w:vAlign w:val="bottom"/>
          </w:tcPr>
          <w:p>
            <w:pPr>
              <w:spacing w:after="0"/>
              <w:rPr>
                <w:sz w:val="24"/>
                <w:szCs w:val="24"/>
                <w:color w:val="auto"/>
              </w:rPr>
            </w:pPr>
          </w:p>
        </w:tc>
      </w:tr>
      <w:tr>
        <w:trPr>
          <w:trHeight w:val="432"/>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0" w:type="dxa"/>
            <w:vAlign w:val="bottom"/>
          </w:tcPr>
          <w:p>
            <w:pPr>
              <w:spacing w:after="0"/>
              <w:rPr>
                <w:sz w:val="24"/>
                <w:szCs w:val="24"/>
                <w:color w:val="auto"/>
              </w:rPr>
            </w:pPr>
          </w:p>
        </w:tc>
      </w:tr>
      <w:tr>
        <w:trPr>
          <w:trHeight w:val="432"/>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40" w:type="dxa"/>
            <w:vAlign w:val="bottom"/>
          </w:tcPr>
          <w:p>
            <w:pPr>
              <w:spacing w:after="0"/>
              <w:rPr>
                <w:sz w:val="24"/>
                <w:szCs w:val="24"/>
                <w:color w:val="auto"/>
              </w:rPr>
            </w:pPr>
          </w:p>
        </w:tc>
      </w:tr>
      <w:tr>
        <w:trPr>
          <w:trHeight w:val="432"/>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-2411095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-2411095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0" w:hanging="433"/>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9" w:orient="portrait"/>
          <w:cols w:equalWidth="0" w:num="1">
            <w:col w:w="11460"/>
          </w:cols>
          <w:pgMar w:left="240" w:top="121" w:right="199" w:bottom="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PAYLOCITY HOLDING CORPORATION</w:t>
            </w:r>
          </w:p>
        </w:tc>
        <w:tc>
          <w:tcPr>
            <w:tcW w:w="40" w:type="dxa"/>
            <w:vAlign w:val="bottom"/>
          </w:tcPr>
          <w:p>
            <w:pPr>
              <w:spacing w:after="0"/>
              <w:rPr>
                <w:sz w:val="20"/>
                <w:szCs w:val="20"/>
                <w:color w:val="auto"/>
              </w:rPr>
            </w:pPr>
          </w:p>
        </w:tc>
      </w:tr>
      <w:tr>
        <w:trPr>
          <w:trHeight w:val="432"/>
        </w:trPr>
        <w:tc>
          <w:tcPr>
            <w:tcW w:w="5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 February 5, 2016</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 Steven R. Beauchamp</w:t>
            </w:r>
          </w:p>
        </w:tc>
        <w:tc>
          <w:tcPr>
            <w:tcW w:w="40" w:type="dxa"/>
            <w:vAlign w:val="bottom"/>
          </w:tcPr>
          <w:p>
            <w:pPr>
              <w:spacing w:after="0"/>
              <w:rPr>
                <w:sz w:val="24"/>
                <w:szCs w:val="24"/>
                <w:color w:val="auto"/>
              </w:rPr>
            </w:pPr>
          </w:p>
        </w:tc>
      </w:tr>
      <w:tr>
        <w:trPr>
          <w:trHeight w:val="187"/>
        </w:trPr>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8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Borders>
              <w:top w:val="single" w:sz="8" w:color="auto"/>
            </w:tcBorders>
          </w:tcPr>
          <w:p>
            <w:pPr>
              <w:spacing w:after="0"/>
              <w:rPr>
                <w:sz w:val="16"/>
                <w:szCs w:val="16"/>
                <w:color w:val="auto"/>
              </w:rPr>
            </w:pPr>
          </w:p>
        </w:tc>
        <w:tc>
          <w:tcPr>
            <w:tcW w:w="48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Steven R. Beauchamp</w:t>
            </w:r>
          </w:p>
        </w:tc>
        <w:tc>
          <w:tcPr>
            <w:tcW w:w="40" w:type="dxa"/>
            <w:vAlign w:val="bottom"/>
          </w:tcPr>
          <w:p>
            <w:pPr>
              <w:spacing w:after="0"/>
              <w:rPr>
                <w:sz w:val="16"/>
                <w:szCs w:val="16"/>
                <w:color w:val="auto"/>
              </w:rPr>
            </w:pPr>
          </w:p>
        </w:tc>
      </w:tr>
      <w:tr>
        <w:trPr>
          <w:trHeight w:val="238"/>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8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40" w:type="dxa"/>
            <w:vAlign w:val="bottom"/>
          </w:tcPr>
          <w:p>
            <w:pPr>
              <w:spacing w:after="0"/>
              <w:rPr>
                <w:sz w:val="20"/>
                <w:szCs w:val="20"/>
                <w:color w:val="auto"/>
              </w:rPr>
            </w:pPr>
          </w:p>
        </w:tc>
      </w:tr>
      <w:tr>
        <w:trPr>
          <w:trHeight w:val="648"/>
        </w:trPr>
        <w:tc>
          <w:tcPr>
            <w:tcW w:w="5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 February 5, 2016</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 Peter J. McGrail</w:t>
            </w:r>
          </w:p>
        </w:tc>
        <w:tc>
          <w:tcPr>
            <w:tcW w:w="40" w:type="dxa"/>
            <w:vAlign w:val="bottom"/>
          </w:tcPr>
          <w:p>
            <w:pPr>
              <w:spacing w:after="0"/>
              <w:rPr>
                <w:sz w:val="24"/>
                <w:szCs w:val="24"/>
                <w:color w:val="auto"/>
              </w:rPr>
            </w:pPr>
          </w:p>
        </w:tc>
      </w:tr>
      <w:tr>
        <w:trPr>
          <w:trHeight w:val="187"/>
        </w:trPr>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8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Borders>
              <w:top w:val="single" w:sz="8" w:color="auto"/>
            </w:tcBorders>
          </w:tcPr>
          <w:p>
            <w:pPr>
              <w:spacing w:after="0"/>
              <w:rPr>
                <w:sz w:val="16"/>
                <w:szCs w:val="16"/>
                <w:color w:val="auto"/>
              </w:rPr>
            </w:pPr>
          </w:p>
        </w:tc>
        <w:tc>
          <w:tcPr>
            <w:tcW w:w="480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Peter J. McGrail</w:t>
            </w:r>
          </w:p>
        </w:tc>
        <w:tc>
          <w:tcPr>
            <w:tcW w:w="40" w:type="dxa"/>
            <w:vAlign w:val="bottom"/>
          </w:tcPr>
          <w:p>
            <w:pPr>
              <w:spacing w:after="0"/>
              <w:rPr>
                <w:sz w:val="16"/>
                <w:szCs w:val="16"/>
                <w:color w:val="auto"/>
              </w:rPr>
            </w:pPr>
          </w:p>
        </w:tc>
      </w:tr>
      <w:tr>
        <w:trPr>
          <w:trHeight w:val="216"/>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and Accounting</w:t>
            </w:r>
          </w:p>
        </w:tc>
        <w:tc>
          <w:tcPr>
            <w:tcW w:w="40" w:type="dxa"/>
            <w:vAlign w:val="bottom"/>
          </w:tcPr>
          <w:p>
            <w:pPr>
              <w:spacing w:after="0"/>
              <w:rPr>
                <w:sz w:val="18"/>
                <w:szCs w:val="18"/>
                <w:color w:val="auto"/>
              </w:rPr>
            </w:pPr>
          </w:p>
        </w:tc>
      </w:tr>
      <w:tr>
        <w:trPr>
          <w:trHeight w:val="238"/>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Officer)</w:t>
            </w:r>
          </w:p>
        </w:tc>
        <w:tc>
          <w:tcPr>
            <w:tcW w:w="4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gridSpan w:val="2"/>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500" w:type="dxa"/>
            <w:vAlign w:val="bottom"/>
            <w:gridSpan w:val="4"/>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3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4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74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w w:val="98"/>
              </w:rPr>
              <w:t>INDEX TO EXHIBITS</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13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84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407"/>
        </w:trPr>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First Amended and Restated Certificate of Incorporation (filed as Exhibit 3.2 of the Paylocity Holding Corporation’s Form S-1</w:t>
            </w:r>
          </w:p>
        </w:tc>
        <w:tc>
          <w:tcPr>
            <w:tcW w:w="40" w:type="dxa"/>
            <w:vAlign w:val="bottom"/>
          </w:tcPr>
          <w:p>
            <w:pPr>
              <w:spacing w:after="0"/>
              <w:rPr>
                <w:sz w:val="24"/>
                <w:szCs w:val="24"/>
                <w:color w:val="auto"/>
              </w:rPr>
            </w:pPr>
          </w:p>
        </w:tc>
      </w:tr>
      <w:tr>
        <w:trPr>
          <w:trHeight w:val="234"/>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Statement (Registration No. 333-193661).</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Amended and Restated Bylaws of Paylocity Holding Corporation (as amended by the amendment to the Bylaws approved by the Board</w:t>
            </w:r>
          </w:p>
        </w:tc>
        <w:tc>
          <w:tcPr>
            <w:tcW w:w="40" w:type="dxa"/>
            <w:vAlign w:val="bottom"/>
          </w:tcPr>
          <w:p>
            <w:pPr>
              <w:spacing w:after="0"/>
              <w:rPr>
                <w:sz w:val="24"/>
                <w:szCs w:val="24"/>
                <w:color w:val="auto"/>
              </w:rPr>
            </w:pPr>
          </w:p>
        </w:tc>
      </w:tr>
      <w:tr>
        <w:trPr>
          <w:trHeight w:val="234"/>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Directors of Paylocity Holding Corporation on February 2, 2016).</w:t>
            </w: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Securities Exchange Act Rules 13a-4 and 15d-14 as adopted pursuant to Section 302</w:t>
            </w:r>
          </w:p>
        </w:tc>
        <w:tc>
          <w:tcPr>
            <w:tcW w:w="40" w:type="dxa"/>
            <w:vAlign w:val="bottom"/>
          </w:tcPr>
          <w:p>
            <w:pPr>
              <w:spacing w:after="0"/>
              <w:rPr>
                <w:sz w:val="24"/>
                <w:szCs w:val="24"/>
                <w:color w:val="auto"/>
              </w:rPr>
            </w:pPr>
          </w:p>
        </w:tc>
      </w:tr>
      <w:tr>
        <w:trPr>
          <w:trHeight w:val="234"/>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Securities Exchange Act Rules 13a-4 and 15d-14 as adopted pursuant to Section 302</w:t>
            </w:r>
          </w:p>
        </w:tc>
        <w:tc>
          <w:tcPr>
            <w:tcW w:w="40" w:type="dxa"/>
            <w:vAlign w:val="bottom"/>
          </w:tcPr>
          <w:p>
            <w:pPr>
              <w:spacing w:after="0"/>
              <w:rPr>
                <w:sz w:val="24"/>
                <w:szCs w:val="24"/>
                <w:color w:val="auto"/>
              </w:rPr>
            </w:pPr>
          </w:p>
        </w:tc>
      </w:tr>
      <w:tr>
        <w:trPr>
          <w:trHeight w:val="234"/>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Certification pursuant to 18 U.S.C. 1350, adopted pursuant to Section 906 of the Sarbanes-Oxley Act of 2002, by Chief Executive</w:t>
            </w:r>
          </w:p>
        </w:tc>
        <w:tc>
          <w:tcPr>
            <w:tcW w:w="40" w:type="dxa"/>
            <w:vAlign w:val="bottom"/>
          </w:tcPr>
          <w:p>
            <w:pPr>
              <w:spacing w:after="0"/>
              <w:rPr>
                <w:sz w:val="24"/>
                <w:szCs w:val="24"/>
                <w:color w:val="auto"/>
              </w:rPr>
            </w:pPr>
          </w:p>
        </w:tc>
      </w:tr>
      <w:tr>
        <w:trPr>
          <w:trHeight w:val="234"/>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Certification pursuant to 18 U.S.C. 1350, adopted pursuant to Section 906 of the Sarbanes-Oxley Act of 2002, by Chief Financial Officer.</w:t>
            </w:r>
          </w:p>
        </w:tc>
        <w:tc>
          <w:tcPr>
            <w:tcW w:w="40" w:type="dxa"/>
            <w:vAlign w:val="bottom"/>
          </w:tcPr>
          <w:p>
            <w:pPr>
              <w:spacing w:after="0"/>
              <w:rPr>
                <w:sz w:val="24"/>
                <w:szCs w:val="24"/>
                <w:color w:val="auto"/>
              </w:rPr>
            </w:pPr>
          </w:p>
        </w:tc>
      </w:tr>
      <w:tr>
        <w:trPr>
          <w:trHeight w:val="432"/>
        </w:trPr>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5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5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XBRL Taxonomy Extension Label Linkbase Document.</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5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4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gridSpan w:val="2"/>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Filed herewith</w:t>
            </w:r>
          </w:p>
        </w:tc>
        <w:tc>
          <w:tcPr>
            <w:tcW w:w="13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-5671820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-5671820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3" w:right="199" w:bottom="1440" w:gutter="0" w:footer="0" w:header="0"/>
        </w:sectPr>
      </w:pPr>
    </w:p>
    <w:bookmarkStart w:id="35" w:name="page36"/>
    <w:bookmarkEnd w:id="35"/>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AMENDED AND RESTATED BYLAWS OF PAYLOCITY HOLDING CORPORATION </w:t>
      </w:r>
      <w:r>
        <w:rPr>
          <w:rFonts w:ascii="Times New Roman" w:cs="Times New Roman" w:eastAsia="Times New Roman" w:hAnsi="Times New Roman"/>
          <w:sz w:val="18"/>
          <w:szCs w:val="18"/>
          <w:color w:val="auto"/>
        </w:rPr>
        <w:t>(as amended by the amendment to the Bylaws approved by the Board of Directors of Paylocity Holding Corporation on February 2, 2016)</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0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All meetings of stockholders shall be held at such place (if any) within or without the State of Delaware as may be determined from time to time by the Board of Directors or, if not determined by the Board of Directors, by the Chairman of the Board, the President or the Chief Executive Officer; provided that the Board of Directors may, in its sole discretion, determine that any meeting of stockholders shall not be held at any place but shall be held solely by means of remote communication in accordance with Section 1.13.</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for the election of directors and for the transaction of such other business as may properly be brought before the meeting shall be held on a date to be fixed by the Board of Directors at a time to be fixed by the Board of Directors and stated in the notice of the meeting.</w:t>
      </w:r>
    </w:p>
    <w:p>
      <w:pPr>
        <w:spacing w:after="0" w:line="17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stockholders may be called at any time by the Board of Directors, the Chairman of the Board or the Chief Executive Officer, for any purpose or purposes prescribed in the notice of the meeting and shall be held on such date and at such time as the Board may fix. Business transacted at any special meeting of stockholders shall be confined to the purpose or purposes stated in the notice of meeting.</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305"/>
        <w:spacing w:after="0" w:line="255" w:lineRule="auto"/>
        <w:tabs>
          <w:tab w:leader="none" w:pos="194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of each meeting of stockholders, whether annual or special, shall be given not less than 10 nor more than 60 days before the date on which the meeting is to be held, to each stockholder entitled to vote at such meeting as of the record date fixed by the Board of Directors for determining the stockholders entitled to notice of the meeting, except as otherwise provided herein or as required by law (meaning here and hereafter, as required from time to time by the Delaware General Corporation Law or the Certificate of Incorporation of the corporation). The notice of any meeting shall state the place, if any, date and hour of the meeting, and the means of remote communication, if any, by which stockholders and proxy holders may be deemed to be present in person and vote at such meeting. The notice of a special meeting shall state, in addition, the purpose or purposes for which the meeting is called.</w:t>
      </w:r>
    </w:p>
    <w:p>
      <w:pPr>
        <w:spacing w:after="0" w:line="189" w:lineRule="exact"/>
        <w:rPr>
          <w:rFonts w:ascii="Times New Roman" w:cs="Times New Roman" w:eastAsia="Times New Roman" w:hAnsi="Times New Roman"/>
          <w:sz w:val="18"/>
          <w:szCs w:val="18"/>
          <w:color w:val="auto"/>
        </w:rPr>
      </w:pPr>
    </w:p>
    <w:p>
      <w:pPr>
        <w:ind w:right="160" w:firstLine="1305"/>
        <w:spacing w:after="0" w:line="254" w:lineRule="auto"/>
        <w:tabs>
          <w:tab w:leader="none" w:pos="19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stockholders may be given by personal delivery, mail, or, with the consent of the stockholder entitled to receive notice, by facsimile or other means of electronic transmission. If mailed, such notice shall be delivered by postage prepaid envelope directed to each stockholder at such stockholder’s address as it appears in the records of the corporation and shall be deemed given when deposited in the United States mail. Notice given by electronic transmission pursuant to this subsection shall be deemed given: (1) if by facsimile telecommunication, when directed to a facsimile telecommunication number at which the stockholder has consented to receive notice; (2) if by electronic mail, when directed to an electronic mail address at which the stockholder has consented to receive notice; (3) if by posting on an electronic network together with separate notice to the stockholder of such specific posting, upon the later of (A) such posting and (B) the giving of such separate notice; and (4) if by any other form of electronic transmission, when directed to the stockholder. An affidavit of the secretary or an assistant secretary or of the transfer agent or other agent of the corporation that the notice has been given by personal delivery, by mail, or by a form of electronic transmission shall, in the absence of fraud, be prima facie evidence of the facts stated therein.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2" w:lineRule="exact"/>
        <w:rPr>
          <w:rFonts w:ascii="Times New Roman" w:cs="Times New Roman" w:eastAsia="Times New Roman" w:hAnsi="Times New Roman"/>
          <w:sz w:val="18"/>
          <w:szCs w:val="18"/>
          <w:color w:val="auto"/>
        </w:rPr>
      </w:pPr>
    </w:p>
    <w:p>
      <w:pPr>
        <w:jc w:val="both"/>
        <w:ind w:right="100" w:firstLine="1305"/>
        <w:spacing w:after="0" w:line="261" w:lineRule="auto"/>
        <w:tabs>
          <w:tab w:leader="none" w:pos="1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meeting of stockholders need not be given to any stockholder if waived by such stockholder either in a writing signed by such stockholder or by electronic transmission, whether such waiver is given before or after such meeting is held. If such a waiver is given by electronic transmission, the electronic transmission must either set forth or be submitted with information from which it can be determined that the electronic transmission was authorized by the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-947420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Voting List</w:t>
      </w:r>
      <w:r>
        <w:rPr>
          <w:rFonts w:ascii="Times New Roman" w:cs="Times New Roman" w:eastAsia="Times New Roman" w:hAnsi="Times New Roman"/>
          <w:sz w:val="18"/>
          <w:szCs w:val="18"/>
          <w:color w:val="auto"/>
        </w:rPr>
        <w:t>. The officer who has charge of the stock ledger of the corporation shall prepare, at least 10 days before each meeting of stockholders, a complete list of the stockholders entitled to vote at the meeting; the list shall reflect the stockholders entitled to vote as of the tenth day before the meeting date, arranged in alphabetical order for each class of stock and showing the mailing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(a) on a reasonably accessible electronic network, provided that the information required to gain access to such list is provided with the notice of the meeting, (b) during ordinary business hours at the principal place of business of the corporation or (c) in any other manner provided by law. If the meeting is to be held at a place, the list shall be produced and kept at the time and place of the meeting during the whole time of the meeting, and may be examined by any stockholder who is present. If the meeting is to be held solely by means of remote communication, such list shall also be open to the examination of any stockholder during the whole time of the meeting on a reasonably accessible electronic network, and the information required to access such list shall be provided with the notice of the meeting. The stock ledger shall be the only evidence as to the stockholders who are entitled to examine the list required by this Section 1.5 or to vote in person or by proxy at any meeting of stockholders.</w:t>
      </w:r>
    </w:p>
    <w:p>
      <w:pPr>
        <w:spacing w:after="0" w:line="191"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provided by law or these Bylaws, the holders of a majority of the shares of the capital stock of the corporation entitled to vote at the meeting, present in person or represented by proxy, shall constitute a quorum for the transaction of business. Where a separate class vote by a class or classes or series is required, a majority of the shares of such class or classes or series present in person or represented by proxy shall constitute a quorum entitled to take action with respect to that vote on that matter.</w:t>
      </w:r>
    </w:p>
    <w:p>
      <w:pPr>
        <w:spacing w:after="0" w:line="180"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Adjournments</w:t>
      </w:r>
      <w:r>
        <w:rPr>
          <w:rFonts w:ascii="Times New Roman" w:cs="Times New Roman" w:eastAsia="Times New Roman" w:hAnsi="Times New Roman"/>
          <w:sz w:val="18"/>
          <w:szCs w:val="18"/>
          <w:color w:val="auto"/>
        </w:rPr>
        <w:t>. Any meeting of stockholders may be adjourned to any other time and to any other place at which a meeting of stockholders may be held under these Bylaws by the chairman of the meeting or, in the absence of such person, by any officer entitled to preside at or to act as secretary of such meeting, or by the holders of a majority of the shares of stock present or represented at the meeting and entitled to vote, although less than a quorum.</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When a meeting is adjourned to another place, date or time, written notice need not be given of the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provided, however, that if the date of any adjourned meeting is more than</w:t>
      </w:r>
    </w:p>
    <w:p>
      <w:pPr>
        <w:sectPr>
          <w:pgSz w:w="11900" w:h="16841" w:orient="portrait"/>
          <w:cols w:equalWidth="0" w:num="1">
            <w:col w:w="11420"/>
          </w:cols>
          <w:pgMar w:left="240" w:top="117" w:right="239" w:bottom="0" w:gutter="0" w:footer="0" w:header="0"/>
        </w:sectPr>
      </w:pPr>
    </w:p>
    <w:bookmarkStart w:id="36" w:name="page37"/>
    <w:bookmarkEnd w:id="36"/>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30 days after the date for which the meeting was originally noticed, or if the Board of Directors fixes a new record date for determining the stockholders entitled to vote at the adjourned meeting in accordance with Section 4.5, written notice of the place, if any, date and time of the adjourned meeting and the means of remote communication, if any, by which stockholders and proxy holders may be deemed to be present in person and vote at such adjourned meeting, shall be given in conformity herewith. At the adjourned meeting, the corporation may transact any business which might have been transacted at the original meeting.</w:t>
      </w:r>
    </w:p>
    <w:p>
      <w:pPr>
        <w:spacing w:after="0" w:line="184"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 Each stockholder shall have one vote for each share of stock entitled to vote held of record by such stockholder and a proportionate vote for each fractional share so held,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otherwise provided by law or in the Certificate of Incorporation. Each stockholder of record entitled to vote at a meeting of stockholders may vote in person or may authorize any other person or persons to vote or act for such stockholder by a written proxy executed by the stockholder or the stockholder’s authorized agent or by an electronic transmission permitted by law and delivered to the Secretary of the corporation. Any copy, facsimile transmission or other reliable reproduction of the writing or electronic transmission created pursuant to this section may be substituted or used in lieu of the original writing or electronic transmission for any and all purposes for which the original writing or transmission could be used, provided that such copy, facsimile transmission or other reproduction shall be a complete reproduction of the entire original writing or electronic transmission.</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40" w:firstLine="1305"/>
        <w:spacing w:after="0" w:line="282" w:lineRule="auto"/>
        <w:tabs>
          <w:tab w:leader="none" w:pos="194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of stockholders for the election of one or more directors at which a quorum is present, the election shall be determined by a plurality of the votes cast by the stockholders entitled to vote at the election.</w:t>
      </w:r>
    </w:p>
    <w:p>
      <w:pPr>
        <w:spacing w:after="0" w:line="161" w:lineRule="exact"/>
        <w:rPr>
          <w:rFonts w:ascii="Times New Roman" w:cs="Times New Roman" w:eastAsia="Times New Roman" w:hAnsi="Times New Roman"/>
          <w:sz w:val="18"/>
          <w:szCs w:val="18"/>
          <w:color w:val="auto"/>
        </w:rPr>
      </w:pPr>
    </w:p>
    <w:p>
      <w:pPr>
        <w:ind w:right="100" w:firstLine="1305"/>
        <w:spacing w:after="0" w:line="261" w:lineRule="auto"/>
        <w:tabs>
          <w:tab w:leader="none" w:pos="19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matters shall be determined by a majority in voting power of the shares present in person or represented by proxy and entitled to vote on the matter (or if there are two or more classes of stock entitled to vote as separate classes, then in the case of each such class, a majority of the shares of each such class present in person or represented by proxy and entitled to vote on the matter shall decide such matter), provided that a quorum is present, except when a different vote is required by express provision of law, the Certificate of Incorporation or these Bylaws.</w:t>
      </w:r>
    </w:p>
    <w:p>
      <w:pPr>
        <w:spacing w:after="0" w:line="180" w:lineRule="exact"/>
        <w:rPr>
          <w:rFonts w:ascii="Times New Roman" w:cs="Times New Roman" w:eastAsia="Times New Roman" w:hAnsi="Times New Roman"/>
          <w:sz w:val="18"/>
          <w:szCs w:val="18"/>
          <w:color w:val="auto"/>
        </w:rPr>
      </w:pPr>
    </w:p>
    <w:p>
      <w:pPr>
        <w:ind w:right="60" w:firstLine="1305"/>
        <w:spacing w:after="0" w:line="255" w:lineRule="auto"/>
        <w:tabs>
          <w:tab w:leader="none" w:pos="1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voting, including on the election of directors, but excepting where otherwise required by law, may be by a voice vote; provided, that upon demand therefor by a stockholder entitled to vote or the stockholder’s proxy, a vote by ballot shall be taken. Each ballot shall state the name of the stockholder or proxy voting and such other information as may be required under the procedure established for the meeting. The corporation may, and to the extent required by law, shall, in advance of any meeting of stockholders, appoint one or more inspectors to act at the meeting and make a written report thereof. The corporation may designate one or more persons as an alternate inspector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duties, shall take and sign an oath to faithfully execute the duties of inspector with strict impartiality and according to the best of his ability.</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u w:val="single" w:color="auto"/>
          <w:color w:val="auto"/>
        </w:rPr>
        <w:t>Stockholder Business (Other Than the Election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40" w:firstLine="1305"/>
        <w:spacing w:after="0" w:line="261" w:lineRule="auto"/>
        <w:tabs>
          <w:tab w:leader="none" w:pos="194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business (other than nominations for election of directors, which is governed by Section 2.15 of these Bylaws) shall be conducted as shall have been properly brought before an annual meeting. To be properly brought before an annual meeting, business must be either</w:t>
      </w:r>
    </w:p>
    <w:p>
      <w:pPr>
        <w:ind w:right="60" w:firstLine="8"/>
        <w:spacing w:after="0" w:line="252" w:lineRule="auto"/>
        <w:tabs>
          <w:tab w:leader="none" w:pos="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 who (A) is a stockholder of record (and, with respect to any beneficial owner, if different, on whose behalf such business is proposed, only if such beneficial owner is the beneficial owner of shares of the corporation) both at the time of giving the notice provided for in this Section 1.10 and at the time of the meeting, (B) is entitled to vote at the meeting and (C) has complied with the notice procedures set forth in this Section 1.10 as to such business. For any business to be properly brought before an annual meeting by a stockholder (other than nominations for election of directors, which is governed by Section 2.15 of these Bylaws), it must be a proper matter for stockholder action under the Delaware General Corporation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and the stockholder must have given timely notice thereof in writing to the Secretary of the corporation. To be timely, a stockholder’s notice shall be in writing and must be received at the corporation’s principal executive offices not later than 90 days nor earlier than 120 days prior to the first anniversary of the date of the preceding year’s annual meeting as first specified in the corporation’s notice of meeting (without regard to any postponements or adjournments of such meeting after such notice was first sent), provided, however, that if no annual meeting was held in the previous year or the date of the annual meeting is advanced by more than thirty (30) days, or delayed (other than as a result of adjournment) by more than thirty (30) days from the anniversary of the previous year’s annual meeting, notice by the stockholder to be timely must be received not later than the close of business on the later of the ninetieth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prior to such annual meeting or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following the date on which public announcement of the date of such meeting is first made. “</w:t>
      </w:r>
      <w:r>
        <w:rPr>
          <w:rFonts w:ascii="Times New Roman" w:cs="Times New Roman" w:eastAsia="Times New Roman" w:hAnsi="Times New Roman"/>
          <w:sz w:val="18"/>
          <w:szCs w:val="18"/>
          <w:b w:val="1"/>
          <w:bCs w:val="1"/>
          <w:i w:val="1"/>
          <w:i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announcement</w:t>
      </w:r>
      <w:r>
        <w:rPr>
          <w:rFonts w:ascii="Times New Roman" w:cs="Times New Roman" w:eastAsia="Times New Roman" w:hAnsi="Times New Roman"/>
          <w:sz w:val="18"/>
          <w:szCs w:val="18"/>
          <w:color w:val="auto"/>
        </w:rPr>
        <w:t>” for purposes hereof shall have the meaning set forth in Section 2.15(c) of these Bylaws. In no event shall the public announcement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adjournment or postponement of an annual meeting commence a new time period (or extend any time period) for the giving of a stockholder’s notice as described above. For business to be properly brought before a special meeting by a stockholder, the business must be limited to the purpose or purposes set forth in a request under Section 1.3.</w:t>
      </w:r>
    </w:p>
    <w:p>
      <w:pPr>
        <w:spacing w:after="0" w:line="200" w:lineRule="exact"/>
        <w:rPr>
          <w:sz w:val="20"/>
          <w:szCs w:val="20"/>
          <w:color w:val="auto"/>
        </w:rPr>
      </w:pPr>
    </w:p>
    <w:p>
      <w:pPr>
        <w:ind w:right="80" w:firstLine="1305"/>
        <w:spacing w:after="0" w:line="254" w:lineRule="auto"/>
        <w:tabs>
          <w:tab w:leader="none" w:pos="19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notice to the Secretary of the corporation shall set forth (i) as to each matter the stockholder proposes to bring before the annual meeting, a brief description of the business desired to be brought before the annual meeting and the text of the proposal or business, including the text of any resolutions proposed for consideration and in the event that such business includes a proposal to amend the Bylaws of the corporation, the language of the proposed amendment, and (ii) as to the stockholder giving the notice and the beneficial owner, if any, on whose behalf the proposal is being made, and any of their respective affiliates or associates or others acting in concert therewith (each, a “</w:t>
      </w:r>
      <w:r>
        <w:rPr>
          <w:rFonts w:ascii="Times New Roman" w:cs="Times New Roman" w:eastAsia="Times New Roman" w:hAnsi="Times New Roman"/>
          <w:sz w:val="18"/>
          <w:szCs w:val="18"/>
          <w:b w:val="1"/>
          <w:bCs w:val="1"/>
          <w:i w:val="1"/>
          <w:iCs w:val="1"/>
          <w:color w:val="auto"/>
        </w:rPr>
        <w:t>Proposing Person</w:t>
      </w:r>
      <w:r>
        <w:rPr>
          <w:rFonts w:ascii="Times New Roman" w:cs="Times New Roman" w:eastAsia="Times New Roman" w:hAnsi="Times New Roman"/>
          <w:sz w:val="18"/>
          <w:szCs w:val="18"/>
          <w:color w:val="auto"/>
        </w:rPr>
        <w:t>”), (A) the name and address, as they appear on the corporation’s books, of the stockholder proposing such business and of any other Proposing Person, (B) the class or series and number of shares of the corporation which are owned beneficially and of record by the stockholder and any other Proposing Person as of the date of the notice, and a representation that the stockholder will notify the corporation in writing within five (5) business days after the record date for voting at the meeting of the class or series and number of shares of the corporation owned beneficially and of record by the stockholder and any other Proposing Person as</w:t>
      </w:r>
    </w:p>
    <w:p>
      <w:pPr>
        <w:sectPr>
          <w:pgSz w:w="11900" w:h="16906" w:orient="portrait"/>
          <w:cols w:equalWidth="0" w:num="1">
            <w:col w:w="11420"/>
          </w:cols>
          <w:pgMar w:left="240" w:top="121" w:right="239" w:bottom="0" w:gutter="0" w:footer="0" w:header="0"/>
        </w:sectPr>
      </w:pPr>
    </w:p>
    <w:bookmarkStart w:id="37" w:name="page38"/>
    <w:bookmarkEnd w:id="37"/>
    <w:p>
      <w:pPr>
        <w:spacing w:after="0" w:line="8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of the record date for voting at the meeting, (C) a representation that the stockholder intends to appear in person or by proxy at the meeting to propose the business specified in the notice, (D) any material interest of the stockholder and any other Proposing Person in such business, (E) the following information regarding the ownership interests of the stockholder and any other Proposing Person which shall be supplemented in writing by the stockholder not later than ten (10) days after the record date for voting at the meeting to disclose such interests as of such record date: (1) a description of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stockholder of record or any other Proposing Person may have entered into transactions that hedge or mitigate the economic effect of such instrument, contract or right (a “</w:t>
      </w:r>
      <w:r>
        <w:rPr>
          <w:rFonts w:ascii="Times New Roman" w:cs="Times New Roman" w:eastAsia="Times New Roman" w:hAnsi="Times New Roman"/>
          <w:sz w:val="18"/>
          <w:szCs w:val="18"/>
          <w:b w:val="1"/>
          <w:bCs w:val="1"/>
          <w:i w:val="1"/>
          <w:iCs w:val="1"/>
          <w:color w:val="auto"/>
        </w:rPr>
        <w:t>Derivative Instrument</w:t>
      </w:r>
      <w:r>
        <w:rPr>
          <w:rFonts w:ascii="Times New Roman" w:cs="Times New Roman" w:eastAsia="Times New Roman" w:hAnsi="Times New Roman"/>
          <w:sz w:val="18"/>
          <w:szCs w:val="18"/>
          <w:color w:val="auto"/>
        </w:rPr>
        <w:t>”) directly or indirectly owned beneficially by such stockholder or other Proposing Person, and any other direct or indirect opportunity to profit or share in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any profit derived from any increase or decrease in the value of shares of the corporation; (2) a description of any proxy, contract, arrangement, understanding, or relationship pursuant to which such stockholder or other Proposing Person has a right to vote any shares of any security of the corporation;</w:t>
      </w:r>
    </w:p>
    <w:p>
      <w:pPr>
        <w:ind w:firstLine="8"/>
        <w:spacing w:after="0" w:line="251"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understanding, relationship or otherwise, including any repurchase or similar so-called “stock borrowing” agreement or arrangement, engaged in, directly or indirectly, by such stockholder or other Proposing Person, the purpose or effect of which is to mitigate loss to, reduce the economic risk (of ownership or otherwise) of any class or series of the shares of the corporation by, manage the risk of share price changes for, or increase or decrease the voting power of, such stockholder or other Proposing Person with respect to any class or series of the shares of the corporation, or which provides, directly or indirectly, the opportunity to profit or share in any profit derived from any decrease in the price or value of any class or series of the shares of the corporation (“Short Interests”); (4) a description of any rights to dividends on the shares of the corporation owned beneficially by such stockholder or other Proposing Person that are separated or separable from the underlying shares of the corporation; (5) a description of any proportionate interest in shares of the corporation or Derivative Instruments held, directly or indirectly, by a general or limited partnership in which such stockholder or other Proposing Person is a general partner or, directly or indirectly, beneficially owns an interest in a general partner; (6) a description of any performance-related fees (other than an asset-based fee) to which such stockholder or other Proposing Person is entitled based on any increase or decrease in the value of shares of the corporation or Derivative Instruments, if any, as of the date of such notice, including, without limitation, any such interests held by members of such stockholder’s or other Proposing Person’s immediate family sharing the same household; (7) a description of any significant equity interests or any Derivative Instruments or Short Interests in any principal competitor of the corporation held by such stockholder or other Proposing Person; and (8) a description of any direct or indirect interest of such stockholder or other Proposing Person in any contract with the corporation, any affiliate of the corporation or any principal competitor of the corporation (including, in any such case, any employment agreement, collective bargaining agreement or consulting agreement), and (F) any other information relating to such stockholder or other Proposing Person, if any, that would be required to be disclosed in a proxy statement or other filings required to be made in connection with solicitations of proxies for, as applicable, the proposal and/or for the election of directors in a contested election pursuant to Section 14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and regulations promulgated thereunder. The terms “associate” and “beneficially owned” for purposes hereof shall have the meanings set forth in Section 2.15(e) of these Bylaws.</w:t>
      </w:r>
    </w:p>
    <w:p>
      <w:pPr>
        <w:spacing w:after="0" w:line="190" w:lineRule="exact"/>
        <w:rPr>
          <w:rFonts w:ascii="Times New Roman" w:cs="Times New Roman" w:eastAsia="Times New Roman" w:hAnsi="Times New Roman"/>
          <w:sz w:val="18"/>
          <w:szCs w:val="18"/>
          <w:color w:val="auto"/>
        </w:rPr>
      </w:pPr>
    </w:p>
    <w:p>
      <w:pPr>
        <w:ind w:right="20" w:firstLine="1305"/>
        <w:spacing w:after="0" w:line="256" w:lineRule="auto"/>
        <w:tabs>
          <w:tab w:leader="none" w:pos="19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law, if the stockholder (or a qualified representative of the stockholder) does not appear at the annual meeting of stockholders to present the proposed business, such proposed business shall not be transacted, notwithstanding that proxies in respect of such vote may have been received by the corporation. For purposes of this section, to be considered a qualified 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making of such proposal at such meeting by such stockholder stating that such person is authorized to act for such stockholder as proxy at the meeting of stockholders.</w:t>
      </w:r>
    </w:p>
    <w:p>
      <w:pPr>
        <w:spacing w:after="0" w:line="187" w:lineRule="exact"/>
        <w:rPr>
          <w:rFonts w:ascii="Times New Roman" w:cs="Times New Roman" w:eastAsia="Times New Roman" w:hAnsi="Times New Roman"/>
          <w:sz w:val="18"/>
          <w:szCs w:val="18"/>
          <w:color w:val="auto"/>
        </w:rPr>
      </w:pPr>
    </w:p>
    <w:p>
      <w:pPr>
        <w:ind w:right="80" w:firstLine="1305"/>
        <w:spacing w:after="0" w:line="258" w:lineRule="auto"/>
        <w:tabs>
          <w:tab w:leader="none" w:pos="195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1.10, a stockholder shall also comply with all applicable requirements of the Exchange Act and the rules and regulations thereunder with respect to the matters set forth in this Section 1.10; provided however, that any references in this Section 1.10 to the Exchange Act or the rules and regulations promulgated thereunder are not intended to and shall not limit any requirements applicable to proposals as to any business to be considered pursuant to this Section 1.10. Nothing in this Section 1.10 shall be deemed to affect any rights (i) of stockholders to request inclusion of proposals in the corporation’s proxy statement pursuant to Rule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14a-8 under the Exchange Act or (ii) of the holders of any series of Preferred Stock if and to the extent provided for under law, the Certificate of Incorporation or these Bylaws.</w:t>
      </w:r>
    </w:p>
    <w:p>
      <w:pPr>
        <w:spacing w:after="0" w:line="162" w:lineRule="exact"/>
        <w:rPr>
          <w:sz w:val="20"/>
          <w:szCs w:val="20"/>
          <w:color w:val="auto"/>
        </w:rPr>
      </w:pPr>
    </w:p>
    <w:p>
      <w:pPr>
        <w:ind w:right="100" w:firstLine="1305"/>
        <w:spacing w:after="0" w:line="261" w:lineRule="auto"/>
        <w:tabs>
          <w:tab w:leader="none" w:pos="1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to the contrary, the notice requirements set forth in subsections (a) and (b) above shall be deemed satisfied by a stockholder if the stockholder has notified the corporation of the stockholder’s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At every meeting of the stockholders, the Chairman of the Board, or, in his absence, the Chief Executive Officer, or, in his absence, such other person as may be appointed by the Board of Directors, shall act as chairman. The Secretary of the corporation or a person designated by the chairman of the meeting shall act as secretary of the meeting. Unless otherwise approved by the chairman of the meeting, attendance at the stockholders’ meeting is restricted to stockholders of record, persons authorized in accordance with Section 1.8 of these Bylaws to act by proxy, and officers of the corporation.</w:t>
      </w:r>
    </w:p>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chairman of the meeting shall call the meeting to order, establish the agenda, and conduct the business of the meeting in accordance therewith or, at the chairman’s discretion, the business of the meeting may be conducted otherwise in accordance with the wishes of the stockholders in attendance. The date and time of the opening and closing of the polls for each matter upon which the stockholders will vote at the meeting shall be announced at the meeting.</w:t>
      </w:r>
    </w:p>
    <w:p>
      <w:pPr>
        <w:sectPr>
          <w:pgSz w:w="11900" w:h="16919" w:orient="portrait"/>
          <w:cols w:equalWidth="0" w:num="1">
            <w:col w:w="11400"/>
          </w:cols>
          <w:pgMar w:left="240" w:top="121" w:right="259" w:bottom="0" w:gutter="0" w:footer="0" w:header="0"/>
        </w:sectPr>
      </w:pPr>
    </w:p>
    <w:bookmarkStart w:id="38" w:name="page39"/>
    <w:bookmarkEnd w:id="38"/>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chairman shall also conduct the meeting in an orderly manner, rule on the precedence of, and procedure on, motions and other procedural matters, and exercise discretion with respect to such procedural matters with fairness and good faith toward all those entitled to take part. Without limiting the foregoing, the chairman may (a) restrict attendance at any time to bona fide stockholders of record and their proxies and other persons in attendance at the invitation of the presiding officer or Board of Directors, (b) restrict use of audio or video recording devices at the meeting, and (c) impose reasonable limits on the amount of time taken up at the meeting on discussion in general or on remarks by any one stockholder. Should any person in attendance become unruly or obstruct the meeting proceedings, the chairman shall have the power to have such person removed from the meeting. Notwithstanding anything in the Bylaws to the contrary, no business shall be conducted at a meeting except in accordance with the procedures set forth in Section 1.10, this Section 1.11 and Section 2.15. The chairman of the meeting, in addition to making any other determinations that may be appropriate to the conduct of the meeting, shall have the power and duty to determine whether a nomination or any business proposed to be brought before the meeting was made or proposed, as the case may be, in accordance with the provisions of Section 1.10, this Section 1.11 and Section 2.15, and if he should so determine that any proposed nomination or business is not in compliance with such sections, he shall so declare to the meeting that such defective nomination or proposal shall be disregarded.</w:t>
      </w:r>
    </w:p>
    <w:p>
      <w:pPr>
        <w:spacing w:after="0" w:line="19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Stockholder Action Without Meeting</w:t>
      </w:r>
      <w:r>
        <w:rPr>
          <w:rFonts w:ascii="Times New Roman" w:cs="Times New Roman" w:eastAsia="Times New Roman" w:hAnsi="Times New Roman"/>
          <w:sz w:val="18"/>
          <w:szCs w:val="18"/>
          <w:color w:val="auto"/>
        </w:rPr>
        <w:t>.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Meetings by Remote Communication</w:t>
      </w:r>
      <w:r>
        <w:rPr>
          <w:rFonts w:ascii="Times New Roman" w:cs="Times New Roman" w:eastAsia="Times New Roman" w:hAnsi="Times New Roman"/>
          <w:sz w:val="18"/>
          <w:szCs w:val="18"/>
          <w:color w:val="auto"/>
        </w:rPr>
        <w:t>. If authorized by the Board of Directors, and subject to such guidelines and procedures as the Board may adopt, stockholders and proxy holders not physically present at a meeting of stockholders may, by means of remote communication, participate in the meeting and be deemed present in person and vote at the meeting, whether such meeting is to be held at a designated place or solely by means of remote communication, provided that (a) the corporation shall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(c) if any stockholder or proxy holder votes or takes other action at the meeting by means of remote communication, a record of such vote or other action shall be maintained by the corporation.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The business and affairs of the corporation shall be managed by or under the direction of a Board of Directors, who may exercise all of the powers of the corporation except as otherwise provided by law or the Certificate of Incorporation. In the event of a vacancy on the Board of Directors, the remaining directors, except as otherwise provided by law, may exercise the powers of the full Board until the vacancy is filled.</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Number and Term of Office</w:t>
      </w:r>
      <w:r>
        <w:rPr>
          <w:rFonts w:ascii="Times New Roman" w:cs="Times New Roman" w:eastAsia="Times New Roman" w:hAnsi="Times New Roman"/>
          <w:sz w:val="18"/>
          <w:szCs w:val="18"/>
          <w:color w:val="auto"/>
        </w:rPr>
        <w:t>. Subject to the rights of the holders of any series of preferred stock to elect directors under specified circumstances, the number of directors shall initially be five (5) and, thereafter, shall be fixed from time to time exclusively by the Board of Directors pursuant to a resolution adopted by a majority of the total number of authorized directors (whether or not there exist any vacancies in previously authorized directorships at the time any such resolution is presented to the Board for adoption). Effective upon the date of the closing of the corporation’s initial public offering of its common stock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the directors, other than those who may be elected by the holders of any series of preferred stock under specified circumstances, shall be divided into three classes, with the term of office of the first class to expire at the first annual meeting of stockholders held after the Effective Date; the term of office of the second class to expire at the second annual meeting of stockholders held after the Effective Date; the term of office of the third class to expire at the third annual meeting of stockholders held after the Effective Date; and thereafter for each such term to expire at each third succeeding annual meeting of stockholders after such election. All directors shall hold office until the expiration of the term for which elected and until their respective successors are elected, except in the case of the death, resignation or removal of any director. At each annual meeting of stockholders commencing with the first annual meeting held after the Effective Date, (i) the successors to the class of directors whose term expires in that year shall be elected to hold office for a term of three years to succeed those whose term expires so that the term of office of one class of directors shall expire in each year, with each director to hold office until his successor shall have been duly elected and qualified, and (ii) if authorized by a resolution of the Board of Directors, directors may be elected to fill any vacancy on the Board of Directors, regardless of how such vacancy shall have been created.</w:t>
      </w:r>
    </w:p>
    <w:p>
      <w:pPr>
        <w:spacing w:after="0" w:line="19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or other cause (including removal from office by a vote of the stockholders) may be filled only by a majority vote of the directors then in office, though less than a quorum, or by the sole remaining director, and directors so chosen shall hold office for a term expiring at the next annual meeting of stockholders at which the term of office of the class to which they have been elected expires or until such director’s successor shall have been duly elected and qualified. No decrease in the number of authorized directors shall shorten the term of any incumbent director.</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director may resign by delivering notice in writing or by electronic transmission to the President, Chief Executive Officer, Chairman of the Board or Secretary. Such resignation shall be effective upon receipt unless it is specified to be effective at some other time or upon the happening of some other event.</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of the holders of any series of preferred stock then outstanding, any directors, or the entire Board of Directors, may be removed from office at any time, but only for cause, by the affirmative vote of the holders of sixty-six and two-thirds percent (66-2/3%) of the voting power of all of the outstanding shares of capital stock entitled to vote generally in the election of directors, voting together as a single class. Vacancies in the Board of Directors resulting from such removal may be filled by a majority of the directors then in office, though less than a quorum, or by the sole remaining director. Directors so chosen shall hold office until the next annual meeting of stockholders at which the term of office of the class to which they have been elected expires.</w:t>
      </w:r>
    </w:p>
    <w:p>
      <w:pPr>
        <w:sectPr>
          <w:pgSz w:w="11900" w:h="16838" w:orient="portrait"/>
          <w:cols w:equalWidth="0" w:num="1">
            <w:col w:w="11380"/>
          </w:cols>
          <w:pgMar w:left="240" w:top="337" w:right="279" w:bottom="0" w:gutter="0" w:footer="0" w:header="0"/>
        </w:sectPr>
      </w:pPr>
    </w:p>
    <w:bookmarkStart w:id="39" w:name="page40"/>
    <w:bookmarkEnd w:id="39"/>
    <w:p>
      <w:pPr>
        <w:spacing w:after="0" w:line="5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of Directors may be held without notice at such time and place, either within or without the State of Delaware,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by the Chairman of the Board, the Chief Executive Officer, the President or two or more directors and may be held at any time and place, within or without the State of Delaware.</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Notice of Special Meetings</w:t>
      </w:r>
      <w:r>
        <w:rPr>
          <w:rFonts w:ascii="Times New Roman" w:cs="Times New Roman" w:eastAsia="Times New Roman" w:hAnsi="Times New Roman"/>
          <w:sz w:val="18"/>
          <w:szCs w:val="18"/>
          <w:color w:val="auto"/>
        </w:rPr>
        <w:t>. Notice of any special meeting of directors shall be given to each director by whom it is not waived by the Secretary or by the officer or one of the directors calling the meeting. Notice shall be duly given to each director by (a) giving notice to such director in person or by telephone, electronic transmission or voice message system at least 24 hours in advance of the meeting, (b) sending a facsimile to his last known facsimile number, or delivering written notice by hand to his last known business or home address, at least 24 hours in advance of the meeting, or (c) mailing written notice to his last known business or home address at least three days in advance of the meeting. A notice or waiver of notice of a meeting of the Board of Directors need not specify the purposes of the meeting. Unless otherwise indicated in the notice thereof, any and all business may be transacted at a special meeting.</w:t>
      </w:r>
    </w:p>
    <w:p>
      <w:pPr>
        <w:spacing w:after="0" w:line="18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Participation in Meetings by Telephone Conference Calls or Other Methods of Communication</w:t>
      </w:r>
      <w:r>
        <w:rPr>
          <w:rFonts w:ascii="Times New Roman" w:cs="Times New Roman" w:eastAsia="Times New Roman" w:hAnsi="Times New Roman"/>
          <w:sz w:val="18"/>
          <w:szCs w:val="18"/>
          <w:color w:val="auto"/>
        </w:rPr>
        <w:t>. Directors or any members of any committee designated by the directors may participate in a meeting of the Board of Directors or such committee by means of conference telephone or other communications equipment by means of which all persons participating in the meeting can hear each other, and participation by such means shall constitute presence in person at such meeting.</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majority of the total number of authorized directors shall constitute a quorum at any meeting of the Board of Directors. In the absence of a quorum at any such meeting, a majority of the directors present may adjourn the meeting from time to time without further notice other than announcement at the meeting, until a quorum shall be present. Interested directors may be counted in determining the presence of a quorum at a meeting of the Board of Directors or at a meeting of a committee which authorizes a particular contract or transaction.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the vote of a majority of those present shall be sufficient to take any action, unless a different vote is specified by law, the Certificate of Incorporation or these Bylaws.</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Any action required or permitted to be taken at any meeting of the Board of Directors or of any committee of the Board of Directors may be taken without a meeting if all members of the Board or committee, as the case may be, consent to the action in writing or by electronic transmission, and the writings or electronic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designate one or more committees, each committee to consist of one or more of the directors of the corporation, with such lawfully delegated powers and duties as it therefor confers, to serve at the pleasure of the Board. The Board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the Delaware General Corporation Law,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such rules, its business shall be conducted as nearly as possible in the same manner as is provided in these Bylaws for the Board of Directors.</w:t>
      </w:r>
    </w:p>
    <w:p>
      <w:pPr>
        <w:spacing w:after="0" w:line="19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corporations in any other capacity and receiving compensation for such service.</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u w:val="single" w:color="auto"/>
          <w:color w:val="auto"/>
        </w:rPr>
        <w:t>Nomination of Director Candidates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20" w:firstLine="1305"/>
        <w:spacing w:after="0" w:line="261" w:lineRule="auto"/>
        <w:tabs>
          <w:tab w:leader="none" w:pos="19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holders of any class or series of Preferred Stock then outstanding, nominations for the election of directors at an annual meeting may be made by (i) the Board of Directors or a duly authorized committee thereof or (ii) any stockholder of the corporation who is a stockholder of record at the time of giving the notice provided for in paragraphs (b) and (c) of this Section 2.15, who is entitled to vote at the meeting and who complies with the procedures set forth in this Section 2.15.</w:t>
      </w:r>
    </w:p>
    <w:p>
      <w:pPr>
        <w:spacing w:after="0" w:line="180" w:lineRule="exact"/>
        <w:rPr>
          <w:rFonts w:ascii="Times New Roman" w:cs="Times New Roman" w:eastAsia="Times New Roman" w:hAnsi="Times New Roman"/>
          <w:sz w:val="18"/>
          <w:szCs w:val="18"/>
          <w:color w:val="auto"/>
        </w:rPr>
      </w:pPr>
    </w:p>
    <w:p>
      <w:pPr>
        <w:ind w:right="60" w:firstLine="1305"/>
        <w:spacing w:after="0" w:line="255" w:lineRule="auto"/>
        <w:tabs>
          <w:tab w:leader="none" w:pos="19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nominations by stockholders must be made pursuant to timely notice given in writing to the Secretary of the corporation. To be timely, a stockholder’s nomination for a director to be elected at an annual meeting must be received at the corporation’s principal executive offices not later than 90 days nor earlier than 120 days prior to the first anniversary of the date of the preceding year’s annual meeting as first specified in the corporation’s notice of meeting (without regard to any postponements or adjournments of such meeting after such notice was first sent), provided, however, that if no annual meeting was held in the previous year or the date of the annual meeting is advanced by more than thirty (30) days or delayed (other than as a result of adjournment) by more than thirty (30) days from the first anniversary of the previous year’s annual meeting, notice by the stockholder to be timely must be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60"/>
        <w:spacing w:after="0" w:line="235" w:lineRule="auto"/>
        <w:rPr>
          <w:sz w:val="20"/>
          <w:szCs w:val="20"/>
          <w:color w:val="auto"/>
        </w:rPr>
      </w:pPr>
      <w:r>
        <w:rPr>
          <w:rFonts w:ascii="Times New Roman" w:cs="Times New Roman" w:eastAsia="Times New Roman" w:hAnsi="Times New Roman"/>
          <w:sz w:val="18"/>
          <w:szCs w:val="18"/>
          <w:color w:val="auto"/>
        </w:rPr>
        <w:t>received not later than the close of business on the later of the ninetieth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prior to such annual meeting or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following the date on which public announcement of the date of such meeting is first made. Each such notice shall set forth (i) as to the stockholder and the beneficial owner, if any, on whose behalf the nomination is being made, and any of their respective affiliates or associates or others acting in concert therewith (each, a</w:t>
      </w:r>
    </w:p>
    <w:p>
      <w:pPr>
        <w:sectPr>
          <w:pgSz w:w="11900" w:h="16895" w:orient="portrait"/>
          <w:cols w:equalWidth="0" w:num="1">
            <w:col w:w="11420"/>
          </w:cols>
          <w:pgMar w:left="240" w:top="121" w:right="239" w:bottom="0" w:gutter="0" w:footer="0" w:header="0"/>
        </w:sectPr>
      </w:pPr>
    </w:p>
    <w:bookmarkStart w:id="40" w:name="page41"/>
    <w:bookmarkEnd w:id="40"/>
    <w:p>
      <w:pPr>
        <w:jc w:val="both"/>
        <w:ind w:right="1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Nominating Person</w:t>
      </w:r>
      <w:r>
        <w:rPr>
          <w:rFonts w:ascii="Times New Roman" w:cs="Times New Roman" w:eastAsia="Times New Roman" w:hAnsi="Times New Roman"/>
          <w:sz w:val="18"/>
          <w:szCs w:val="18"/>
          <w:color w:val="auto"/>
        </w:rPr>
        <w:t>”), the name and address, as they appear on the corporation’s books, of the stockholder who intends to make the nomination and of any other Nominating Person, (ii) the class or series and number of shares of the corporation which are owned beneficially and of record by the stockholder and any other Nominating Person as of the date of the notice, and a representation that the stockholder will notify the corporation in writing within five</w:t>
      </w:r>
    </w:p>
    <w:p>
      <w:pPr>
        <w:ind w:firstLine="8"/>
        <w:spacing w:after="0" w:line="250"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record date for voting at the meeting of the class or series and number of shares of the corporation owned beneficially and of record by the stockholder and any other Nominating Person as of the record date for voting at the meeting, (iii) a representation that the stockholder intends to appear in person or by proxy at the meeting to nominate the nominee specified in the notice, (iv) the following information regarding the ownership interests of the stockholder and any other Nominating Person, which shall be supplemented in writing by the stockholder not later than ten (10) days after the record date for notice of the meeting to disclose such interests as of such record date: (A) a description of any Derivative Instrument directly or indirectly owned beneficially by such stockholder or other Nominating Person, and any other direct or indirect opportunity to profit or share in any profit derived from any increase or decrease in the value of shares of the corporation; (B) a description of any proxy, contract, arrangement, understanding, or relationship pursuant to which such stockholder or other Nominating Person has a right to vote any shares of any security of the corporation; (C) a description of any Short Interests in any securities of the corporation directly or indirectly owned beneficially by such stockholder or other Nominating Person; (D) a description of any rights to dividends on the shares of the corporation owned beneficially by such stockholder or other Nominating Person that are separated or separable from the underlying shares of the corporation; (E) a description of any proportionate interest in shares of the corporation or Derivative Instruments held, directly or indirectly, by a general or limited partnership in which such stockholder or other Nominating Person is a general partner or, directly or indirectly, beneficially owns an interest in a general partner; (F) a description of any performance-related fees (other than an asset-based fee) to which such stockholder or other Nominating Person is entitled based on any increase or decrease in the value of shares of the corporation or Derivative Instruments, if any, as of the date of such notice, including, without limitation, any such interests held by members of such stockholder’s or other Nominating Person’s immediate family sharing the same household; (G) a description of any significant equity interests or any Derivative Instruments or Short Interests in any principal competitor of the corporation held by such stockholder or other Nominating Person; and (H) a description of any direct or indirect interest of such stockholder or other Nominating Person in any contract with the corporation, any affiliate of the corporation or any principal competitor of the corporation (including, in any such case, any employment agreement, collective bargaining agreement or consulting agreement), (v) a description of all arrangements or understandings between the stockholder or other Nominating Person and each nominee and any other person or persons (naming such person or persons) pursuant to which the nomination or nominations are to be made by the stockholder, (vi) a description of all direct and indirect compensation and other material monetary agreements, arrangements and understandings during the past three years, and any other material relationships, between or among such stockholder and any other Nominating Person, on the one hand, and each nominee, and his respective affiliates and associates, or others acting in concert therewith, on the other hand, including, without limitation all information that would be required to be disclosed pursuant to Rule 404 promulgated under Regulation S-K if the stockholder and any Nominating Person, if any, or any affiliate or associate thereof or person acting in concert therewith, were the “registrant” for purposes of such rule and the nominee were a director or executive officer of such registrant, (vii) such other information regarding each nominee as would be required to be included in a proxy statement filed pursuant to the proxy rules of the SEC, had the nominee been nominated, or intended to be nominated, by the Board of Directors, and (viii) the signed consent of each nominee to serve as a director of the corporation if so</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elected. In no event shall the public announcement of an adjournment or postponement of an annual meeting commence a new time period (or extend any time period) for the giving of a stockholder’s notice as described above. Notwithstanding the second sentence of this Section 2.15(b), in the event that the number of directors to be elected at an annual meeting is increased and there is no public announcement by the corporation naming the nominees for the additional directorships at least 100 days prior to the one-year anniversary of the date of the preceding year’s annual meeting as first specified in the corporation’s notice of meeting (without regard to any postponements or adjournments of such meeting after such notice was first sent), a stockholder’s notice required by this Section 2.15(b) shall also be considered timely, but only with respect to nominees for the additional directorships, if it shall be delivered to the Secretary at the principal executive offices of the corporation not later than the close of business on the 10th day following the day on which such public announcement is first made by the corporation.</w:t>
      </w:r>
    </w:p>
    <w:p>
      <w:pPr>
        <w:spacing w:after="0" w:line="185" w:lineRule="exact"/>
        <w:rPr>
          <w:sz w:val="20"/>
          <w:szCs w:val="20"/>
          <w:color w:val="auto"/>
        </w:rPr>
      </w:pPr>
    </w:p>
    <w:p>
      <w:pPr>
        <w:ind w:right="20" w:firstLine="1305"/>
        <w:spacing w:after="0" w:line="239" w:lineRule="auto"/>
        <w:tabs>
          <w:tab w:leader="none" w:pos="1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may be made at a special meeting of stockholders at which directors are to be elected pursuant to the corporation’s notice of meeting (i) by or at the direction of the Board of Directors or a committee thereof or (ii) by any stockholder who complies with the notice procedures set forth in this Section 2.15 and who is a stockholder of record at the time such notice is delivered to the Secretary of the corporation. In the event the corporation calls a special meeting of stockholders for the purpose of electing one or more directors to the Board of Directors, any such stockholder may nominate a person or persons (as the case may be), for election to such position(s) as are specified in the corporation’s notice of meeting, if the stockholder’s notice as required by Section 2.15(a) is delivered to the Secretary at the principal executive offices of the corporation not earlier than ninety (90) days prior to such special meeting and not later than the close of business on the later of the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prior to such special meeting or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97" w:lineRule="exact"/>
        <w:rPr>
          <w:rFonts w:ascii="Times New Roman" w:cs="Times New Roman" w:eastAsia="Times New Roman" w:hAnsi="Times New Roman"/>
          <w:sz w:val="18"/>
          <w:szCs w:val="18"/>
          <w:color w:val="auto"/>
        </w:rPr>
      </w:pPr>
    </w:p>
    <w:p>
      <w:pPr>
        <w:ind w:right="180" w:firstLine="1305"/>
        <w:spacing w:after="0" w:line="268" w:lineRule="auto"/>
        <w:tabs>
          <w:tab w:leader="none" w:pos="19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comparable national news service or in a document publicly filed or furnished by the corporation with the SEC pursuant to Section 13, 14 or 15(d) of the Exchange Act.</w:t>
      </w:r>
    </w:p>
    <w:p>
      <w:pPr>
        <w:spacing w:after="0" w:line="174" w:lineRule="exact"/>
        <w:rPr>
          <w:rFonts w:ascii="Times New Roman" w:cs="Times New Roman" w:eastAsia="Times New Roman" w:hAnsi="Times New Roman"/>
          <w:sz w:val="18"/>
          <w:szCs w:val="18"/>
          <w:color w:val="auto"/>
        </w:rPr>
      </w:pPr>
    </w:p>
    <w:p>
      <w:pPr>
        <w:ind w:right="80" w:firstLine="1305"/>
        <w:spacing w:after="0" w:line="253" w:lineRule="auto"/>
        <w:tabs>
          <w:tab w:leader="none" w:pos="1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those persons who are nominated in accordance with the procedures set forth in this section shall be eligible for election as directors at any meeting of stockholders. The Chairman of the Board of Directors or Secretary may, if the facts warrant, determine that a notice received by the corporation relating to a nomination proposed to be made does not satisfy the requirements of this Section 2.15 (including if the stockholder does not provide the updated information required under Section 2.15(b) to the corporation within five (5) business days following the record date for the meeting), and if it be so determined, shall so declare and any such nomination shall not be introduced at such meeting of stockholders, notwithstanding that proxies in respect of such vote may have been received. The chairman of the meeting shall have the power and duty to determine whether a nomination brought before the meeting was made in accordance with the procedures set forth in this section, and, if any nomination is not in compliance with this section (including if the stockholder does not provide the updated information required under Section 2.15(b) to the corporation within five (5) business days following the record date for the meeting), to declare that such defective nomination shall be disregarded, notwithstanding that proxies in respect of such vote may have been received. Unless otherwise required by law, if the stockholder (or a qualified representative of the stockholder) does not appear at the annual meeting or a special meeting of stockholders of the corporation to present a nomination, such nomination shall be disregarded, notwithstanding that proxies in respect of such vote may have been received by the corporation. For purposes of this Section 2.15, to be considered a</w:t>
      </w:r>
    </w:p>
    <w:p>
      <w:pPr>
        <w:sectPr>
          <w:pgSz w:w="11900" w:h="16838" w:orient="portrait"/>
          <w:cols w:equalWidth="0" w:num="1">
            <w:col w:w="11420"/>
          </w:cols>
          <w:pgMar w:left="240" w:top="117" w:right="239" w:bottom="104"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04" w:gutter="0" w:footer="0" w:header="0"/>
          <w:type w:val="continuous"/>
        </w:sectPr>
      </w:pPr>
    </w:p>
    <w:bookmarkStart w:id="41" w:name="page42"/>
    <w:bookmarkEnd w:id="41"/>
    <w:p>
      <w:pPr>
        <w:ind w:right="340"/>
        <w:spacing w:after="0" w:line="289" w:lineRule="auto"/>
        <w:rPr>
          <w:sz w:val="20"/>
          <w:szCs w:val="20"/>
          <w:color w:val="auto"/>
        </w:rPr>
      </w:pPr>
      <w:r>
        <w:rPr>
          <w:rFonts w:ascii="Times New Roman" w:cs="Times New Roman" w:eastAsia="Times New Roman" w:hAnsi="Times New Roman"/>
          <w:sz w:val="17"/>
          <w:szCs w:val="17"/>
          <w:color w:val="auto"/>
        </w:rPr>
        <w:t>qualified 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making of such nomination at such meeting by such stockholder stating that such person is authorized to act for such stockholder as proxy at the meeting of stockholders.</w:t>
      </w:r>
    </w:p>
    <w:p>
      <w:pPr>
        <w:spacing w:after="0" w:line="158" w:lineRule="exact"/>
        <w:rPr>
          <w:sz w:val="20"/>
          <w:szCs w:val="20"/>
          <w:color w:val="auto"/>
        </w:rPr>
      </w:pPr>
    </w:p>
    <w:p>
      <w:pPr>
        <w:ind w:right="60" w:firstLine="1305"/>
        <w:spacing w:after="0" w:line="258" w:lineRule="auto"/>
        <w:tabs>
          <w:tab w:leader="none" w:pos="19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2.15, a stockholder shall also comply with all applicable requirements of the Exchange Act and the rules and regulations thereunder with respect to the matters set forth in this Section 2.15; provided however, that any references in this Section 2.15 to the Exchange Act or the rules promulgated thereunder are not intended to and shall not limit any requirements applicable to nominations to be considered pursuant to this Section 2.15. Nothing in this Section 2.15 shall be deemed to affect any rights of the holders of any series of preferred stock if and to the extent provided for under law, the Certificate of Incorporation or these Bylaws.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a Chief Executive Officer, a President, a Secretary, a Treasurer, a Chief Financial Officer and such other officers with such other titles as the Board of Directors shall determine, including, at the discretion of the Board of Directors, a Chairman of the Board and one or more Vice Presidents and Assistant Secretaries. The Board of Directors may appoint such other officers as it may deem appropriate.</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Officers shall be elected annually by the Board of Directors at its first meeting following the annual meeting of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may be appointed by the Board of Directors at any other meeting.</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officer need be a stockholder. Any two or more offices may be held by the same person.</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law, by the Certificate of Incorporation or by these Bylaws, each officer shall hold office until his successor is elected and qualified, unless a different term is specified in the vote appointing the officer, or until his earlier death, resignation or removal.</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Resignation and Removal</w:t>
      </w:r>
      <w:r>
        <w:rPr>
          <w:rFonts w:ascii="Times New Roman" w:cs="Times New Roman" w:eastAsia="Times New Roman" w:hAnsi="Times New Roman"/>
          <w:sz w:val="18"/>
          <w:szCs w:val="18"/>
          <w:color w:val="auto"/>
        </w:rPr>
        <w:t>. Any officer may resign by delivering his written resignation to the corporation at its principal office or to the President or Secretary. Such resignation shall be effective upon receipt unless it is specified to be effective at some other time or upon the happening of some other event. Any officer elected by the Board of Directors may be removed at any time, with or without cause, by the Board of Directors.</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Board of Directors may appoint a Chairman of the Board. If the Board of Directors appoints a Chairman of the Board, he shall perform such duties and possess such powers as are assigned to the Chairman by the Board of Directors and these Bylaws. Unless otherwise provided by the Board of Directors, he shall preside at all meetings of the Board of Directors.</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of the corporation shall, subject to the direction of the Board of Directors, have general supervision, direction and control of the business and the officers of the corporation. He shall preside at all meetings of the stockholders and, in the absence or nonexistence of a Chairman of the Board, at all meetings of the Board of Directors. He shall have the general powers and duties of management usually vested in the chief executive officer of a corporation, including general supervision, direction and control of the business and supervision of other officers of</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and shall have such other powers and duties as may be prescribed by the Board of Directors or these Bylaws.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Subject to the direction of the Board of Directors and such supervisory powers as may be given by these Bylaws or the Board of Directors to the Chairman of the Board or the Chief Executive Officer, if such titles be held by other officers, the President shall have general supervision, direction and control of the business and supervision of other officers of the corporation. Unless otherwise designated by the Board of Directors, the President shall be the Chief Executive Officer of the corporation. The President shall have such other powers and duties as may be prescribed by the Board of Directors or these Bylaws. He shall have power to sign stock certificates, contracts and other instruments of the corporation which are authorized and shall have general supervision and direction of all of the other officers, employees and agents of the corporation, other than the Chairman of the Board and the Chief Executive Officer.</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Any Vice President shall perform such duties and possess such powers as the Board of Directors, the Chief Executive Officer or the President may from time to time prescribe. In the event of the absence, inability or refusal to act of the President, the Vice President (or if there shall be more than one, the Vice Presidents in the order determined by the Board of Directors) shall perform the duties of the President and when so performing shall have all the powers of and be subject to all the restrictions upon the President. The Board of Directors may assign to any Vice President the title of Executive Vice President, Senior Vice President or any other title selected by the Board of Directors.</w:t>
      </w:r>
    </w:p>
    <w:p>
      <w:pPr>
        <w:spacing w:after="0" w:line="18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perform such duties and shall have such powers as the Board of Directors or the President may from time to time prescribe. In addition, the Secretary shall perform such duties and have such powers as are set forth in these Bylaws and as are incident to the office of the Secretary, including, without limitation, the duty and power to give notices of all meetings of stockholders and special meetings of the Board of Directors, to keep a record of the proceedings of all meetings of stockholders and the Board of Directors, to maintain a stock ledger and prepare lists of stockholders and their addresses as required, to be custodian of corporate records and the corporate seal and to affix and attest to the same on documents.</w:t>
      </w:r>
    </w:p>
    <w:p>
      <w:pPr>
        <w:spacing w:after="0" w:line="18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Any Assistant Secretary shall perform such duties and possess such powers as the Board of Directors, the Chief Executive Officer, the President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80"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the absence of the Secretary or any Assistant Secretary at any meeting of stockholders or directors, the person presiding at the meeting shall designate a temporary secretary to keep a record of the meeting.</w:t>
      </w:r>
    </w:p>
    <w:p>
      <w:pPr>
        <w:sectPr>
          <w:pgSz w:w="11900" w:h="16838" w:orient="portrait"/>
          <w:cols w:equalWidth="0" w:num="1">
            <w:col w:w="11420"/>
          </w:cols>
          <w:pgMar w:left="240" w:top="337" w:right="239" w:bottom="0" w:gutter="0" w:footer="0" w:header="0"/>
        </w:sectPr>
      </w:pPr>
    </w:p>
    <w:bookmarkStart w:id="42" w:name="page43"/>
    <w:bookmarkEnd w:id="42"/>
    <w:p>
      <w:pPr>
        <w:spacing w:after="0" w:line="9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perform such duties and have such powers as are incident to the office of treasurer, including without limitation, the duty and power to keep and be responsible for all funds and securities of the corporation, to maintain the financial records of the corporation, to deposit funds of the corporation in depositories as authorized, to disburse such funds as authorized, to make proper accounts of such funds, and to render as required by the Board of Directors accounts of all such transactions and of the financial condition of the corporation.</w:t>
      </w:r>
    </w:p>
    <w:p>
      <w:pPr>
        <w:spacing w:after="0" w:line="18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shall perform such duties and shall have such powers as may from time to time be assigned to the Chief Financial Officer by the Board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Directors, the Chief Executive Officer or the President. Unless otherwise designated by the Board of Directors, the Chief Financial Officer shall be the Treasurer of the corporation.</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Salaries</w:t>
      </w:r>
      <w:r>
        <w:rPr>
          <w:rFonts w:ascii="Times New Roman" w:cs="Times New Roman" w:eastAsia="Times New Roman" w:hAnsi="Times New Roman"/>
          <w:sz w:val="18"/>
          <w:szCs w:val="18"/>
          <w:color w:val="auto"/>
        </w:rPr>
        <w:t>. Officers of the corporation shall be entitled to such salaries, compensation or reimbursement as shall be fixed or allowed from time to time by the Board of Directors.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The Board of Directors may from time to time delegate the powers or duties of any officer to any other officers or agents, notwithstanding any provision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Subject to the provisions of the Certificate of Incorporation, the whole or any part of any unissued balance of the authorized capital stock of the corporation or the whole or any part of any unissued balance of the authorized capital stock of the corporation held in its treasury may be issued, sold, transferred or otherwise disposed of by vote of the Board of Directors in such manner, for such consideration and on such terms as the Board of Directors may determine.</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shares of stock of the corporation shall be represented by certificates, provided that the Board of Directors may provide by resolution or resolutions that some or all of any class or series of stock of the corporation shall be uncertificated shares; provided, however, that no such resolution shall apply to shares represented by a certificate until such certificate is surrendered to the corporation. Every holder of stock of the corporation represented by certificates, and, upon written request to the corporation’s transfer agent or registrar, any holder of uncertificated shares, shall be entitled to have a certificate, in such form as may be prescribed by law and by the Board of Directors, certifying the number and class of shares of stock owned by such stockholder in the corporation. Each such certificate shall be signed by, or in the name of the corporation by, the Chairman or Vice Chairman, if any, of the Board of Directors, or the President or a Vice President, and the Treasurer or an Assistant Treasurer, or the Secretary or an Assistant Secretary of the corporation. Any or all of the signatures on the certificate may be a facsimile.</w:t>
      </w:r>
    </w:p>
    <w:p>
      <w:pPr>
        <w:spacing w:after="0" w:line="18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Each certificate for shares of stock which are subject to any restriction on transfer pursuant to the Certificate of Incorporation, the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Except as otherwise established by rules and regulations adopted by the Board of Directors, and subject to applicable law, shares of stock may be transferred on the books of the corporation: (i) in the case of shares represented by a certificate, by the surrender to the corporation or its transfer agent of the certificate representing such shares properly endorsed or accompanied by a written assignment or power of attorney properly executed, and with such proof of authority or authenticity of signature as the corporation or its transfer agent may reasonably require; and (ii) in the case of uncertificated shares, upon the receipt of proper transfer instructions from the registered owner thereof. Except as may be otherwise required by law, the Certificate of Incorporation or the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The corporation may issue a new certificate in place of any previously issued certificate alleged to have been lost, stolen, or destroyed, or it may issue uncertificated shares if the shares represented by such certificate have been designated as uncertificated shares in accordance with Section 4.2, upon such terms and conditions as the Board of Directors may prescribe, including the presentation of reasonable evidence of such loss, theft or destruction and the giving of such indemnity as the Board of Directors may require for the protection of the corporation or any transfer agent or registrar.</w:t>
      </w:r>
    </w:p>
    <w:p>
      <w:pPr>
        <w:spacing w:after="0" w:line="18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Record Dates</w:t>
      </w:r>
      <w:r>
        <w:rPr>
          <w:rFonts w:ascii="Times New Roman" w:cs="Times New Roman" w:eastAsia="Times New Roman" w:hAnsi="Times New Roman"/>
          <w:sz w:val="18"/>
          <w:szCs w:val="18"/>
          <w:color w:val="auto"/>
        </w:rPr>
        <w:t>. The Board of Directors may fix in advance a record date for the determination of the stockholders entitled to vote at any meeting of stockholders. Such record date shall not precede the date on which the resolution fixing the record date is adopted and shall not be more than 60 nor less than 10 days before the date of such meeting.</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If no record date is fixed by the Board of Directors, the record date for determining the stockholders entitled to notice of or to vote at a meeting of stockholders shall be the close of business on the day before the date on which notice is given, or, if notice is waived, the close of business on the day before the date on which the meeting is held.</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 determination of stockholders of record entitled to notice of or to vote at a meeting of stockholders shall apply to any adjournment of the meeting; provided, however,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the determination of stockholders entitled to vote in accordance with the foregoing provisions.</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may fix in advance a record date (a) for the determination of stockholders entitled to receive payment of any dividend or other distribution or allotment of any rights in respect of any change, concession or exchange of stock, or (b) for the purpose of any other lawful action. Any</w:t>
      </w:r>
    </w:p>
    <w:p>
      <w:pPr>
        <w:sectPr>
          <w:pgSz w:w="11900" w:h="16933" w:orient="portrait"/>
          <w:cols w:equalWidth="0" w:num="1">
            <w:col w:w="11420"/>
          </w:cols>
          <w:pgMar w:left="240" w:top="121" w:right="239" w:bottom="0" w:gutter="0" w:footer="0" w:header="0"/>
        </w:sectPr>
      </w:pPr>
    </w:p>
    <w:bookmarkStart w:id="43" w:name="page44"/>
    <w:bookmarkEnd w:id="43"/>
    <w:p>
      <w:pPr>
        <w:ind w:right="20"/>
        <w:spacing w:after="0" w:line="258" w:lineRule="auto"/>
        <w:rPr>
          <w:sz w:val="20"/>
          <w:szCs w:val="20"/>
          <w:color w:val="auto"/>
        </w:rPr>
      </w:pPr>
      <w:r>
        <w:rPr>
          <w:rFonts w:ascii="Times New Roman" w:cs="Times New Roman" w:eastAsia="Times New Roman" w:hAnsi="Times New Roman"/>
          <w:sz w:val="18"/>
          <w:szCs w:val="18"/>
          <w:color w:val="auto"/>
        </w:rPr>
        <w:t>such record date shall not precede the date on which the resolution fixing the record date is adopted and shall not be more than 60 days prior to the action to which such record date relates. If no record date is fixed by the Board of Directors, the record date for determining stockholders entitled to express consent to corporate action in writing without a meeting when no prior action by the Board of Directors is necessary shall be the date on which the first written consent is expressed. The record date for determining stockholders for any other purpose shall be the close of business on the day on which the Board of Directors adopts the resolution relating to such purpose.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as fixed by the Board of Directors.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any notice whatsoever is required to be given by law, by the Certificate of Incorporation or by these Bylaws, a waiver of such notice either in writing signed by the person entitled to such notice or such person’s duly authorized attorney, or by electronic transmission or any other method permitted under the Delaware General Corporation Law, whether before, at or after the time stated in such waiver, or the appearance of such person or persons at such meeting in person or by proxy, shall be deemed equivalent to such notice. Neither the business nor the purpose of any meeting need be specified in such a waiver. Attendance at any meeting shall constitute waiver of notice except attendance for the sole purpose of objecting to the timeliness or manner of notice.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Actions with Respect to Securities of Other Corporations</w:t>
      </w:r>
      <w:r>
        <w:rPr>
          <w:rFonts w:ascii="Times New Roman" w:cs="Times New Roman" w:eastAsia="Times New Roman" w:hAnsi="Times New Roman"/>
          <w:sz w:val="18"/>
          <w:szCs w:val="18"/>
          <w:color w:val="auto"/>
        </w:rPr>
        <w:t>. Except as the Board of Directors may otherwise designate, the Chief Executive Officer or President or any officer of the corporation authorized by the Chief Executive Officer or President shall have the power to vote and otherwise act on behalf of the corporation, in person or by proxy, and may waive notice of, and act as, or appoint any person or persons to act as, proxy or attorney-in-fact to this corporation (with or without power of substitution) at any meeting of stockholders or shareholders (or with respect to any action of stockholders) of any other corporation or organization, the securities of which may be held by this corporation and otherwise to exercise any and all rights and powers that this corporation may possess by reason of this corporation’s ownership of securities in such other corporation or other organization.</w:t>
      </w:r>
    </w:p>
    <w:p>
      <w:pPr>
        <w:spacing w:after="0" w:line="188"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Evidence of Authority</w:t>
      </w:r>
      <w:r>
        <w:rPr>
          <w:rFonts w:ascii="Times New Roman" w:cs="Times New Roman" w:eastAsia="Times New Roman" w:hAnsi="Times New Roman"/>
          <w:sz w:val="18"/>
          <w:szCs w:val="18"/>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All references in these Bylaws to the Certificate of Incorporation shall be deemed to refer to the Certificate of Incorporation of the corporation, as amended and in effect from time to time.</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determination that any provision of these Bylaws is for any reason inapplicable, illegal or ineffective shall not affect or invalidate any other provision of these Bylaws.</w:t>
      </w:r>
    </w:p>
    <w:p>
      <w:pPr>
        <w:spacing w:after="0" w:line="16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Pronouns</w:t>
      </w:r>
      <w:r>
        <w:rPr>
          <w:rFonts w:ascii="Times New Roman" w:cs="Times New Roman" w:eastAsia="Times New Roman" w:hAnsi="Times New Roman"/>
          <w:sz w:val="18"/>
          <w:szCs w:val="18"/>
          <w:color w:val="auto"/>
        </w:rPr>
        <w:t>. All pronouns used in these Bylaws shall be deemed to refer to the masculine, feminine or neuter, singular or plural, as the identity of the person or persons may require.</w:t>
      </w:r>
    </w:p>
    <w:p>
      <w:pPr>
        <w:spacing w:after="0" w:line="16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specifically provided herein or required by law, all notices required to be given to any stockholder, director, officer, employee or agent of the corporation shall be in writing and may in every instance be effectively given by hand delivery to the recipient thereof, by depositing such notice in the mails, postage paid, or by sending such notice by commercial courier service, or by facsimile or other electronic transmission, provided that notice to stockholders by electronic transmission shall be given in the manner provided in Section 232 of the Delaware General Corporation Law. Any such notice shall be addressed to such stockholder, director, officer, employee or agent at his last known address as the same appears on the books of the corporation. The time when such notice shall be deemed to be given shall be the time such notice is received by such stockholder, director, officer, employee or agent, or by any person accepting such notice on behalf of such person, if delivered by hand, facsimile, other electronic transmission or commercial courier service, or the time such notice is dispatched, if delivered through the mails. Without limiting the manner by which notice otherwise may be given effectively, notice to any stockholder shall be deemed given: (a) if by facsimile,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specific posting, upon the later of (i) such posting and (ii) the giving of such separate notice; (d) if by any other form of electronic transmission, when directed to the stockholder; and (e) if by mail, when deposited in the mail, postage prepaid, directed to the stockholder at such stockholder’s address as it appears on the records of the corporation.</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Reliance Upon Books, Reports and Records</w:t>
      </w:r>
      <w:r>
        <w:rPr>
          <w:rFonts w:ascii="Times New Roman" w:cs="Times New Roman" w:eastAsia="Times New Roman" w:hAnsi="Times New Roman"/>
          <w:sz w:val="18"/>
          <w:szCs w:val="18"/>
          <w:color w:val="auto"/>
        </w:rPr>
        <w:t>. Each director, each member of any committee designated by the Board of Directors, and each officer of the corporation shall, in the performance of his duties, be fully protected in relying in good faith upon the books of account or other records of the corporation as provided by law, including reports made to the corporation by any of its officers, by an independent certified public accountant, or by an appraiser selected with reasonable care.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Time Periods</w:t>
      </w:r>
      <w:r>
        <w:rPr>
          <w:rFonts w:ascii="Times New Roman" w:cs="Times New Roman" w:eastAsia="Times New Roman" w:hAnsi="Times New Roman"/>
          <w:sz w:val="18"/>
          <w:szCs w:val="18"/>
          <w:color w:val="auto"/>
        </w:rPr>
        <w:t>. In applying any provision of these Bylaws which require that an act be done or not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76" w:lineRule="exact"/>
        <w:rPr>
          <w:sz w:val="20"/>
          <w:szCs w:val="20"/>
          <w:color w:val="auto"/>
        </w:rPr>
      </w:pPr>
    </w:p>
    <w:p>
      <w:pPr>
        <w:ind w:right="240" w:firstLine="648"/>
        <w:spacing w:after="0" w:line="313" w:lineRule="auto"/>
        <w:rPr>
          <w:sz w:val="20"/>
          <w:szCs w:val="20"/>
          <w:color w:val="auto"/>
        </w:rPr>
      </w:pPr>
      <w:r>
        <w:rPr>
          <w:rFonts w:ascii="Times New Roman" w:cs="Times New Roman" w:eastAsia="Times New Roman" w:hAnsi="Times New Roman"/>
          <w:sz w:val="17"/>
          <w:szCs w:val="17"/>
          <w:color w:val="auto"/>
        </w:rPr>
        <w:t xml:space="preserve">5.11 </w:t>
      </w:r>
      <w:r>
        <w:rPr>
          <w:rFonts w:ascii="Times New Roman" w:cs="Times New Roman" w:eastAsia="Times New Roman" w:hAnsi="Times New Roman"/>
          <w:sz w:val="17"/>
          <w:szCs w:val="17"/>
          <w:u w:val="single" w:color="auto"/>
          <w:color w:val="auto"/>
        </w:rPr>
        <w:t>Facsimile Signatures</w:t>
      </w:r>
      <w:r>
        <w:rPr>
          <w:rFonts w:ascii="Times New Roman" w:cs="Times New Roman" w:eastAsia="Times New Roman" w:hAnsi="Times New Roman"/>
          <w:sz w:val="17"/>
          <w:szCs w:val="17"/>
          <w:color w:val="auto"/>
        </w:rPr>
        <w:t>. 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ectPr>
          <w:pgSz w:w="11900" w:h="16838" w:orient="portrait"/>
          <w:cols w:equalWidth="0" w:num="1">
            <w:col w:w="11420"/>
          </w:cols>
          <w:pgMar w:left="240" w:top="121" w:right="239" w:bottom="18" w:gutter="0" w:footer="0" w:header="0"/>
        </w:sectPr>
      </w:pPr>
    </w:p>
    <w:bookmarkStart w:id="44" w:name="page45"/>
    <w:bookmarkEnd w:id="44"/>
    <w:p>
      <w:pPr>
        <w:spacing w:after="0" w:line="9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By the Board of Directors</w:t>
      </w:r>
      <w:r>
        <w:rPr>
          <w:rFonts w:ascii="Times New Roman" w:cs="Times New Roman" w:eastAsia="Times New Roman" w:hAnsi="Times New Roman"/>
          <w:sz w:val="18"/>
          <w:szCs w:val="18"/>
          <w:color w:val="auto"/>
        </w:rPr>
        <w:t>. Except as otherwise set forth in these Bylaws, these Bylaws may be altered, amended or repealed or new Bylaws may be adopted by the affirmative vote of a majority of the directors present at any regular or special meeting of the Board of Directors at which a quorum is present.</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By the Stockholders</w:t>
      </w:r>
      <w:r>
        <w:rPr>
          <w:rFonts w:ascii="Times New Roman" w:cs="Times New Roman" w:eastAsia="Times New Roman" w:hAnsi="Times New Roman"/>
          <w:sz w:val="18"/>
          <w:szCs w:val="18"/>
          <w:color w:val="auto"/>
        </w:rPr>
        <w:t>. Except as otherwise set forth in these Bylaws, these Bylaws may be altered, amended or repealed or new Bylaws may be adopted by the affirmative vote of the holders of at least sixty-six and two-thirds percent (66-2/3%) of the voting power of all of the shares of capital stock of the corporation issued and outstanding and entitled to vote generally in any election of directors, voting together as a single class. Such vote may be held at any annual meeting of stockholders, or at any special meeting of stockholders provided that notice of such alteration, amendment, repeal or adoption of new Bylaws shall have been stated in the notice of such special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0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Right to Indemnification</w:t>
      </w:r>
      <w:r>
        <w:rPr>
          <w:rFonts w:ascii="Times New Roman" w:cs="Times New Roman" w:eastAsia="Times New Roman" w:hAnsi="Times New Roman"/>
          <w:sz w:val="18"/>
          <w:szCs w:val="18"/>
          <w:color w:val="auto"/>
        </w:rPr>
        <w:t>. Each person who was or is made a party or is threatened to be made a party to or is involved in any action, suit or proceeding, whether civil, criminal, administrative or investigative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a person of whom he is the legal representative, is or was a director or officer of the corporation or is or was serving at the request of the corporation as a director or officer of another corporation, or as a controlling person of a partnership, joint venture, trust or other enterprise, including service with respect to employee benefit plans, whether the basis of such proceeding is alleged action in an official capacity as a director or officer, or in any other capacity while serving as a director or officer,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reasonably incurred or suffered by such person in connection therewith and such indemnification shall continue as to a person who has ceased to be a director or officer and shall inure to the benefit of his heirs, executors and administrators; provided, that except as provided in Section 7.2 of this Article VII, the corporation shall indemnify any such person seeking indemnity in connection with a proceeding (or part thereof) initiated by such person only if (a) such indemnification is expressly required to be made by law, (b) the proceeding (or part thereof) was authorized by the Board of Directors, (c) such indemnification is provided by the corporation, in its sole discretion, pursuant to the powers vested in the corporation under the Delaware General Corporation Law, or (d) the proceeding (or part thereof) is brought to establish or enforce a right to indemnification or advancement under an indemnity agreement or any other statute or law or otherwise as required under Section 145 of the Delaware General Corporation Law. The rights hereunder shall be contract rights and shall include the right to be paid expenses incurred in defending</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any such proceeding in advance of its final disposition; provided, that the payment of such expenses incurred by a director or officer of the corporation in his capacity as a director or officer (and not in any other capacity in which service was or is tendered by such person while a director or officer, including, without limitation, service to an employee benefit plan) in advance of the final disposition of such proceeding, shall be made only upon delivery to the corporation of an undertaking, by or on behalf of such director or officer, to repay all amounts so advanced if it should be determined ultimately by final judicial decision from which there is no further right to appeal that such director or officer is not entitled to be indemnified under this section or otherwise.</w:t>
      </w:r>
    </w:p>
    <w:p>
      <w:pPr>
        <w:spacing w:after="0" w:line="18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Right of Claimant to Bring Suit</w:t>
      </w:r>
      <w:r>
        <w:rPr>
          <w:rFonts w:ascii="Times New Roman" w:cs="Times New Roman" w:eastAsia="Times New Roman" w:hAnsi="Times New Roman"/>
          <w:sz w:val="18"/>
          <w:szCs w:val="18"/>
          <w:color w:val="auto"/>
        </w:rPr>
        <w:t>. If a claim under Section 7.1 is not paid in full by the corporation within 60 days after a written claim has been received by the corporation, or 20 days in the case of a claim for advancement of expenses, the claimant may at any time thereafter bring suit against the corporation to recover the unpaid amount of the claim and, if such suit is not frivolous or brought in bad faith,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has been tendered to this corporation) that the claimant has not met the standards of conduct which make it permissible under the Delaware General Corporation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Delaware General Corporation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the corporation to recover an advancement of expenses pursuant to the terms of an undertaking, the corporation shall be entitled to recover such expenses upon a final judicial decision from which there is no further right to appeal that the indemnitee has not met any applicable standard for indemnification set forth in the Delaware General Corporation Law.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shall be on the corporation.</w:t>
      </w:r>
    </w:p>
    <w:p>
      <w:pPr>
        <w:spacing w:after="0" w:line="19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Indemnification of Employees and Agents</w:t>
      </w:r>
      <w:r>
        <w:rPr>
          <w:rFonts w:ascii="Times New Roman" w:cs="Times New Roman" w:eastAsia="Times New Roman" w:hAnsi="Times New Roman"/>
          <w:sz w:val="18"/>
          <w:szCs w:val="18"/>
          <w:color w:val="auto"/>
        </w:rPr>
        <w:t>. The corporation may, to the extent authorized from time to time by the Board of Directors, grant rights to indemnification, and to the advancement of related expenses, to any employee or agent of the corporation to the fullest extent of the provisions of this Article VII with respect to the indemnification of and advancement of expenses to directors and officers of the corporation.</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conferred on any person in this Article VII shall not be exclusive of any other right which such persons may have or hereafter acquire under any statute, provision of the Certificate of Incorporation, Bylaw, agreement, vote of stockholders or disinterested directors or otherwise.</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Indemnification Contracts</w:t>
      </w:r>
      <w:r>
        <w:rPr>
          <w:rFonts w:ascii="Times New Roman" w:cs="Times New Roman" w:eastAsia="Times New Roman" w:hAnsi="Times New Roman"/>
          <w:sz w:val="18"/>
          <w:szCs w:val="18"/>
          <w:color w:val="auto"/>
        </w:rPr>
        <w:t>. The Board of Directors is authorized to enter into a contract with any director, officer, employee or agent of the corporation, or any person serving at the request of the corporation as a director, officer, employee or agent of another corporation, partnership, joint venture, trust or other enterprise, including employee benefit plans, providing for indemnification rights equivalent to or, if the Board of Directors so determines, greater than, those provided for in this Article VII.</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shall maintain insurance to the extent reasonably available, at its expense, to protect itself and any such director, officer, employee or agent of the corporation or another corporation, partnership, joint venture, trust or other enterprise against any such expense, liability or</w:t>
      </w:r>
    </w:p>
    <w:p>
      <w:pPr>
        <w:sectPr>
          <w:pgSz w:w="11900" w:h="16933" w:orient="portrait"/>
          <w:cols w:equalWidth="0" w:num="1">
            <w:col w:w="11420"/>
          </w:cols>
          <w:pgMar w:left="240" w:top="121" w:right="239" w:bottom="0" w:gutter="0" w:footer="0" w:header="0"/>
        </w:sectPr>
      </w:pPr>
    </w:p>
    <w:bookmarkStart w:id="45" w:name="page46"/>
    <w:bookmarkEnd w:id="45"/>
    <w:p>
      <w:pPr>
        <w:ind w:right="520"/>
        <w:spacing w:after="0" w:line="282" w:lineRule="auto"/>
        <w:rPr>
          <w:sz w:val="20"/>
          <w:szCs w:val="20"/>
          <w:color w:val="auto"/>
        </w:rPr>
      </w:pPr>
      <w:r>
        <w:rPr>
          <w:rFonts w:ascii="Times New Roman" w:cs="Times New Roman" w:eastAsia="Times New Roman" w:hAnsi="Times New Roman"/>
          <w:sz w:val="18"/>
          <w:szCs w:val="18"/>
          <w:color w:val="auto"/>
        </w:rPr>
        <w:t>loss, whether or not the corporation would have the power to indemnify such person against such expense, liability or loss under the Delaware General Corporation Law.</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 Any amendment, repeal or modification of any provision of this Article VII shall not adversely affect any right or protection of an indemnitee or his successor in respect of any act or omission occurring prior to such amendment, repeal or modification.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FORUM FOR ADJUDICATION OF DISPUTES</w:t>
      </w:r>
    </w:p>
    <w:p>
      <w:pPr>
        <w:spacing w:after="0" w:line="20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Forum for Adjudication of Disputes</w:t>
      </w:r>
      <w:r>
        <w:rPr>
          <w:rFonts w:ascii="Times New Roman" w:cs="Times New Roman" w:eastAsia="Times New Roman" w:hAnsi="Times New Roman"/>
          <w:sz w:val="18"/>
          <w:szCs w:val="18"/>
          <w:color w:val="auto"/>
        </w:rPr>
        <w:t>. Unless the corporation consents in writing to the selection of an alternative forum, the sole and exclusive forum for (i) any derivative action or proceeding brought on behalf of the corporation, (ii) any action asserting a claim of breach of a fiduciary duty owed by any current or former director, officer or other employee of the corporation to the corporation or the corporation’s stockholders, (iii) any action asserting a claim arising pursuant to any provision of the Delaware General Corporation Law, or (iv) any action asserting a claim governed by the internal affairs doctrine (each, an “Action”) shall be a state or federal court located within the state of Delaware (a “Chosen Court”), in all cases subject to the court’s having personal jurisdiction over the indispensable parties named as defendants. Any person or entity purchasing or otherwise acquiring any interest in shares of capital stock of the corporation shall be deemed to have notice of and consented to the provisions of this bylaw.</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Extra-Forum Claims</w:t>
      </w:r>
      <w:r>
        <w:rPr>
          <w:rFonts w:ascii="Times New Roman" w:cs="Times New Roman" w:eastAsia="Times New Roman" w:hAnsi="Times New Roman"/>
          <w:sz w:val="18"/>
          <w:szCs w:val="18"/>
          <w:color w:val="auto"/>
        </w:rPr>
        <w:t>. To the fullest extent permitted by law, in the event that (A) any current or former stockholder of the corporation acting as such (“Claiming Party”) initiates, joins or asserts any Action in a court, tribunal or other arbitral or judicial body, in each case other than in a Chosen Court (an “Extra-Forum Claim”), or offers substantial assistance to, or has a direct financial interest in (other than simply in such person’s capacity as a stockholder of the corporation), any Extra-Forum Claim against the corporation and/or any current or former director, officer, employee or agent of the corporation (collectively, an “Aligned Party”), (B) the corporation does not consent in writing to waive applicability of this bylaw to a specified Extra-Forum Claim and (C) the Claiming Party (or the third party that received substantial assistance from the Claiming Party or in whose Extra-Forum Claim the Claiming Party had a direct financial interest) does not obtain a judgment on the merits that substantially achieves, in substance and amount, the full remedy sought, then each Claiming Party shall be obligated jointly and severally to reimburse the corporation and any such Aligned Party the greatest amount permitted by law of all fees, costs and expenses of every kind and description (including but not limited to, all reasonable attorneys’ fees and other litigation expenses) that the parties may incur in connection with such Extra-Forum Claim.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6" w:name="page47"/>
    <w:bookmarkEnd w:id="46"/>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R. Beauchamp, certify that:</w:t>
      </w:r>
    </w:p>
    <w:p>
      <w:pPr>
        <w:spacing w:after="0" w:line="225" w:lineRule="exact"/>
        <w:rPr>
          <w:sz w:val="20"/>
          <w:szCs w:val="20"/>
          <w:color w:val="auto"/>
        </w:rPr>
      </w:pPr>
    </w:p>
    <w:p>
      <w:pPr>
        <w:ind w:left="1060" w:hanging="171"/>
        <w:spacing w:after="0"/>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225" w:lineRule="exact"/>
        <w:rPr>
          <w:rFonts w:ascii="Times New Roman" w:cs="Times New Roman" w:eastAsia="Times New Roman" w:hAnsi="Times New Roman"/>
          <w:sz w:val="18"/>
          <w:szCs w:val="18"/>
          <w:color w:val="auto"/>
        </w:rPr>
      </w:pPr>
    </w:p>
    <w:p>
      <w:pPr>
        <w:ind w:left="440" w:right="180" w:firstLine="449"/>
        <w:spacing w:after="0" w:line="266" w:lineRule="auto"/>
        <w:tabs>
          <w:tab w:leader="none" w:pos="10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40" w:right="140" w:firstLine="449"/>
        <w:spacing w:after="0" w:line="282" w:lineRule="auto"/>
        <w:tabs>
          <w:tab w:leader="none" w:pos="10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right="120" w:firstLine="449"/>
        <w:spacing w:after="0" w:line="266" w:lineRule="auto"/>
        <w:tabs>
          <w:tab w:leader="none" w:pos="10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500" w:hanging="170"/>
        <w:spacing w:after="0"/>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27" w:lineRule="exact"/>
        <w:rPr>
          <w:rFonts w:ascii="Times New Roman" w:cs="Times New Roman" w:eastAsia="Times New Roman" w:hAnsi="Times New Roman"/>
          <w:sz w:val="18"/>
          <w:szCs w:val="18"/>
          <w:color w:val="auto"/>
        </w:rPr>
      </w:pPr>
    </w:p>
    <w:p>
      <w:pPr>
        <w:ind w:left="880"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80" w:right="40" w:firstLine="450"/>
        <w:spacing w:after="0" w:line="266" w:lineRule="auto"/>
        <w:tabs>
          <w:tab w:leader="none" w:pos="150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880" w:right="260" w:firstLine="450"/>
        <w:spacing w:after="0" w:line="282" w:lineRule="auto"/>
        <w:tabs>
          <w:tab w:leader="none" w:pos="149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880" w:right="180" w:firstLine="450"/>
        <w:spacing w:after="0" w:line="266" w:lineRule="auto"/>
        <w:tabs>
          <w:tab w:leader="none" w:pos="150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December 31, 2015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40" w:right="80" w:firstLine="449"/>
        <w:spacing w:after="0" w:line="282" w:lineRule="auto"/>
        <w:tabs>
          <w:tab w:leader="none" w:pos="10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80" w:right="480" w:firstLine="450"/>
        <w:spacing w:after="0" w:line="282" w:lineRule="auto"/>
        <w:tabs>
          <w:tab w:leader="none" w:pos="149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80" w:right="160" w:firstLine="450"/>
        <w:spacing w:after="0" w:line="282" w:lineRule="auto"/>
        <w:tabs>
          <w:tab w:leader="none" w:pos="150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2016</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c>
          <w:tcPr>
            <w:tcW w:w="40" w:type="dxa"/>
            <w:vAlign w:val="bottom"/>
          </w:tcPr>
          <w:p>
            <w:pPr>
              <w:spacing w:after="0"/>
              <w:rPr>
                <w:sz w:val="20"/>
                <w:szCs w:val="20"/>
                <w:color w:val="auto"/>
              </w:rPr>
            </w:pPr>
          </w:p>
        </w:tc>
      </w:tr>
      <w:tr>
        <w:trPr>
          <w:trHeight w:val="174"/>
        </w:trPr>
        <w:tc>
          <w:tcPr>
            <w:tcW w:w="6460" w:type="dxa"/>
            <w:vAlign w:val="bottom"/>
          </w:tcPr>
          <w:p>
            <w:pPr>
              <w:ind w:left="5720"/>
              <w:spacing w:after="0" w:line="174" w:lineRule="exact"/>
              <w:rPr>
                <w:sz w:val="20"/>
                <w:szCs w:val="20"/>
                <w:color w:val="auto"/>
              </w:rPr>
            </w:pPr>
            <w:r>
              <w:rPr>
                <w:rFonts w:ascii="Times New Roman" w:cs="Times New Roman" w:eastAsia="Times New Roman" w:hAnsi="Times New Roman"/>
                <w:sz w:val="18"/>
                <w:szCs w:val="18"/>
                <w:b w:val="1"/>
                <w:bCs w:val="1"/>
                <w:color w:val="auto"/>
              </w:rPr>
              <w:t>Name:</w:t>
            </w:r>
          </w:p>
        </w:tc>
        <w:tc>
          <w:tcPr>
            <w:tcW w:w="49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Steven R. Beauchamp</w:t>
            </w:r>
          </w:p>
        </w:tc>
        <w:tc>
          <w:tcPr>
            <w:tcW w:w="40" w:type="dxa"/>
            <w:vAlign w:val="bottom"/>
          </w:tcPr>
          <w:p>
            <w:pPr>
              <w:spacing w:after="0"/>
              <w:rPr>
                <w:sz w:val="15"/>
                <w:szCs w:val="15"/>
                <w:color w:val="auto"/>
              </w:rPr>
            </w:pPr>
          </w:p>
        </w:tc>
      </w:tr>
      <w:tr>
        <w:trPr>
          <w:trHeight w:val="238"/>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40" w:type="dxa"/>
            <w:vAlign w:val="bottom"/>
          </w:tcPr>
          <w:p>
            <w:pPr>
              <w:spacing w:after="0"/>
              <w:rPr>
                <w:sz w:val="20"/>
                <w:szCs w:val="20"/>
                <w:color w:val="auto"/>
              </w:rPr>
            </w:pPr>
          </w:p>
        </w:tc>
      </w:tr>
      <w:tr>
        <w:trPr>
          <w:trHeight w:val="348"/>
        </w:trPr>
        <w:tc>
          <w:tcPr>
            <w:tcW w:w="646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47" w:name="page48"/>
    <w:bookmarkEnd w:id="47"/>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 McGrail, certify that:</w:t>
      </w:r>
    </w:p>
    <w:p>
      <w:pPr>
        <w:spacing w:after="0" w:line="225" w:lineRule="exact"/>
        <w:rPr>
          <w:sz w:val="20"/>
          <w:szCs w:val="20"/>
          <w:color w:val="auto"/>
        </w:rPr>
      </w:pPr>
    </w:p>
    <w:p>
      <w:pPr>
        <w:ind w:left="1060" w:hanging="171"/>
        <w:spacing w:after="0"/>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225" w:lineRule="exact"/>
        <w:rPr>
          <w:rFonts w:ascii="Times New Roman" w:cs="Times New Roman" w:eastAsia="Times New Roman" w:hAnsi="Times New Roman"/>
          <w:sz w:val="18"/>
          <w:szCs w:val="18"/>
          <w:color w:val="auto"/>
        </w:rPr>
      </w:pPr>
    </w:p>
    <w:p>
      <w:pPr>
        <w:ind w:left="440" w:right="180" w:firstLine="449"/>
        <w:spacing w:after="0" w:line="266" w:lineRule="auto"/>
        <w:tabs>
          <w:tab w:leader="none" w:pos="106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40" w:right="140" w:firstLine="449"/>
        <w:spacing w:after="0" w:line="282" w:lineRule="auto"/>
        <w:tabs>
          <w:tab w:leader="none" w:pos="106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right="120" w:firstLine="449"/>
        <w:spacing w:after="0" w:line="266" w:lineRule="auto"/>
        <w:tabs>
          <w:tab w:leader="none" w:pos="106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500" w:hanging="170"/>
        <w:spacing w:after="0"/>
        <w:tabs>
          <w:tab w:leader="none" w:pos="15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27" w:lineRule="exact"/>
        <w:rPr>
          <w:rFonts w:ascii="Times New Roman" w:cs="Times New Roman" w:eastAsia="Times New Roman" w:hAnsi="Times New Roman"/>
          <w:sz w:val="18"/>
          <w:szCs w:val="18"/>
          <w:color w:val="auto"/>
        </w:rPr>
      </w:pPr>
    </w:p>
    <w:p>
      <w:pPr>
        <w:ind w:left="880"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80" w:right="40" w:firstLine="450"/>
        <w:spacing w:after="0" w:line="266" w:lineRule="auto"/>
        <w:tabs>
          <w:tab w:leader="none" w:pos="150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880" w:right="260" w:firstLine="450"/>
        <w:spacing w:after="0" w:line="282" w:lineRule="auto"/>
        <w:tabs>
          <w:tab w:leader="none" w:pos="149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880" w:right="180" w:firstLine="450"/>
        <w:spacing w:after="0" w:line="266" w:lineRule="auto"/>
        <w:tabs>
          <w:tab w:leader="none" w:pos="150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December 31, 2015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40" w:right="80" w:firstLine="449"/>
        <w:spacing w:after="0" w:line="282" w:lineRule="auto"/>
        <w:tabs>
          <w:tab w:leader="none" w:pos="106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80" w:right="480" w:firstLine="450"/>
        <w:spacing w:after="0" w:line="282" w:lineRule="auto"/>
        <w:tabs>
          <w:tab w:leader="none" w:pos="149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80" w:right="160" w:firstLine="450"/>
        <w:spacing w:after="0" w:line="282" w:lineRule="auto"/>
        <w:tabs>
          <w:tab w:leader="none" w:pos="150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2016</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Peter J. McGrail</w:t>
            </w:r>
          </w:p>
        </w:tc>
        <w:tc>
          <w:tcPr>
            <w:tcW w:w="40" w:type="dxa"/>
            <w:vAlign w:val="bottom"/>
          </w:tcPr>
          <w:p>
            <w:pPr>
              <w:spacing w:after="0"/>
              <w:rPr>
                <w:sz w:val="20"/>
                <w:szCs w:val="20"/>
                <w:color w:val="auto"/>
              </w:rPr>
            </w:pPr>
          </w:p>
        </w:tc>
      </w:tr>
      <w:tr>
        <w:trPr>
          <w:trHeight w:val="187"/>
        </w:trPr>
        <w:tc>
          <w:tcPr>
            <w:tcW w:w="6460" w:type="dxa"/>
            <w:vAlign w:val="bottom"/>
          </w:tcPr>
          <w:p>
            <w:pPr>
              <w:ind w:left="5720"/>
              <w:spacing w:after="0" w:line="188" w:lineRule="exact"/>
              <w:rPr>
                <w:sz w:val="20"/>
                <w:szCs w:val="20"/>
                <w:color w:val="auto"/>
              </w:rPr>
            </w:pPr>
            <w:r>
              <w:rPr>
                <w:rFonts w:ascii="Times New Roman" w:cs="Times New Roman" w:eastAsia="Times New Roman" w:hAnsi="Times New Roman"/>
                <w:sz w:val="18"/>
                <w:szCs w:val="18"/>
                <w:b w:val="1"/>
                <w:bCs w:val="1"/>
                <w:color w:val="auto"/>
              </w:rPr>
              <w:t>Name:</w:t>
            </w:r>
          </w:p>
        </w:tc>
        <w:tc>
          <w:tcPr>
            <w:tcW w:w="49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Peter J. McGrail</w:t>
            </w:r>
          </w:p>
        </w:tc>
        <w:tc>
          <w:tcPr>
            <w:tcW w:w="40" w:type="dxa"/>
            <w:vAlign w:val="bottom"/>
          </w:tcPr>
          <w:p>
            <w:pPr>
              <w:spacing w:after="0"/>
              <w:rPr>
                <w:sz w:val="16"/>
                <w:szCs w:val="16"/>
                <w:color w:val="auto"/>
              </w:rPr>
            </w:pPr>
          </w:p>
        </w:tc>
      </w:tr>
      <w:tr>
        <w:trPr>
          <w:trHeight w:val="216"/>
        </w:trPr>
        <w:tc>
          <w:tcPr>
            <w:tcW w:w="6460" w:type="dxa"/>
            <w:vAlign w:val="bottom"/>
          </w:tcPr>
          <w:p>
            <w:pPr>
              <w:ind w:left="57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and Accounting</w:t>
            </w:r>
          </w:p>
        </w:tc>
        <w:tc>
          <w:tcPr>
            <w:tcW w:w="40" w:type="dxa"/>
            <w:vAlign w:val="bottom"/>
          </w:tcPr>
          <w:p>
            <w:pPr>
              <w:spacing w:after="0"/>
              <w:rPr>
                <w:sz w:val="18"/>
                <w:szCs w:val="18"/>
                <w:color w:val="auto"/>
              </w:rPr>
            </w:pPr>
          </w:p>
        </w:tc>
      </w:tr>
      <w:tr>
        <w:trPr>
          <w:trHeight w:val="238"/>
        </w:trPr>
        <w:tc>
          <w:tcPr>
            <w:tcW w:w="646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w:t>
            </w:r>
          </w:p>
        </w:tc>
        <w:tc>
          <w:tcPr>
            <w:tcW w:w="40" w:type="dxa"/>
            <w:vAlign w:val="bottom"/>
          </w:tcPr>
          <w:p>
            <w:pPr>
              <w:spacing w:after="0"/>
              <w:rPr>
                <w:sz w:val="20"/>
                <w:szCs w:val="20"/>
                <w:color w:val="auto"/>
              </w:rPr>
            </w:pPr>
          </w:p>
        </w:tc>
      </w:tr>
      <w:tr>
        <w:trPr>
          <w:trHeight w:val="348"/>
        </w:trPr>
        <w:tc>
          <w:tcPr>
            <w:tcW w:w="646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December 31, 2015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400" w:lineRule="exact"/>
        <w:rPr>
          <w:sz w:val="20"/>
          <w:szCs w:val="20"/>
          <w:color w:val="auto"/>
        </w:rPr>
      </w:pPr>
    </w:p>
    <w:p>
      <w:pPr>
        <w:spacing w:after="0"/>
        <w:tabs>
          <w:tab w:leader="none" w:pos="7640" w:val="left"/>
        </w:tabs>
        <w:rPr>
          <w:sz w:val="20"/>
          <w:szCs w:val="20"/>
          <w:color w:val="auto"/>
        </w:rPr>
      </w:pPr>
      <w:r>
        <w:rPr>
          <w:rFonts w:ascii="Times New Roman" w:cs="Times New Roman" w:eastAsia="Times New Roman" w:hAnsi="Times New Roman"/>
          <w:sz w:val="18"/>
          <w:szCs w:val="18"/>
          <w:color w:val="auto"/>
        </w:rPr>
        <w:t>Dated: February 5, 2016</w:t>
      </w:r>
      <w:r>
        <w:rPr>
          <w:sz w:val="20"/>
          <w:szCs w:val="20"/>
          <w:color w:val="auto"/>
        </w:rPr>
        <w:tab/>
      </w:r>
      <w:r>
        <w:rPr>
          <w:rFonts w:ascii="Times New Roman" w:cs="Times New Roman" w:eastAsia="Times New Roman" w:hAnsi="Times New Roman"/>
          <w:sz w:val="17"/>
          <w:szCs w:val="17"/>
          <w:color w:val="auto"/>
        </w:rPr>
        <w:t>/S/ Steven R. Beauchamp</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7"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December 31, 2015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96" w:lineRule="exact"/>
        <w:rPr>
          <w:sz w:val="20"/>
          <w:szCs w:val="20"/>
          <w:color w:val="auto"/>
        </w:rPr>
      </w:pPr>
    </w:p>
    <w:p>
      <w:pPr>
        <w:spacing w:after="0"/>
        <w:tabs>
          <w:tab w:leader="none" w:pos="7840" w:val="left"/>
        </w:tabs>
        <w:rPr>
          <w:sz w:val="20"/>
          <w:szCs w:val="20"/>
          <w:color w:val="auto"/>
        </w:rPr>
      </w:pPr>
      <w:r>
        <w:rPr>
          <w:rFonts w:ascii="Times New Roman" w:cs="Times New Roman" w:eastAsia="Times New Roman" w:hAnsi="Times New Roman"/>
          <w:sz w:val="18"/>
          <w:szCs w:val="18"/>
          <w:color w:val="auto"/>
        </w:rPr>
        <w:t>Dated: February 5, 2016</w:t>
      </w:r>
      <w:r>
        <w:rPr>
          <w:sz w:val="20"/>
          <w:szCs w:val="20"/>
          <w:color w:val="auto"/>
        </w:rPr>
        <w:tab/>
      </w:r>
      <w:r>
        <w:rPr>
          <w:rFonts w:ascii="Times New Roman" w:cs="Times New Roman" w:eastAsia="Times New Roman" w:hAnsi="Times New Roman"/>
          <w:sz w:val="17"/>
          <w:szCs w:val="17"/>
          <w:color w:val="auto"/>
        </w:rPr>
        <w:t>/S/ Peter J. McGrail</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Peter J. McGrail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and Accounting Officer)</w:t>
      </w:r>
    </w:p>
    <w:p>
      <w:pPr>
        <w:spacing w:after="0" w:line="207"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lowerLetter"/>
      <w:start w:val="1"/>
    </w:lvl>
    <w:lvl w:ilvl="1">
      <w:lvlJc w:val="left"/>
      <w:lvlText w:val="(%2)"/>
      <w:numFmt w:val="decimal"/>
      <w:start w:val="2"/>
    </w:lvl>
  </w:abstractNum>
  <w:abstractNum w:abstractNumId="1">
    <w:nsid w:val="25E45D32"/>
    <w:multiLevelType w:val="hybridMultilevel"/>
    <w:lvl w:ilvl="0">
      <w:lvlJc w:val="left"/>
      <w:lvlText w:val="(%1)"/>
      <w:numFmt w:val="lowerLetter"/>
      <w:start w:val="1"/>
    </w:lvl>
    <w:lvl w:ilvl="1">
      <w:lvlJc w:val="left"/>
      <w:lvlText w:val="%2"/>
      <w:numFmt w:val="decimal"/>
      <w:start w:val="1"/>
    </w:lvl>
  </w:abstractNum>
  <w:abstractNum w:abstractNumId="2">
    <w:nsid w:val="519B500D"/>
    <w:multiLevelType w:val="hybridMultilevel"/>
    <w:lvl w:ilvl="0">
      <w:lvlJc w:val="left"/>
      <w:lvlText w:val="(%1)"/>
      <w:numFmt w:val="lowerLetter"/>
      <w:start w:val="2"/>
    </w:lvl>
  </w:abstractNum>
  <w:abstractNum w:abstractNumId="3">
    <w:nsid w:val="431BD7B7"/>
    <w:multiLevelType w:val="hybridMultilevel"/>
    <w:lvl w:ilvl="0">
      <w:lvlJc w:val="left"/>
      <w:lvlText w:val="(%1)"/>
      <w:numFmt w:val="lowerLetter"/>
      <w:start w:val="3"/>
    </w:lvl>
  </w:abstractNum>
  <w:abstractNum w:abstractNumId="4">
    <w:nsid w:val="3F2DBA31"/>
    <w:multiLevelType w:val="hybridMultilevel"/>
    <w:lvl w:ilvl="0">
      <w:lvlJc w:val="left"/>
      <w:lvlText w:val="(%1)"/>
      <w:numFmt w:val="lowerLetter"/>
      <w:start w:val="4"/>
    </w:lvl>
  </w:abstractNum>
  <w:abstractNum w:abstractNumId="5">
    <w:nsid w:val="7C83E458"/>
    <w:multiLevelType w:val="hybridMultilevel"/>
    <w:lvl w:ilvl="0">
      <w:lvlJc w:val="left"/>
      <w:lvlText w:val="(%1)"/>
      <w:numFmt w:val="lowerLetter"/>
      <w:start w:val="5"/>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lowerLetter"/>
      <w:start w:val="1"/>
    </w:lvl>
  </w:abstractNum>
  <w:abstractNum w:abstractNumId="8">
    <w:nsid w:val="436C6125"/>
    <w:multiLevelType w:val="hybridMultilevel"/>
    <w:lvl w:ilvl="0">
      <w:lvlJc w:val="left"/>
      <w:lvlText w:val="(%1)"/>
      <w:numFmt w:val="lowerLetter"/>
      <w:start w:val="2"/>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lowerLetter"/>
      <w:start w:val="1"/>
    </w:lvl>
    <w:lvl w:ilvl="1">
      <w:lvlJc w:val="left"/>
      <w:lvlText w:val="(%2)"/>
      <w:numFmt w:val="lowerLetter"/>
      <w:start w:val="1"/>
    </w:lvl>
  </w:abstractNum>
  <w:abstractNum w:abstractNumId="22">
    <w:nsid w:val="71F32454"/>
    <w:multiLevelType w:val="hybridMultilevel"/>
    <w:lvl w:ilvl="0">
      <w:lvlJc w:val="left"/>
      <w:lvlText w:val="(%1)"/>
      <w:numFmt w:val="lowerLetter"/>
      <w:start w:val="9"/>
    </w:lvl>
    <w:lvl w:ilvl="1">
      <w:lvlJc w:val="left"/>
      <w:lvlText w:val="%2"/>
      <w:numFmt w:val="lowerLetter"/>
      <w:start w:val="1"/>
    </w:lvl>
  </w:abstractNum>
  <w:abstractNum w:abstractNumId="23">
    <w:nsid w:val="2CA88611"/>
    <w:multiLevelType w:val="hybridMultilevel"/>
    <w:lvl w:ilvl="0">
      <w:lvlJc w:val="left"/>
      <w:lvlText w:val="(%1)"/>
      <w:numFmt w:val="lowerLetter"/>
      <w:start w:val="2"/>
    </w:lvl>
  </w:abstractNum>
  <w:abstractNum w:abstractNumId="24">
    <w:nsid w:val="836C40E"/>
    <w:multiLevelType w:val="hybridMultilevel"/>
    <w:lvl w:ilvl="0">
      <w:lvlJc w:val="left"/>
      <w:lvlText w:val="(%1)"/>
      <w:numFmt w:val="decimal"/>
      <w:start w:val="3"/>
    </w:lvl>
    <w:lvl w:ilvl="1">
      <w:lvlJc w:val="left"/>
      <w:lvlText w:val="(%2)"/>
      <w:numFmt w:val="lowerLetter"/>
      <w:start w:val="3"/>
    </w:lvl>
  </w:abstractNum>
  <w:abstractNum w:abstractNumId="25">
    <w:nsid w:val="2901D82"/>
    <w:multiLevelType w:val="hybridMultilevel"/>
    <w:lvl w:ilvl="0">
      <w:lvlJc w:val="left"/>
      <w:lvlText w:val="(%1)"/>
      <w:numFmt w:val="lowerLetter"/>
      <w:start w:val="5"/>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decimal"/>
      <w:start w:val="5"/>
    </w:lvl>
  </w:abstractNum>
  <w:abstractNum w:abstractNumId="28">
    <w:nsid w:val="1E7FF521"/>
    <w:multiLevelType w:val="hybridMultilevel"/>
    <w:lvl w:ilvl="0">
      <w:lvlJc w:val="left"/>
      <w:lvlText w:val="(%1)"/>
      <w:numFmt w:val="lowerLetter"/>
      <w:start w:val="3"/>
    </w:lvl>
  </w:abstractNum>
  <w:abstractNum w:abstractNumId="29">
    <w:nsid w:val="7C3DBD3D"/>
    <w:multiLevelType w:val="hybridMultilevel"/>
    <w:lvl w:ilvl="0">
      <w:lvlJc w:val="left"/>
      <w:lvlText w:val="(%1)"/>
      <w:numFmt w:val="lowerLetter"/>
      <w:start w:val="6"/>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2019-12-29T13:56:30Z</dcterms:created>
  <dcterms:modified xsi:type="dcterms:W3CDTF">2019-12-29T13:56:30Z</dcterms:modified>
</cp:coreProperties>
</file>