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400685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77470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2" w:lineRule="exact"/>
        <w:rPr>
          <w:sz w:val="24"/>
          <w:szCs w:val="24"/>
          <w:color w:val="auto"/>
        </w:rPr>
      </w:pPr>
    </w:p>
    <w:p>
      <w:pPr>
        <w:ind w:left="3900" w:right="2540" w:hanging="3586"/>
        <w:spacing w:after="0" w:line="332" w:lineRule="auto"/>
        <w:tabs>
          <w:tab w:leader="none" w:pos="62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June 30, 2020</w:t>
      </w:r>
    </w:p>
    <w:p>
      <w:pPr>
        <w:ind w:left="500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207645</wp:posOffset>
            </wp:positionH>
            <wp:positionV relativeFrom="paragraph">
              <wp:posOffset>-363220</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2"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207645</wp:posOffset>
            </wp:positionH>
            <wp:positionV relativeFrom="paragraph">
              <wp:posOffset>-80645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9" w:lineRule="exact"/>
        <w:rPr>
          <w:sz w:val="24"/>
          <w:szCs w:val="24"/>
          <w:color w:val="auto"/>
        </w:rPr>
      </w:pPr>
    </w:p>
    <w:p>
      <w:pPr>
        <w:ind w:left="3520"/>
        <w:spacing w:after="0"/>
        <w:tabs>
          <w:tab w:leader="none" w:pos="59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74930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90805</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p>
      <w:pPr>
        <w:spacing w:after="0" w:line="242"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020"/>
        <w:spacing w:after="0"/>
        <w:rPr>
          <w:sz w:val="20"/>
          <w:szCs w:val="20"/>
          <w:color w:val="auto"/>
        </w:rPr>
      </w:pPr>
      <w:r>
        <w:rPr>
          <w:rFonts w:ascii="Arial" w:cs="Arial" w:eastAsia="Arial" w:hAnsi="Arial"/>
          <w:sz w:val="13"/>
          <w:szCs w:val="13"/>
          <w:color w:val="auto"/>
        </w:rPr>
        <w:t>(State or other jurisdiction of</w:t>
      </w:r>
    </w:p>
    <w:p>
      <w:pPr>
        <w:ind w:left="10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46-4066644</w:t>
      </w:r>
    </w:p>
    <w:p>
      <w:pPr>
        <w:jc w:val="center"/>
        <w:ind w:right="1200"/>
        <w:spacing w:after="0" w:line="221" w:lineRule="auto"/>
        <w:rPr>
          <w:sz w:val="20"/>
          <w:szCs w:val="20"/>
          <w:color w:val="auto"/>
        </w:rPr>
      </w:pPr>
      <w:r>
        <w:rPr>
          <w:rFonts w:ascii="Arial" w:cs="Arial" w:eastAsia="Arial" w:hAnsi="Arial"/>
          <w:sz w:val="14"/>
          <w:szCs w:val="14"/>
          <w:color w:val="auto"/>
        </w:rPr>
        <w:t>(I.R.S. Employer</w:t>
      </w:r>
    </w:p>
    <w:p>
      <w:pPr>
        <w:jc w:val="center"/>
        <w:ind w:right="1200"/>
        <w:spacing w:after="0"/>
        <w:rPr>
          <w:sz w:val="20"/>
          <w:szCs w:val="20"/>
          <w:color w:val="auto"/>
        </w:rPr>
      </w:pPr>
      <w:r>
        <w:rPr>
          <w:rFonts w:ascii="Arial" w:cs="Arial" w:eastAsia="Arial" w:hAnsi="Arial"/>
          <w:sz w:val="13"/>
          <w:szCs w:val="13"/>
          <w:color w:val="auto"/>
        </w:rPr>
        <w:t>Identification Number)</w:t>
      </w:r>
    </w:p>
    <w:p>
      <w:pPr>
        <w:spacing w:after="0" w:line="1" w:lineRule="exact"/>
        <w:rPr>
          <w:sz w:val="24"/>
          <w:szCs w:val="24"/>
          <w:color w:val="auto"/>
        </w:rPr>
      </w:pPr>
    </w:p>
    <w:p>
      <w:pPr>
        <w:sectPr>
          <w:pgSz w:w="11900" w:h="16838" w:orient="portrait"/>
          <w:cols w:equalWidth="0" w:num="2">
            <w:col w:w="6960" w:space="720"/>
            <w:col w:w="2520"/>
          </w:cols>
          <w:pgMar w:left="840" w:top="665" w:right="859" w:bottom="1440" w:gutter="0" w:footer="0" w:header="0"/>
          <w:type w:val="continuous"/>
        </w:sectPr>
      </w:pPr>
    </w:p>
    <w:p>
      <w:pPr>
        <w:jc w:val="center"/>
        <w:spacing w:after="0" w:line="219" w:lineRule="auto"/>
        <w:rPr>
          <w:sz w:val="20"/>
          <w:szCs w:val="20"/>
          <w:color w:val="auto"/>
        </w:rPr>
      </w:pPr>
      <w:r>
        <w:rPr>
          <w:rFonts w:ascii="Arial" w:cs="Arial" w:eastAsia="Arial" w:hAnsi="Arial"/>
          <w:sz w:val="14"/>
          <w:szCs w:val="14"/>
          <w:b w:val="1"/>
          <w:bCs w:val="1"/>
          <w:color w:val="auto"/>
        </w:rPr>
        <w:t>1400 American Lane</w:t>
      </w:r>
    </w:p>
    <w:p>
      <w:pPr>
        <w:jc w:val="center"/>
        <w:spacing w:after="0" w:line="222" w:lineRule="auto"/>
        <w:rPr>
          <w:sz w:val="20"/>
          <w:szCs w:val="20"/>
          <w:color w:val="auto"/>
        </w:rPr>
      </w:pPr>
      <w:r>
        <w:rPr>
          <w:rFonts w:ascii="Arial" w:cs="Arial" w:eastAsia="Arial" w:hAnsi="Arial"/>
          <w:sz w:val="14"/>
          <w:szCs w:val="14"/>
          <w:b w:val="1"/>
          <w:bCs w:val="1"/>
          <w:color w:val="auto"/>
        </w:rPr>
        <w:t>Schaumburg, Illinois 60173</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0200"/>
          </w:cols>
          <w:pgMar w:left="840" w:top="665" w:right="85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(847) 463-3200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5"/>
              </w:rPr>
              <w:t>Title of each class</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6"/>
              </w:rPr>
              <w:t>Trading symbol(s)</w:t>
            </w:r>
          </w:p>
        </w:tc>
        <w:tc>
          <w:tcPr>
            <w:tcW w:w="860" w:type="dxa"/>
            <w:vAlign w:val="bottom"/>
          </w:tcPr>
          <w:p>
            <w:pPr>
              <w:spacing w:after="0"/>
              <w:rPr>
                <w:sz w:val="12"/>
                <w:szCs w:val="12"/>
                <w:color w:val="auto"/>
              </w:rPr>
            </w:pPr>
          </w:p>
        </w:tc>
        <w:tc>
          <w:tcPr>
            <w:tcW w:w="1980" w:type="dxa"/>
            <w:vAlign w:val="bottom"/>
            <w:gridSpan w:val="3"/>
          </w:tcPr>
          <w:p>
            <w:pPr>
              <w:ind w:left="20"/>
              <w:spacing w:after="0"/>
              <w:rPr>
                <w:sz w:val="20"/>
                <w:szCs w:val="20"/>
                <w:color w:val="auto"/>
              </w:rPr>
            </w:pPr>
            <w:r>
              <w:rPr>
                <w:rFonts w:ascii="Arial" w:cs="Arial" w:eastAsia="Arial" w:hAnsi="Arial"/>
                <w:sz w:val="12"/>
                <w:szCs w:val="12"/>
                <w:b w:val="1"/>
                <w:bCs w:val="1"/>
                <w:color w:val="auto"/>
                <w:w w:val="86"/>
              </w:rPr>
              <w:t>Name of Exchange on which registered</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gridSpan w:val="3"/>
          </w:tcPr>
          <w:p>
            <w:pPr>
              <w:jc w:val="center"/>
              <w:ind w:left="556"/>
              <w:spacing w:after="0"/>
              <w:rPr>
                <w:sz w:val="20"/>
                <w:szCs w:val="20"/>
                <w:color w:val="auto"/>
              </w:rPr>
            </w:pPr>
            <w:r>
              <w:rPr>
                <w:rFonts w:ascii="Arial" w:cs="Arial" w:eastAsia="Arial" w:hAnsi="Arial"/>
                <w:sz w:val="12"/>
                <w:szCs w:val="12"/>
                <w:color w:val="auto"/>
                <w:w w:val="87"/>
              </w:rPr>
              <w:t>Common Stock, par value $0.001 per share</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20" w:type="dxa"/>
            <w:vAlign w:val="bottom"/>
            <w:gridSpan w:val="3"/>
          </w:tcPr>
          <w:p>
            <w:pPr>
              <w:jc w:val="center"/>
              <w:ind w:right="920"/>
              <w:spacing w:after="0"/>
              <w:rPr>
                <w:sz w:val="20"/>
                <w:szCs w:val="20"/>
                <w:color w:val="auto"/>
              </w:rPr>
            </w:pPr>
            <w:r>
              <w:rPr>
                <w:rFonts w:ascii="Arial" w:cs="Arial" w:eastAsia="Arial" w:hAnsi="Arial"/>
                <w:sz w:val="12"/>
                <w:szCs w:val="12"/>
                <w:color w:val="auto"/>
                <w:w w:val="93"/>
              </w:rPr>
              <w:t>PCTY</w:t>
            </w:r>
          </w:p>
        </w:tc>
        <w:tc>
          <w:tcPr>
            <w:tcW w:w="860" w:type="dxa"/>
            <w:vAlign w:val="bottom"/>
          </w:tcPr>
          <w:p>
            <w:pPr>
              <w:spacing w:after="0"/>
              <w:rPr>
                <w:sz w:val="12"/>
                <w:szCs w:val="12"/>
                <w:color w:val="auto"/>
              </w:rPr>
            </w:pPr>
          </w:p>
        </w:tc>
        <w:tc>
          <w:tcPr>
            <w:tcW w:w="1980" w:type="dxa"/>
            <w:vAlign w:val="bottom"/>
            <w:gridSpan w:val="3"/>
          </w:tcPr>
          <w:p>
            <w:pPr>
              <w:ind w:left="20"/>
              <w:spacing w:after="0"/>
              <w:rPr>
                <w:sz w:val="20"/>
                <w:szCs w:val="20"/>
                <w:color w:val="auto"/>
              </w:rPr>
            </w:pPr>
            <w:r>
              <w:rPr>
                <w:rFonts w:ascii="Arial" w:cs="Arial" w:eastAsia="Arial" w:hAnsi="Arial"/>
                <w:sz w:val="12"/>
                <w:szCs w:val="12"/>
                <w:color w:val="auto"/>
                <w:w w:val="90"/>
              </w:rPr>
              <w:t>The NASDAQ Global Select Market LLC</w:t>
            </w:r>
          </w:p>
        </w:tc>
        <w:tc>
          <w:tcPr>
            <w:tcW w:w="0" w:type="dxa"/>
            <w:vAlign w:val="bottom"/>
          </w:tcPr>
          <w:p>
            <w:pPr>
              <w:spacing w:after="0"/>
              <w:rPr>
                <w:sz w:val="1"/>
                <w:szCs w:val="1"/>
                <w:color w:val="auto"/>
              </w:rPr>
            </w:pPr>
          </w:p>
        </w:tc>
      </w:tr>
      <w:tr>
        <w:trPr>
          <w:trHeight w:val="329"/>
        </w:trPr>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0" w:type="dxa"/>
            <w:vAlign w:val="bottom"/>
            <w:gridSpan w:val="6"/>
          </w:tcPr>
          <w:p>
            <w:pPr>
              <w:jc w:val="center"/>
              <w:ind w:right="173"/>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2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1"/>
              </w:rPr>
              <w:t>None</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820" w:type="dxa"/>
            <w:vAlign w:val="bottom"/>
            <w:gridSpan w:val="4"/>
          </w:tcPr>
          <w:p>
            <w:pPr>
              <w:spacing w:after="0"/>
              <w:rPr>
                <w:sz w:val="8"/>
                <w:szCs w:val="8"/>
                <w:color w:val="auto"/>
              </w:rPr>
            </w:pPr>
          </w:p>
        </w:tc>
        <w:tc>
          <w:tcPr>
            <w:tcW w:w="256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980" w:type="dxa"/>
            <w:vAlign w:val="bottom"/>
            <w:gridSpan w:val="3"/>
            <w:vMerge w:val="restart"/>
          </w:tcPr>
          <w:p>
            <w:pPr>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304"/>
        </w:trPr>
        <w:tc>
          <w:tcPr>
            <w:tcW w:w="6460" w:type="dxa"/>
            <w:vAlign w:val="bottom"/>
            <w:gridSpan w:val="8"/>
          </w:tcPr>
          <w:p>
            <w:pPr>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860" w:type="dxa"/>
            <w:vAlign w:val="bottom"/>
            <w:vMerge w:val="continue"/>
          </w:tcPr>
          <w:p>
            <w:pPr>
              <w:spacing w:after="0"/>
              <w:rPr>
                <w:sz w:val="24"/>
                <w:szCs w:val="24"/>
                <w:color w:val="auto"/>
              </w:rPr>
            </w:pPr>
          </w:p>
        </w:tc>
        <w:tc>
          <w:tcPr>
            <w:tcW w:w="19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60" w:type="dxa"/>
            <w:vAlign w:val="bottom"/>
            <w:gridSpan w:val="8"/>
          </w:tcPr>
          <w:p>
            <w:pPr>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86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20" w:type="dxa"/>
            <w:vAlign w:val="bottom"/>
          </w:tcPr>
          <w:p>
            <w:pPr>
              <w:spacing w:after="0"/>
              <w:rPr>
                <w:sz w:val="21"/>
                <w:szCs w:val="21"/>
                <w:color w:val="auto"/>
              </w:rPr>
            </w:pPr>
          </w:p>
        </w:tc>
        <w:tc>
          <w:tcPr>
            <w:tcW w:w="1960" w:type="dxa"/>
            <w:vAlign w:val="bottom"/>
            <w:gridSpan w:val="2"/>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right="60"/>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right="200"/>
        <w:spacing w:after="0" w:line="16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right="24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3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40" w:type="dxa"/>
            <w:vAlign w:val="bottom"/>
          </w:tcPr>
          <w:p>
            <w:pPr>
              <w:ind w:left="1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40" w:type="dxa"/>
            <w:vAlign w:val="bottom"/>
          </w:tcPr>
          <w:p>
            <w:pPr>
              <w:ind w:left="3220"/>
              <w:spacing w:after="0"/>
              <w:rPr>
                <w:sz w:val="20"/>
                <w:szCs w:val="20"/>
                <w:color w:val="auto"/>
              </w:rPr>
            </w:pPr>
            <w:r>
              <w:rPr>
                <w:rFonts w:ascii="Arial" w:cs="Arial" w:eastAsia="Arial" w:hAnsi="Arial"/>
                <w:sz w:val="13"/>
                <w:szCs w:val="13"/>
                <w:color w:val="auto"/>
              </w:rPr>
              <w:t>Accelerated filer</w:t>
            </w:r>
          </w:p>
        </w:tc>
        <w:tc>
          <w:tcPr>
            <w:tcW w:w="340" w:type="dxa"/>
            <w:vAlign w:val="bottom"/>
          </w:tcPr>
          <w:p>
            <w:pPr>
              <w:ind w:left="2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392"/>
        </w:trPr>
        <w:tc>
          <w:tcPr>
            <w:tcW w:w="1380" w:type="dxa"/>
            <w:vAlign w:val="bottom"/>
          </w:tcPr>
          <w:p>
            <w:pPr>
              <w:spacing w:after="0"/>
              <w:rPr>
                <w:sz w:val="20"/>
                <w:szCs w:val="20"/>
                <w:color w:val="auto"/>
              </w:rPr>
            </w:pPr>
            <w:r>
              <w:rPr>
                <w:rFonts w:ascii="Arial" w:cs="Arial" w:eastAsia="Arial" w:hAnsi="Arial"/>
                <w:sz w:val="13"/>
                <w:szCs w:val="13"/>
                <w:color w:val="auto"/>
              </w:rPr>
              <w:t>Non-accelerated filer</w:t>
            </w:r>
          </w:p>
        </w:tc>
        <w:tc>
          <w:tcPr>
            <w:tcW w:w="3540" w:type="dxa"/>
            <w:vAlign w:val="bottom"/>
          </w:tcPr>
          <w:p>
            <w:pPr>
              <w:ind w:left="1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40" w:type="dxa"/>
            <w:vAlign w:val="bottom"/>
          </w:tcPr>
          <w:p>
            <w:pPr>
              <w:ind w:left="322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ind w:left="2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97"/>
        </w:trPr>
        <w:tc>
          <w:tcPr>
            <w:tcW w:w="1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40" w:type="dxa"/>
            <w:vAlign w:val="bottom"/>
          </w:tcPr>
          <w:p>
            <w:pPr>
              <w:ind w:left="3220"/>
              <w:spacing w:after="0"/>
              <w:rPr>
                <w:sz w:val="20"/>
                <w:szCs w:val="20"/>
                <w:color w:val="auto"/>
              </w:rPr>
            </w:pPr>
            <w:r>
              <w:rPr>
                <w:rFonts w:ascii="Arial" w:cs="Arial" w:eastAsia="Arial" w:hAnsi="Arial"/>
                <w:sz w:val="13"/>
                <w:szCs w:val="13"/>
                <w:color w:val="auto"/>
              </w:rPr>
              <w:t>Emerging growth company</w:t>
            </w:r>
          </w:p>
        </w:tc>
        <w:tc>
          <w:tcPr>
            <w:tcW w:w="340" w:type="dxa"/>
            <w:vAlign w:val="bottom"/>
          </w:tcPr>
          <w:p>
            <w:pPr>
              <w:ind w:left="22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43" w:lineRule="exact"/>
        <w:rPr>
          <w:sz w:val="24"/>
          <w:szCs w:val="24"/>
          <w:color w:val="auto"/>
        </w:rPr>
      </w:pPr>
    </w:p>
    <w:p>
      <w:pPr>
        <w:ind w:right="20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right="160"/>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spacing w:after="0" w:line="175" w:lineRule="exact"/>
        <w:tabs>
          <w:tab w:leader="none" w:pos="5660" w:val="left"/>
          <w:tab w:leader="none" w:pos="61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94" w:lineRule="exact"/>
        <w:rPr>
          <w:sz w:val="24"/>
          <w:szCs w:val="24"/>
          <w:color w:val="auto"/>
        </w:rPr>
      </w:pPr>
    </w:p>
    <w:p>
      <w:pPr>
        <w:ind w:right="160"/>
        <w:spacing w:after="0" w:line="317" w:lineRule="auto"/>
        <w:rPr>
          <w:sz w:val="20"/>
          <w:szCs w:val="20"/>
          <w:color w:val="auto"/>
        </w:rPr>
      </w:pPr>
      <w:r>
        <w:rPr>
          <w:rFonts w:ascii="Arial" w:cs="Arial" w:eastAsia="Arial" w:hAnsi="Arial"/>
          <w:sz w:val="12"/>
          <w:szCs w:val="12"/>
          <w:color w:val="auto"/>
        </w:rPr>
        <w:t>The aggregate market value of voting stock held by non-affiliates of the registrant as of December 31, 2019, the last day of registrant’s most recently completed second fiscal quarter, was $4.2 billion (based on the closing price for shares of the registrant’s common stock as reported by the NASDAQ Global Select Market for the last business day prior to that date).</w:t>
      </w:r>
    </w:p>
    <w:p>
      <w:pPr>
        <w:spacing w:after="0" w:line="81" w:lineRule="exact"/>
        <w:rPr>
          <w:sz w:val="24"/>
          <w:szCs w:val="24"/>
          <w:color w:val="auto"/>
        </w:rPr>
      </w:pPr>
    </w:p>
    <w:p>
      <w:pPr>
        <w:spacing w:after="0"/>
        <w:rPr>
          <w:sz w:val="20"/>
          <w:szCs w:val="20"/>
          <w:color w:val="auto"/>
        </w:rPr>
      </w:pPr>
      <w:r>
        <w:rPr>
          <w:rFonts w:ascii="Arial" w:cs="Arial" w:eastAsia="Arial" w:hAnsi="Arial"/>
          <w:sz w:val="13"/>
          <w:szCs w:val="13"/>
          <w:color w:val="auto"/>
        </w:rPr>
        <w:t>As of July 31, 2020, there were 53,813,482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74930</wp:posOffset>
            </wp:positionV>
            <wp:extent cx="162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69" w:lineRule="exact"/>
        <w:rPr>
          <w:sz w:val="24"/>
          <w:szCs w:val="24"/>
          <w:color w:val="auto"/>
        </w:rPr>
      </w:pPr>
    </w:p>
    <w:p>
      <w:pPr>
        <w:ind w:right="200"/>
        <w:spacing w:after="0" w:line="317" w:lineRule="auto"/>
        <w:rPr>
          <w:sz w:val="20"/>
          <w:szCs w:val="20"/>
          <w:color w:val="auto"/>
        </w:rPr>
      </w:pPr>
      <w:r>
        <w:rPr>
          <w:rFonts w:ascii="Arial" w:cs="Arial" w:eastAsia="Arial" w:hAnsi="Arial"/>
          <w:sz w:val="12"/>
          <w:szCs w:val="12"/>
          <w:color w:val="auto"/>
        </w:rPr>
        <w:t>The information required by Part III of this Report, to the extent not set forth herein, is incorporated herein by reference from the Proxy Statement relating to the registrant’s 2021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461010</wp:posOffset>
            </wp:positionV>
            <wp:extent cx="64979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83820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06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500"/>
        </w:trPr>
        <w:tc>
          <w:tcPr>
            <w:tcW w:w="10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060" w:type="dxa"/>
            <w:vAlign w:val="bottom"/>
          </w:tcPr>
          <w:p>
            <w:pPr>
              <w:spacing w:after="0"/>
              <w:rPr>
                <w:rFonts w:ascii="Arial" w:cs="Arial" w:eastAsia="Arial" w:hAnsi="Arial"/>
                <w:sz w:val="18"/>
                <w:szCs w:val="18"/>
                <w:color w:val="0000EE"/>
              </w:rPr>
            </w:pPr>
            <w:hyperlink w:anchor="page16">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1B.</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Unresolved Staff Comments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2.</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Properties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86"/>
        </w:trPr>
        <w:tc>
          <w:tcPr>
            <w:tcW w:w="106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w:t>
              </w:r>
            </w:hyperlink>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5"/>
        </w:trPr>
        <w:tc>
          <w:tcPr>
            <w:tcW w:w="106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5.</w:t>
              </w:r>
            </w:hyperlink>
          </w:p>
        </w:tc>
        <w:tc>
          <w:tcPr>
            <w:tcW w:w="68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Market for Registrant’s Common Equity, Related Stockholder Matters and Issuer Purchases of</w:t>
              </w:r>
            </w:hyperlink>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3"/>
        </w:trPr>
        <w:tc>
          <w:tcPr>
            <w:tcW w:w="1060" w:type="dxa"/>
            <w:vAlign w:val="bottom"/>
          </w:tcPr>
          <w:p>
            <w:pPr>
              <w:spacing w:after="0"/>
              <w:rPr>
                <w:sz w:val="19"/>
                <w:szCs w:val="19"/>
                <w:color w:val="auto"/>
              </w:rPr>
            </w:pPr>
          </w:p>
        </w:tc>
        <w:tc>
          <w:tcPr>
            <w:tcW w:w="1240" w:type="dxa"/>
            <w:vAlign w:val="bottom"/>
            <w:tcBorders>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Equity Securities</w:t>
              </w:r>
            </w:hyperlink>
          </w:p>
        </w:tc>
        <w:tc>
          <w:tcPr>
            <w:tcW w:w="6200" w:type="dxa"/>
            <w:vAlign w:val="bottom"/>
            <w:gridSpan w:val="4"/>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10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6.</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Selected Financial Data</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7.</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1060" w:type="dxa"/>
            <w:vAlign w:val="bottom"/>
          </w:tcPr>
          <w:p>
            <w:pPr>
              <w:spacing w:after="0"/>
              <w:rPr>
                <w:rFonts w:ascii="Arial" w:cs="Arial" w:eastAsia="Arial" w:hAnsi="Arial"/>
                <w:sz w:val="18"/>
                <w:szCs w:val="18"/>
                <w:color w:val="0000EE"/>
              </w:rPr>
            </w:pPr>
            <w:hyperlink w:anchor="page56">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8.</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Financial Statements and Supplementary Data</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9.</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Changes in and Disagreements with Accountants on Accounting and Financial Disclosure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1060" w:type="dxa"/>
            <w:vAlign w:val="bottom"/>
          </w:tcPr>
          <w:p>
            <w:pPr>
              <w:spacing w:after="0"/>
              <w:rPr>
                <w:rFonts w:ascii="Arial" w:cs="Arial" w:eastAsia="Arial" w:hAnsi="Arial"/>
                <w:sz w:val="18"/>
                <w:szCs w:val="18"/>
                <w:color w:val="0000EE"/>
              </w:rPr>
            </w:pPr>
            <w:hyperlink w:anchor="page57">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9B.</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86"/>
        </w:trPr>
        <w:tc>
          <w:tcPr>
            <w:tcW w:w="1060" w:type="dxa"/>
            <w:vAlign w:val="bottom"/>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PART III</w:t>
              </w:r>
            </w:hyperlink>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106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11.</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Executive Compensation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106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7440" w:type="dxa"/>
            <w:vAlign w:val="bottom"/>
            <w:gridSpan w:val="5"/>
          </w:tcPr>
          <w:p>
            <w:pPr>
              <w:spacing w:after="0"/>
              <w:rPr>
                <w:rFonts w:ascii="Arial" w:cs="Arial" w:eastAsia="Arial" w:hAnsi="Arial"/>
                <w:sz w:val="18"/>
                <w:szCs w:val="18"/>
                <w:u w:val="single" w:color="auto"/>
                <w:color w:val="0000EE"/>
                <w:w w:val="92"/>
              </w:rPr>
            </w:pPr>
            <w:hyperlink w:anchor="page59">
              <w:r>
                <w:rPr>
                  <w:rFonts w:ascii="Arial" w:cs="Arial" w:eastAsia="Arial" w:hAnsi="Arial"/>
                  <w:sz w:val="18"/>
                  <w:szCs w:val="18"/>
                  <w:u w:val="single" w:color="auto"/>
                  <w:color w:val="0000EE"/>
                  <w:w w:val="92"/>
                </w:rPr>
                <w:t>Security Ownership of Certain Beneficial Owners and Management and Related Stockholder Matters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106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Certain Relationships and Related Transactions and Director Independence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106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Principal Accounting Fees and Services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86"/>
        </w:trPr>
        <w:tc>
          <w:tcPr>
            <w:tcW w:w="1060" w:type="dxa"/>
            <w:vAlign w:val="bottom"/>
          </w:tcPr>
          <w:p>
            <w:pPr>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PART IV</w:t>
              </w:r>
            </w:hyperlink>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1060" w:type="dxa"/>
            <w:vAlign w:val="bottom"/>
          </w:tcPr>
          <w:p>
            <w:pPr>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Exhibits and Financial Statement Schedules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1060" w:type="dxa"/>
            <w:vAlign w:val="bottom"/>
          </w:tcPr>
          <w:p>
            <w:pPr>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7440" w:type="dxa"/>
            <w:vAlign w:val="bottom"/>
            <w:gridSpan w:val="5"/>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Form 10-K Summary</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106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Signatures</w:t>
              </w:r>
            </w:hyperlink>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37"/>
        </w:trPr>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42"/>
        </w:trPr>
        <w:tc>
          <w:tcPr>
            <w:tcW w:w="1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7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the impact of the novel coronavirus disease (“COVID-19”) on the U.S. economy, including reductions in interest rates, business disruptions, reductions in employment and an increase in business failures; the impact of COVID-19 on Paylocity’s employees and clients and Paylocity’s ability to provide services to its clients and respond to their needs, and other risks and potential factors discussed in this report, and in particular, the risks discussed under Part 1, Item 1A:”Risk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86"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Excluding clients acquired through acquisitions, as of June 30, 2020, we provided our payroll and HCM software solutions to approximately 24,450 clients across the U.S., which on average had over 100 employees.</w:t>
      </w:r>
    </w:p>
    <w:p>
      <w:pPr>
        <w:spacing w:after="0" w:line="17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multi-tenant software platform is highly configurable and includes a unified suite of payroll and HCM modules, including core HR, workforce management, talent and benefits, for our clients to make strategic decisions all while promoting a modern workplace and improving employee engagement. Our payroll and HCM modules provide robust on-demand functionality, reporting and analytics. Our platform provides intuitive self-service functionality for employees and managers combined with seamless integration across all our solutions. We supplement our comprehensive software platform with an integrated implementation and client service organization, all of which are designed to meet the needs of medium-sized organizations.</w:t>
      </w:r>
    </w:p>
    <w:p>
      <w:pPr>
        <w:spacing w:after="0" w:line="195"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Effective management of human capital is a core function in all organizations and requires a significant commitment of resources. Organizations are faced with complex and ever-changing requirements, including diverse federal, state and local regulations across multiple jurisdictions. In addition, the workplace operating environment is rapidly changing as employees increasingly become mobile, work remotely and expect an end user experience similar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that of consumer-oriented Internet applications. Medium-sized organizations operating without the infrastructure, expertise or personnel of larger enterprises are uniquely pressured in this complex and dynamic environment. Existing solutions offered by third-party payroll service providers can have limited capabilities and configurability while enterprise-focused software vendors can be expensive and time-consuming to implement and manage. We believe that medium-sized organizations are better served by solutions designed to meet their unique needs.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solutions provide the following key benefits to our clients:</w:t>
      </w:r>
    </w:p>
    <w:p>
      <w:pPr>
        <w:spacing w:after="0" w:line="225" w:lineRule="exact"/>
        <w:rPr>
          <w:sz w:val="20"/>
          <w:szCs w:val="20"/>
          <w:color w:val="auto"/>
        </w:rPr>
      </w:pPr>
    </w:p>
    <w:p>
      <w:pPr>
        <w:ind w:left="1040" w:right="61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cloud-based platform optimized to meet the payroll and HCM needs of medium-sized organizations;</w:t>
      </w:r>
    </w:p>
    <w:p>
      <w:pPr>
        <w:spacing w:after="0" w:line="170" w:lineRule="exact"/>
        <w:rPr>
          <w:rFonts w:ascii="Arial" w:cs="Arial" w:eastAsia="Arial" w:hAnsi="Arial"/>
          <w:sz w:val="18"/>
          <w:szCs w:val="18"/>
          <w:color w:val="auto"/>
        </w:rPr>
      </w:pPr>
    </w:p>
    <w:p>
      <w:pPr>
        <w:ind w:left="1040" w:right="85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Modern, intuitive user experience and self-service capabilities that significantly increase employee engagement;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Flexible and configurable platform that aligns with business processes and centralizes payroll and HCM data;</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Software as a service, or “SaaS”, delivery model that reduces total cost of ownership for our clients; and</w:t>
      </w:r>
    </w:p>
    <w:p>
      <w:pPr>
        <w:spacing w:after="0" w:line="236" w:lineRule="exact"/>
        <w:rPr>
          <w:rFonts w:ascii="Arial" w:cs="Arial" w:eastAsia="Arial" w:hAnsi="Arial"/>
          <w:sz w:val="17"/>
          <w:szCs w:val="17"/>
          <w:color w:val="auto"/>
        </w:rPr>
      </w:pPr>
    </w:p>
    <w:p>
      <w:pPr>
        <w:ind w:left="1040" w:right="19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Seamless data integration with our extensive partner ecosystem that saves time and expense and reduces the risk of errors.</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market and sell our products through our direct sales force. We generate sales leads through a variety of focused marketing initiatives and from our extensive referral network of 401(k) advisors, benefits administrators, insurance brokers, third-party administrators and HR consultants. We derive revenue from a client based on the solutions purchased by the client, the number of client employees and the amount, type and timing of services provided with respect to those client employees. Our annual revenue retention rate was greater than 92% in each of the fiscal years 2018, 2019 and 2020. Our total revenues increased from $377.5 million in fiscal 2018 to $467.6 million in fiscal 2019, representing a 24% year-over-year increase and to $561.3 million in fiscal 2020, representing a 20% year-over-year increase. While the majority of our agreements with clients are generally cancellable on 60 days’ or less notice, we also have term agreements which are generally two years in length. Our recurring revenue model and high annual revenue retention rates provide significant visibility into our future operating results.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Effective management of human capital is a core capability for all organizations. Identifying, acquiring and retaining talent is a priority at all levels of an organization. Likewise, in today’s increasingly complex business and regulatory environment, organizations are being pressured to manage critical payroll and HCM functions more effectively, automate manual processes and decrease their operating costs, while at the same time successfully managing their workforces.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Complex and Dynamic Tax and Regulatory Environment</w:t>
      </w:r>
    </w:p>
    <w:p>
      <w:pPr>
        <w:spacing w:after="0" w:line="225"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The tax and regulatory environment in the United States is complex and dynamic. Organizations are subject to a myriad of benefit, workers compensation, healthcare, tax and other rules, regulations and reporting obligations. In addition to U.S. federal taxing and regulatory authorities, there are more than 10,000 state and local tax codes in the United States. Further, federal, state and local government agencies continually enact and amend the rules, regulations and reporting requirements with which organizations must comply. Leveraging industry leading technology and service to meet these demands delivers critical value to organizations.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Growing Demand for Mobility and Enhanced User Experience</w:t>
      </w:r>
    </w:p>
    <w:p>
      <w:pPr>
        <w:spacing w:after="0" w:line="225"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Connectivity and mobility are enabling employees to spend less time in traditional office environments and more time working remotely. This trend increases the demand for advanced and intuitive solutions that improve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collaboration and foster employee engagement, such as remote self-service access to payroll and timesheet reporting, HR and benefits portals and other talent management applications. Given the prominence of consumer-oriented Internet applications, employees expect the user experience and accessibility of internal systems to be similar to those of the latest Internet applications, such as LinkedIn, Amazon and Facebook.</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Large Market Opportunity for Payroll and HCM Solutions</w:t>
      </w:r>
    </w:p>
    <w:p>
      <w:pPr>
        <w:spacing w:after="0" w:line="225"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The market opportunity in the U.S. for payroll and HCM applications and services is driven by the importance of payroll and HCM solutions to the successful management of organizations. To estimate our addressable market, we focus our analysis on the number of U.S. medium-sized organizations and the number of their employees. According to the U.S. Census Bureau, there were over 646,000 firms with 20 to 999 employees in the U.S. in 2017, employing over 46 million people. We estimate that if clients were to buy our entire suite of existing solutions at list prices, they would spend approximately $400 per employee annually. Based on this analysis, we believe our current target addressable market is approximately $18 billion. Our existing clients do not typically own our entire suite of solutions, and as we continue to expand our product offerings, we believe that we have an opportunity to increase the amount clients spend on payroll and HCM solutions per employee and to expand our addressable market.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Organizations Are Increasingly Transitioning to SaaS Solutions</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SaaS solutions are easier and more affordable to implement and operate than those offered by traditional service bureaus and legacy software providers. SaaS solutions also enable software updates with greater frequency and without new hardware investments, enabling organizations to better react to changes in their environments. Many organizations are transitioning to SaaS solutions to satisfy their software needs. Similarly, we believe organizations are adopting SaaS applications for payroll and HCM solutions with increasing frequency.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Limitations of Legacy Competitive Solutions</w:t>
      </w:r>
    </w:p>
    <w:p>
      <w:pPr>
        <w:spacing w:after="0" w:line="225" w:lineRule="exact"/>
        <w:rPr>
          <w:sz w:val="20"/>
          <w:szCs w:val="20"/>
          <w:color w:val="auto"/>
        </w:rPr>
      </w:pPr>
    </w:p>
    <w:p>
      <w:pPr>
        <w:ind w:left="60" w:right="379" w:firstLine="648"/>
        <w:spacing w:after="0" w:line="308" w:lineRule="auto"/>
        <w:rPr>
          <w:sz w:val="20"/>
          <w:szCs w:val="20"/>
          <w:color w:val="auto"/>
        </w:rPr>
      </w:pPr>
      <w:r>
        <w:rPr>
          <w:rFonts w:ascii="Arial" w:cs="Arial" w:eastAsia="Arial" w:hAnsi="Arial"/>
          <w:sz w:val="17"/>
          <w:szCs w:val="17"/>
          <w:color w:val="auto"/>
        </w:rPr>
        <w:t>We believe that legacy payroll and HCM solution providers have limitations that cause them to underserve the unique needs of medium-sized organizations. Existing legacy payroll and HCM solutions include:</w:t>
      </w:r>
    </w:p>
    <w:p>
      <w:pPr>
        <w:spacing w:after="0" w:line="146" w:lineRule="exact"/>
        <w:rPr>
          <w:sz w:val="20"/>
          <w:szCs w:val="20"/>
          <w:color w:val="auto"/>
        </w:rPr>
      </w:pPr>
    </w:p>
    <w:p>
      <w:pPr>
        <w:ind w:left="1040" w:right="99" w:hanging="315"/>
        <w:spacing w:after="0" w:line="25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Traditional Payroll Service Providers</w:t>
      </w:r>
      <w:r>
        <w:rPr>
          <w:rFonts w:ascii="Arial" w:cs="Arial" w:eastAsia="Arial" w:hAnsi="Arial"/>
          <w:sz w:val="18"/>
          <w:szCs w:val="18"/>
          <w:color w:val="auto"/>
        </w:rPr>
        <w:t>. Traditional payroll service providers are primarily focused on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a variety of payroll processing services, insurance products and HR business process outsourcing solutions. Many of these solutions offer limited capabilities and integration beyond traditional payroll processing. The lack of a unified and configurable employee-facing payroll and HCM suite can diminish the effectiveness of a system, detract from user experience and limit integration with other solutions. In addition, we believe that certain traditional payroll service providers often do not provide a high-quality technology and service experience.</w:t>
      </w:r>
    </w:p>
    <w:p>
      <w:pPr>
        <w:spacing w:after="0" w:line="194" w:lineRule="exact"/>
        <w:rPr>
          <w:rFonts w:ascii="Arial" w:cs="Arial" w:eastAsia="Arial" w:hAnsi="Arial"/>
          <w:sz w:val="18"/>
          <w:szCs w:val="18"/>
          <w:color w:val="auto"/>
        </w:rPr>
      </w:pPr>
    </w:p>
    <w:p>
      <w:pPr>
        <w:ind w:left="1040" w:right="79" w:hanging="315"/>
        <w:spacing w:after="0" w:line="31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Enterprise-Focused Payroll and HCM Software Vendors</w:t>
      </w:r>
      <w:r>
        <w:rPr>
          <w:rFonts w:ascii="Arial" w:cs="Arial" w:eastAsia="Arial" w:hAnsi="Arial"/>
          <w:sz w:val="16"/>
          <w:szCs w:val="16"/>
          <w:color w:val="auto"/>
        </w:rPr>
        <w:t>. Enterprise-focused software vendors offer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that are designed for the complex needs and structures of very large enterprises. As a result, their solutions can be expensive, complex and time-consuming to implement, operate and maintain.</w:t>
      </w:r>
    </w:p>
    <w:p>
      <w:pPr>
        <w:spacing w:after="0" w:line="148" w:lineRule="exact"/>
        <w:rPr>
          <w:rFonts w:ascii="Arial" w:cs="Arial" w:eastAsia="Arial" w:hAnsi="Arial"/>
          <w:sz w:val="16"/>
          <w:szCs w:val="16"/>
          <w:color w:val="auto"/>
        </w:rPr>
      </w:pPr>
    </w:p>
    <w:p>
      <w:pPr>
        <w:ind w:left="1040" w:right="679" w:hanging="315"/>
        <w:spacing w:after="0" w:line="28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HCM Point Solution Providers</w:t>
      </w:r>
      <w:r>
        <w:rPr>
          <w:rFonts w:ascii="Arial" w:cs="Arial" w:eastAsia="Arial" w:hAnsi="Arial"/>
          <w:sz w:val="17"/>
          <w:szCs w:val="17"/>
          <w:color w:val="auto"/>
        </w:rPr>
        <w:t>. Many HCM point solutions lack integrated payroll functionality.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and management of multiple point solutions and the reliance on multiple service organizations can be challenging and expensive for medium-sized organizations.</w:t>
      </w:r>
    </w:p>
    <w:p>
      <w:pPr>
        <w:spacing w:after="0" w:line="165" w:lineRule="exact"/>
        <w:rPr>
          <w:rFonts w:ascii="Arial" w:cs="Arial" w:eastAsia="Arial" w:hAnsi="Arial"/>
          <w:sz w:val="17"/>
          <w:szCs w:val="17"/>
          <w:color w:val="auto"/>
        </w:rPr>
      </w:pPr>
    </w:p>
    <w:p>
      <w:pPr>
        <w:ind w:left="1040" w:right="11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Manual Processes for Payroll and HCM Functions</w:t>
      </w:r>
      <w:r>
        <w:rPr>
          <w:rFonts w:ascii="Arial" w:cs="Arial" w:eastAsia="Arial" w:hAnsi="Arial"/>
          <w:sz w:val="18"/>
          <w:szCs w:val="18"/>
          <w:color w:val="auto"/>
        </w:rPr>
        <w:t>. Manual payroll and HCM processes require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HR, payroll and finance personnel involvement, resulting in higher costs, slower processing and greater risks of data entry errors.</w:t>
      </w:r>
    </w:p>
    <w:p>
      <w:pPr>
        <w:spacing w:after="0" w:line="184"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Given the challenges medium-sized organizations face operating in complex and dynamic environments and the limited ability of traditional offerings to address these challenges, we believe there is a significant market opportunity for a comprehensive, unified SaaS solution designed to serve the payroll and HCM needs of medium-sized organizations.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Our chief operating decision maker reviews our financial results in total when evaluating financial performance and for purposes of allocating resources. We have thus determined that we operate in a single cloud-based software solution reporting segment.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We are a cloud-based provider of payroll and HCM software solutions for medium-sized organizations. Our solutions enable medium-sized organizations to more efficiently manage payroll and human capital in their complex and dynamic operating environments. Excluding clients acquired through acquisitions, as of June 30, 2020, we provided our payroll and HCM software solutions to approximately 24,450 clients across the U.S., which on average had over 100 employees.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benefits of our solutions include the following:</w:t>
      </w:r>
    </w:p>
    <w:p>
      <w:pPr>
        <w:spacing w:after="0" w:line="225" w:lineRule="exact"/>
        <w:rPr>
          <w:sz w:val="20"/>
          <w:szCs w:val="20"/>
          <w:color w:val="auto"/>
        </w:rPr>
      </w:pPr>
    </w:p>
    <w:p>
      <w:pPr>
        <w:ind w:left="1040" w:right="199" w:hanging="315"/>
        <w:spacing w:after="0" w:line="296"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Comprehensive Platform Optimized for Medium-Sized Organizations. </w:t>
      </w:r>
      <w:r>
        <w:rPr>
          <w:rFonts w:ascii="Arial" w:cs="Arial" w:eastAsia="Arial" w:hAnsi="Arial"/>
          <w:sz w:val="16"/>
          <w:szCs w:val="16"/>
          <w:color w:val="auto"/>
        </w:rPr>
        <w:t>Our solutions empower finance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HR professionals in medium-sized organizations to drive strategic human capital decisions by providing enterprise-grade payroll and HCM modules, including robust reporting and analytics. Our unified platform fully automates payroll and HCM processes, enabling our clients to focus on core business activities. Our solutions help our clients attract, retain and manage their employees within a single, comprehensive system.</w:t>
      </w:r>
    </w:p>
    <w:p>
      <w:pPr>
        <w:spacing w:after="0" w:line="161" w:lineRule="exact"/>
        <w:rPr>
          <w:rFonts w:ascii="Arial" w:cs="Arial" w:eastAsia="Arial" w:hAnsi="Arial"/>
          <w:sz w:val="16"/>
          <w:szCs w:val="16"/>
          <w:color w:val="auto"/>
        </w:rPr>
      </w:pPr>
    </w:p>
    <w:p>
      <w:pPr>
        <w:ind w:left="1040" w:right="359" w:hanging="315"/>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Modern, Intuitive User Experience. </w:t>
      </w:r>
      <w:r>
        <w:rPr>
          <w:rFonts w:ascii="Arial" w:cs="Arial" w:eastAsia="Arial" w:hAnsi="Arial"/>
          <w:sz w:val="18"/>
          <w:szCs w:val="18"/>
          <w:color w:val="auto"/>
        </w:rPr>
        <w:t>Our intuitive, easy-to-use and mobile-centric platform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accessibility of our solutions and decreased need for training while also providing users with an engaging mobile and self-service experience.</w:t>
      </w:r>
    </w:p>
    <w:p>
      <w:pPr>
        <w:spacing w:after="0" w:line="183" w:lineRule="exact"/>
        <w:rPr>
          <w:rFonts w:ascii="Arial" w:cs="Arial" w:eastAsia="Arial" w:hAnsi="Arial"/>
          <w:sz w:val="18"/>
          <w:szCs w:val="18"/>
          <w:color w:val="auto"/>
        </w:rPr>
      </w:pPr>
    </w:p>
    <w:p>
      <w:pPr>
        <w:ind w:left="1040" w:right="99" w:hanging="315"/>
        <w:spacing w:after="0" w:line="25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Flexible and Configurable Platform. </w:t>
      </w:r>
      <w:r>
        <w:rPr>
          <w:rFonts w:ascii="Arial" w:cs="Arial" w:eastAsia="Arial" w:hAnsi="Arial"/>
          <w:sz w:val="18"/>
          <w:szCs w:val="18"/>
          <w:color w:val="auto"/>
        </w:rPr>
        <w:t>We design our solutions to be flexible and configurable, allowing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to match their use of our software with their specific business processes and workflows. Our platform has been organically developed from a common code base, data structure and user interface, providing a consistent user experience with powerful features that are easily adaptable to our clients’ needs. Our systems centralize payroll and HCM data, minimizing inconsistent and incomplete information that can be produced when using multiple databases.</w:t>
      </w:r>
    </w:p>
    <w:p>
      <w:pPr>
        <w:spacing w:after="0" w:line="192" w:lineRule="exact"/>
        <w:rPr>
          <w:rFonts w:ascii="Arial" w:cs="Arial" w:eastAsia="Arial" w:hAnsi="Arial"/>
          <w:sz w:val="18"/>
          <w:szCs w:val="18"/>
          <w:color w:val="auto"/>
        </w:rPr>
      </w:pPr>
    </w:p>
    <w:p>
      <w:pPr>
        <w:ind w:left="1040" w:right="119" w:hanging="315"/>
        <w:spacing w:after="0" w:line="290"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Highly Attractive SaaS Solution for Medium-Sized Organizations</w:t>
      </w:r>
      <w:r>
        <w:rPr>
          <w:rFonts w:ascii="Arial" w:cs="Arial" w:eastAsia="Arial" w:hAnsi="Arial"/>
          <w:sz w:val="16"/>
          <w:szCs w:val="16"/>
          <w:color w:val="auto"/>
        </w:rPr>
        <w:t>. Our solutions are cloud-based and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on a subscription basis, making them easier and more affordable to implement, operate and update and thus enabling our clients to focus less on their IT infrastructure and more on their core businesses. Our software can be operated by a single administrator without the support of an in-house information technology department. Our multi-tenant and modern architecture allows for frequent software enhancements thereby enabling our clients to react to a rapidly changing and complex operating environment. Our platform enables our clients to scale their businesses without having to acquire additional hardware or to resolve the integration challenges that often result from traditional outsourcing solutions.</w:t>
      </w:r>
    </w:p>
    <w:p>
      <w:pPr>
        <w:spacing w:after="0" w:line="165" w:lineRule="exact"/>
        <w:rPr>
          <w:rFonts w:ascii="Arial" w:cs="Arial" w:eastAsia="Arial" w:hAnsi="Arial"/>
          <w:sz w:val="16"/>
          <w:szCs w:val="16"/>
          <w:color w:val="auto"/>
        </w:rPr>
      </w:pPr>
    </w:p>
    <w:p>
      <w:pPr>
        <w:ind w:left="1040" w:right="99" w:hanging="315"/>
        <w:spacing w:after="0" w:line="270"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Seamless Integration with Extensive Ecosystem of Partners</w:t>
      </w:r>
      <w:r>
        <w:rPr>
          <w:rFonts w:ascii="Arial" w:cs="Arial" w:eastAsia="Arial" w:hAnsi="Arial"/>
          <w:sz w:val="17"/>
          <w:szCs w:val="17"/>
          <w:color w:val="auto"/>
        </w:rPr>
        <w:t>. Our platform offers our clients automated data</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integration with over 400 related third-party partner systems,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 Our direct and automated data transmission improves the accuracy of data and facilitates data collection in our partners’ systems. We believe having automated data integration with a payroll and HCM provider like us differentiates our partners’ product offerings, strengthening their competitive positioning in their own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We intend to strengthen and extend our position as a leading provider of cloud-based payroll and HCM software solutions to medium-sized organizations. Key elements of our strategy include:</w:t>
      </w:r>
    </w:p>
    <w:p>
      <w:pPr>
        <w:spacing w:after="0" w:line="170" w:lineRule="exact"/>
        <w:rPr>
          <w:sz w:val="20"/>
          <w:szCs w:val="20"/>
          <w:color w:val="auto"/>
        </w:rPr>
      </w:pPr>
    </w:p>
    <w:p>
      <w:pPr>
        <w:ind w:left="1040" w:right="279" w:hanging="315"/>
        <w:spacing w:after="0" w:line="293"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Grow Our Client Base</w:t>
      </w:r>
      <w:r>
        <w:rPr>
          <w:rFonts w:ascii="Arial" w:cs="Arial" w:eastAsia="Arial" w:hAnsi="Arial"/>
          <w:sz w:val="16"/>
          <w:szCs w:val="16"/>
          <w:color w:val="auto"/>
        </w:rPr>
        <w:t>. We believe that our current client base represents only a small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medium-sized organizations that could benefit from our solutions. While we provide our payroll and HCM software solutions to approximately 24,450 clients across the U.S. (excluding clients acquired through acquisitions) as of June 30, 2020, there are over 646,000 businesses with 20 to 999 employees in the U.S., employing more than 46 million people, according to the U.S. Census Bureau in 2017. In order to acquire new clients, we plan to continue growing our sales organization across the U.S.</w:t>
      </w:r>
    </w:p>
    <w:p>
      <w:pPr>
        <w:spacing w:after="0" w:line="164" w:lineRule="exact"/>
        <w:rPr>
          <w:rFonts w:ascii="Arial" w:cs="Arial" w:eastAsia="Arial" w:hAnsi="Arial"/>
          <w:sz w:val="16"/>
          <w:szCs w:val="16"/>
          <w:color w:val="auto"/>
        </w:rPr>
      </w:pPr>
    </w:p>
    <w:p>
      <w:pPr>
        <w:ind w:left="1040" w:right="119" w:hanging="315"/>
        <w:spacing w:after="0" w:line="275"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Expand Our Product Offerings</w:t>
      </w:r>
      <w:r>
        <w:rPr>
          <w:rFonts w:ascii="Arial" w:cs="Arial" w:eastAsia="Arial" w:hAnsi="Arial"/>
          <w:sz w:val="17"/>
          <w:szCs w:val="17"/>
          <w:color w:val="auto"/>
        </w:rPr>
        <w:t>. We believe a significant part of our leadership position is the result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and innovation in our product offerings designed for medium-sized organizations. Our average revenue per client has consistently increased in each of the last three years as we have broadened our product offerings. We plan to continue to invest in product development efforts that will allow us to offer a broader selection of products to new and existing clients.</w:t>
      </w:r>
    </w:p>
    <w:p>
      <w:pPr>
        <w:spacing w:after="0" w:line="176" w:lineRule="exact"/>
        <w:rPr>
          <w:rFonts w:ascii="Arial" w:cs="Arial" w:eastAsia="Arial" w:hAnsi="Arial"/>
          <w:sz w:val="17"/>
          <w:szCs w:val="17"/>
          <w:color w:val="auto"/>
        </w:rPr>
      </w:pPr>
    </w:p>
    <w:p>
      <w:pPr>
        <w:ind w:left="1040" w:right="119" w:hanging="315"/>
        <w:spacing w:after="0" w:line="273"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Extend Technological Leadership</w:t>
      </w:r>
      <w:r>
        <w:rPr>
          <w:rFonts w:ascii="Arial" w:cs="Arial" w:eastAsia="Arial" w:hAnsi="Arial"/>
          <w:sz w:val="17"/>
          <w:szCs w:val="17"/>
          <w:color w:val="auto"/>
        </w:rPr>
        <w:t>. We believe that our organically developed cloud-based multi-tenant</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platform, combined with our unified database architecture, enhances the experience and usability of our products, providing what we believe to be a competitive advantage over alternative solutions. Our modern, intuitive user interface utilizes features found on many popular consumer Internet sites, enabling users to use our solutions with limited training. We plan to continue our technology innovation, as we have done with our mobile applications, social features and analytics capabilities.</w:t>
      </w:r>
    </w:p>
    <w:p>
      <w:pPr>
        <w:spacing w:after="0" w:line="177" w:lineRule="exact"/>
        <w:rPr>
          <w:rFonts w:ascii="Arial" w:cs="Arial" w:eastAsia="Arial" w:hAnsi="Arial"/>
          <w:sz w:val="17"/>
          <w:szCs w:val="17"/>
          <w:color w:val="auto"/>
        </w:rPr>
      </w:pPr>
    </w:p>
    <w:p>
      <w:pPr>
        <w:ind w:left="1040" w:right="119" w:hanging="315"/>
        <w:spacing w:after="0" w:line="291"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Further Develop Our Referral Network</w:t>
      </w:r>
      <w:r>
        <w:rPr>
          <w:rFonts w:ascii="Arial" w:cs="Arial" w:eastAsia="Arial" w:hAnsi="Arial"/>
          <w:sz w:val="16"/>
          <w:szCs w:val="16"/>
          <w:color w:val="auto"/>
        </w:rPr>
        <w:t>. We have developed a strong network of referral participants,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401(k) advisors, benefits administrators, insurance brokers, third-party administrators and HR consultants that recommend our solutions and provide referrals. We believe that our platform’s automated data integration with over 400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Our products include a suite of unified payroll and HCM modules that enable our clients to automate routine tasks, changes and updates across the employee lifecycle, and to manage complex compliance requirements, while also providing an engaging experience for administrators and employees. With the foundation of automation and engagement, we also provide clients with valuable insights to their HR data.</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Payroll</w:t>
      </w:r>
    </w:p>
    <w:p>
      <w:pPr>
        <w:spacing w:after="0" w:line="131"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Our Payroll module enables clients to automate key payroll processes and manage compliance in an environment of continued regulatory complexity. Key features of the Payroll module include the following:</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40" w:type="dxa"/>
            <w:vAlign w:val="bottom"/>
            <w:gridSpan w:val="2"/>
          </w:tcPr>
          <w:p>
            <w:pPr>
              <w:ind w:left="900"/>
              <w:spacing w:after="0"/>
              <w:rPr>
                <w:sz w:val="20"/>
                <w:szCs w:val="20"/>
                <w:color w:val="auto"/>
              </w:rPr>
            </w:pPr>
            <w:r>
              <w:rPr>
                <w:rFonts w:ascii="Arial" w:cs="Arial" w:eastAsia="Arial" w:hAnsi="Arial"/>
                <w:sz w:val="18"/>
                <w:szCs w:val="18"/>
                <w:b w:val="1"/>
                <w:bCs w:val="1"/>
                <w:color w:val="auto"/>
              </w:rPr>
              <w:t>Feature</w:t>
            </w:r>
          </w:p>
        </w:tc>
        <w:tc>
          <w:tcPr>
            <w:tcW w:w="220" w:type="dxa"/>
            <w:vAlign w:val="bottom"/>
          </w:tcPr>
          <w:p>
            <w:pPr>
              <w:spacing w:after="0"/>
              <w:rPr>
                <w:sz w:val="20"/>
                <w:szCs w:val="20"/>
                <w:color w:val="auto"/>
              </w:rPr>
            </w:pPr>
          </w:p>
        </w:tc>
        <w:tc>
          <w:tcPr>
            <w:tcW w:w="6280" w:type="dxa"/>
            <w:vAlign w:val="bottom"/>
          </w:tcPr>
          <w:p>
            <w:pPr>
              <w:ind w:left="252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4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Payroll Entry</w:t>
            </w: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2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7"/>
              </w:rPr>
              <w:t>Configurable payroll entry grid allowing easy entry and update of critical Payroll</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data</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   Real-time updates to open pay cycles</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w w:val="96"/>
              </w:rPr>
              <w:t>●   Support for garnishments, child support, union and other specialized calculations</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Employee Tax Management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80" w:type="dxa"/>
            <w:vAlign w:val="bottom"/>
          </w:tcPr>
          <w:p>
            <w:pPr>
              <w:ind w:left="120"/>
              <w:spacing w:after="0"/>
              <w:rPr>
                <w:sz w:val="20"/>
                <w:szCs w:val="20"/>
                <w:color w:val="auto"/>
              </w:rPr>
            </w:pPr>
            <w:r>
              <w:rPr>
                <w:rFonts w:ascii="Arial" w:cs="Arial" w:eastAsia="Arial" w:hAnsi="Arial"/>
                <w:sz w:val="18"/>
                <w:szCs w:val="18"/>
                <w:color w:val="auto"/>
              </w:rPr>
              <w:t>Setup, configuration and calculation of all local, state and federal taxes</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   Tax validation using geolocation services to ensure accurate tax setup</w:t>
            </w:r>
          </w:p>
        </w:tc>
      </w:tr>
      <w:tr>
        <w:trPr>
          <w:trHeight w:val="230"/>
        </w:trPr>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80" w:type="dxa"/>
            <w:vAlign w:val="bottom"/>
          </w:tcPr>
          <w:p>
            <w:pPr>
              <w:ind w:left="120"/>
              <w:spacing w:after="0"/>
              <w:rPr>
                <w:sz w:val="20"/>
                <w:szCs w:val="20"/>
                <w:color w:val="auto"/>
              </w:rPr>
            </w:pPr>
            <w:r>
              <w:rPr>
                <w:rFonts w:ascii="Arial" w:cs="Arial" w:eastAsia="Arial" w:hAnsi="Arial"/>
                <w:sz w:val="18"/>
                <w:szCs w:val="18"/>
                <w:color w:val="auto"/>
              </w:rPr>
              <w:t>Tax filing services</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right="20"/>
        <w:spacing w:after="0" w:line="961" w:lineRule="auto"/>
        <w:rPr>
          <w:sz w:val="20"/>
          <w:szCs w:val="20"/>
          <w:color w:val="auto"/>
        </w:rPr>
      </w:pPr>
      <w:r>
        <w:rPr>
          <w:rFonts w:ascii="Arial" w:cs="Arial" w:eastAsia="Arial" w:hAnsi="Arial"/>
          <w:sz w:val="16"/>
          <w:szCs w:val="16"/>
          <w:color w:val="auto"/>
        </w:rPr>
        <w:t>Proration and Retro Advanced Reporting Data Integration Simplified Expense Management Workflow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Automated identification of scenario changes to employee data that impact pay for</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pay cycle</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Recommended calculations for mid-pay period hires for hourly and salary employees</w:t>
      </w:r>
    </w:p>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Recommended calculations for backdated changes of pay rates</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Easy-to-use, powerful reporting dashboard enables users to design and create ad- hoc</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reports or rely on over 100 standard reports</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Ability to generate a variety of pre-process reports via report library and report writer</w:t>
      </w:r>
    </w:p>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Real-time report generation, including the ability to automatically schedule reports to</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run on a user-defined frequency</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Point-in-time reporting, including comparative analysis over multiple periods,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allowing users to view data from any time in history</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Ability to set up multiple data integrations with a wide array of benefits and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retirement plan providers</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File and submit expenses in an intuitive and unified module</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Capture and submit receipts from a mobile device</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Approve expense reports quickly and easily</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Receive notifications throughout the entire reimbursement process</w:t>
      </w:r>
    </w:p>
    <w:p>
      <w:pPr>
        <w:spacing w:after="0" w:line="9" w:lineRule="exact"/>
        <w:rPr>
          <w:sz w:val="20"/>
          <w:szCs w:val="20"/>
          <w:color w:val="auto"/>
        </w:rPr>
      </w:pPr>
    </w:p>
    <w:p>
      <w:pPr>
        <w:sectPr>
          <w:pgSz w:w="11900" w:h="16838" w:orient="portrait"/>
          <w:cols w:equalWidth="0" w:num="2">
            <w:col w:w="1780" w:space="720"/>
            <w:col w:w="6519"/>
          </w:cols>
          <w:pgMar w:left="1440" w:top="517" w:right="1440" w:bottom="1440" w:gutter="0" w:footer="0" w:header="0"/>
          <w:type w:val="continuous"/>
        </w:sectPr>
      </w:pPr>
    </w:p>
    <w:p>
      <w:pPr>
        <w:ind w:left="60"/>
        <w:spacing w:after="0"/>
        <w:tabs>
          <w:tab w:leader="none" w:pos="2800" w:val="left"/>
        </w:tabs>
        <w:rPr>
          <w:sz w:val="20"/>
          <w:szCs w:val="20"/>
          <w:color w:val="auto"/>
        </w:rPr>
      </w:pPr>
      <w:r>
        <w:rPr>
          <w:rFonts w:ascii="Arial" w:cs="Arial" w:eastAsia="Arial" w:hAnsi="Arial"/>
          <w:sz w:val="18"/>
          <w:szCs w:val="18"/>
          <w:color w:val="auto"/>
        </w:rPr>
        <w:t>Integrated Payments for Expense ●</w:t>
      </w:r>
      <w:r>
        <w:rPr>
          <w:sz w:val="20"/>
          <w:szCs w:val="20"/>
          <w:color w:val="auto"/>
        </w:rPr>
        <w:tab/>
      </w:r>
      <w:r>
        <w:rPr>
          <w:rFonts w:ascii="Arial" w:cs="Arial" w:eastAsia="Arial" w:hAnsi="Arial"/>
          <w:sz w:val="16"/>
          <w:szCs w:val="16"/>
          <w:color w:val="auto"/>
        </w:rPr>
        <w:t>Flexibility to process payment as part of the normal payroll cycle or on a separate</w:t>
      </w:r>
    </w:p>
    <w:p>
      <w:pPr>
        <w:spacing w:after="0" w:line="9" w:lineRule="exact"/>
        <w:rPr>
          <w:sz w:val="20"/>
          <w:szCs w:val="20"/>
          <w:color w:val="auto"/>
        </w:rPr>
      </w:pPr>
    </w:p>
    <w:p>
      <w:pPr>
        <w:ind w:left="60"/>
        <w:spacing w:after="0"/>
        <w:tabs>
          <w:tab w:leader="none" w:pos="2800" w:val="left"/>
        </w:tabs>
        <w:rPr>
          <w:sz w:val="20"/>
          <w:szCs w:val="20"/>
          <w:color w:val="auto"/>
        </w:rPr>
      </w:pPr>
      <w:r>
        <w:rPr>
          <w:rFonts w:ascii="Arial" w:cs="Arial" w:eastAsia="Arial" w:hAnsi="Arial"/>
          <w:sz w:val="18"/>
          <w:szCs w:val="18"/>
          <w:color w:val="auto"/>
        </w:rPr>
        <w:t>Reimbursements</w:t>
      </w:r>
      <w:r>
        <w:rPr>
          <w:sz w:val="20"/>
          <w:szCs w:val="20"/>
          <w:color w:val="auto"/>
        </w:rPr>
        <w:tab/>
      </w:r>
      <w:r>
        <w:rPr>
          <w:rFonts w:ascii="Arial" w:cs="Arial" w:eastAsia="Arial" w:hAnsi="Arial"/>
          <w:sz w:val="18"/>
          <w:szCs w:val="18"/>
          <w:color w:val="auto"/>
        </w:rPr>
        <w:t>payment guideline</w:t>
      </w:r>
    </w:p>
    <w:p>
      <w:pPr>
        <w:spacing w:after="0" w:line="9" w:lineRule="exact"/>
        <w:rPr>
          <w:sz w:val="20"/>
          <w:szCs w:val="20"/>
          <w:color w:val="auto"/>
        </w:rPr>
      </w:pPr>
    </w:p>
    <w:p>
      <w:pPr>
        <w:ind w:left="2820" w:hanging="326"/>
        <w:spacing w:after="0"/>
        <w:tabs>
          <w:tab w:leader="none" w:pos="2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Payment utilizes employees’ existing payment choices (direct deposit or check)</w:t>
      </w:r>
    </w:p>
    <w:p>
      <w:pPr>
        <w:spacing w:after="0" w:line="20" w:lineRule="exact"/>
        <w:rPr>
          <w:rFonts w:ascii="Arial" w:cs="Arial" w:eastAsia="Arial" w:hAnsi="Arial"/>
          <w:sz w:val="17"/>
          <w:szCs w:val="17"/>
          <w:color w:val="auto"/>
        </w:rPr>
      </w:pPr>
    </w:p>
    <w:p>
      <w:pPr>
        <w:ind w:left="2820" w:right="259" w:hanging="326"/>
        <w:spacing w:after="0" w:line="250" w:lineRule="auto"/>
        <w:tabs>
          <w:tab w:leader="none" w:pos="2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Automatically creates general ledger entries to expedite the recording of employee expenses</w:t>
      </w:r>
    </w:p>
    <w:p>
      <w:pPr>
        <w:spacing w:after="0" w:line="1" w:lineRule="exact"/>
        <w:rPr>
          <w:sz w:val="20"/>
          <w:szCs w:val="20"/>
          <w:color w:val="auto"/>
        </w:rPr>
      </w:pPr>
    </w:p>
    <w:p>
      <w:pPr>
        <w:ind w:left="2500" w:right="499" w:hanging="2767"/>
        <w:spacing w:after="0" w:line="250" w:lineRule="auto"/>
        <w:tabs>
          <w:tab w:leader="none" w:pos="2480" w:val="left"/>
        </w:tabs>
        <w:rPr>
          <w:sz w:val="20"/>
          <w:szCs w:val="20"/>
          <w:color w:val="auto"/>
        </w:rPr>
      </w:pPr>
      <w:r>
        <w:rPr>
          <w:rFonts w:ascii="Arial" w:cs="Arial" w:eastAsia="Arial" w:hAnsi="Arial"/>
          <w:sz w:val="18"/>
          <w:szCs w:val="18"/>
          <w:color w:val="auto"/>
        </w:rPr>
        <w:t>Configurable Expense Policies</w:t>
        <w:tab/>
        <w:t>● Ability to specify approval workflow based on data elements related to specific employees</w:t>
      </w:r>
    </w:p>
    <w:p>
      <w:pPr>
        <w:spacing w:after="0" w:line="1" w:lineRule="exact"/>
        <w:rPr>
          <w:sz w:val="20"/>
          <w:szCs w:val="20"/>
          <w:color w:val="auto"/>
        </w:rPr>
      </w:pPr>
    </w:p>
    <w:p>
      <w:pPr>
        <w:ind w:left="2820" w:hanging="326"/>
        <w:spacing w:after="0"/>
        <w:tabs>
          <w:tab w:leader="none" w:pos="2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Enforcement of reimbursement limits, notes and additional information requirements</w:t>
      </w:r>
    </w:p>
    <w:p>
      <w:pPr>
        <w:spacing w:after="0" w:line="32" w:lineRule="exact"/>
        <w:rPr>
          <w:rFonts w:ascii="Arial" w:cs="Arial" w:eastAsia="Arial" w:hAnsi="Arial"/>
          <w:sz w:val="16"/>
          <w:szCs w:val="16"/>
          <w:color w:val="auto"/>
        </w:rPr>
      </w:pPr>
    </w:p>
    <w:p>
      <w:pPr>
        <w:ind w:left="2820" w:right="559" w:hanging="326"/>
        <w:spacing w:after="0" w:line="250" w:lineRule="auto"/>
        <w:tabs>
          <w:tab w:leader="none" w:pos="2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Allows proxy submitters to enable administrative support for employees when necessary</w:t>
      </w:r>
    </w:p>
    <w:p>
      <w:pPr>
        <w:ind w:left="2820" w:hanging="326"/>
        <w:spacing w:after="0"/>
        <w:tabs>
          <w:tab w:leader="none" w:pos="2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 and analyze spend reports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Core HR</w:t>
      </w:r>
    </w:p>
    <w:p>
      <w:pPr>
        <w:spacing w:after="0" w:line="131"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Paylocity’s Core HR module provides a set of HR capabilities enabling clients to manage HR data in an effective and timely manner while positively impacting employee engagement and culture. Key features of Core HR include the following:</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40" w:type="dxa"/>
            <w:vAlign w:val="bottom"/>
            <w:gridSpan w:val="2"/>
          </w:tcPr>
          <w:p>
            <w:pPr>
              <w:ind w:left="900"/>
              <w:spacing w:after="0"/>
              <w:rPr>
                <w:sz w:val="20"/>
                <w:szCs w:val="20"/>
                <w:color w:val="auto"/>
              </w:rPr>
            </w:pPr>
            <w:r>
              <w:rPr>
                <w:rFonts w:ascii="Arial" w:cs="Arial" w:eastAsia="Arial" w:hAnsi="Arial"/>
                <w:sz w:val="18"/>
                <w:szCs w:val="18"/>
                <w:b w:val="1"/>
                <w:bCs w:val="1"/>
                <w:color w:val="auto"/>
              </w:rPr>
              <w:t>Feature</w:t>
            </w:r>
          </w:p>
        </w:tc>
        <w:tc>
          <w:tcPr>
            <w:tcW w:w="6480" w:type="dxa"/>
            <w:vAlign w:val="bottom"/>
          </w:tcPr>
          <w:p>
            <w:pPr>
              <w:ind w:left="272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3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Employee Record Management</w:t>
            </w:r>
          </w:p>
        </w:tc>
        <w:tc>
          <w:tcPr>
            <w:tcW w:w="60" w:type="dxa"/>
            <w:vAlign w:val="bottom"/>
          </w:tcPr>
          <w:p>
            <w:pPr>
              <w:spacing w:after="0"/>
              <w:rPr>
                <w:sz w:val="16"/>
                <w:szCs w:val="16"/>
                <w:color w:val="auto"/>
              </w:rPr>
            </w:pPr>
          </w:p>
        </w:tc>
        <w:tc>
          <w:tcPr>
            <w:tcW w:w="6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   Manages payroll deductions for employee benefit plans such as health and 401(k)</w:t>
            </w: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   Automated employee time-off requests</w:t>
            </w: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   Tracks employee skills, events, education and prior employment</w:t>
            </w: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   Stores employee documentation electronically</w:t>
            </w: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   Records and tracks company property issued to employees</w:t>
            </w: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   Ability to add custom fields to track additional employee related information</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Configurable Templates</w:t>
            </w:r>
          </w:p>
        </w:tc>
        <w:tc>
          <w:tcPr>
            <w:tcW w:w="6480" w:type="dxa"/>
            <w:vAlign w:val="bottom"/>
          </w:tcPr>
          <w:p>
            <w:pPr>
              <w:spacing w:after="0"/>
              <w:rPr>
                <w:sz w:val="20"/>
                <w:szCs w:val="20"/>
                <w:color w:val="auto"/>
              </w:rPr>
            </w:pPr>
            <w:r>
              <w:rPr>
                <w:rFonts w:ascii="Arial" w:cs="Arial" w:eastAsia="Arial" w:hAnsi="Arial"/>
                <w:sz w:val="18"/>
                <w:szCs w:val="18"/>
                <w:color w:val="auto"/>
                <w:w w:val="94"/>
              </w:rPr>
              <w:t>●   Combination of standard and modifiable templates powered by highly flexible drag-</w:t>
            </w: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and-drop technology</w:t>
            </w: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4"/>
              </w:rPr>
              <w:t>●   Includes standard templates to accommodate changes for new hires, job changes,</w:t>
            </w: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leave of absences and terminations</w:t>
            </w: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   Enables users to configure user interface to efficiently align to organizations’</w:t>
            </w:r>
          </w:p>
        </w:tc>
      </w:tr>
      <w:tr>
        <w:trPr>
          <w:trHeight w:val="230"/>
        </w:trPr>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business processes</w:t>
            </w:r>
          </w:p>
        </w:tc>
      </w:tr>
      <w:tr>
        <w:trPr>
          <w:trHeight w:val="648"/>
        </w:trPr>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80" w:type="dxa"/>
            <w:vAlign w:val="bottom"/>
          </w:tcPr>
          <w:p>
            <w:pPr>
              <w:ind w:left="1980"/>
              <w:spacing w:after="0"/>
              <w:rPr>
                <w:sz w:val="20"/>
                <w:szCs w:val="20"/>
                <w:color w:val="auto"/>
              </w:rPr>
            </w:pPr>
            <w:r>
              <w:rPr>
                <w:rFonts w:ascii="Arial" w:cs="Arial" w:eastAsia="Arial" w:hAnsi="Arial"/>
                <w:sz w:val="18"/>
                <w:szCs w:val="18"/>
                <w:color w:val="auto"/>
              </w:rPr>
              <w:t>6</w:t>
            </w:r>
          </w:p>
        </w:tc>
      </w:tr>
      <w:tr>
        <w:trPr>
          <w:trHeight w:val="560"/>
        </w:trPr>
        <w:tc>
          <w:tcPr>
            <w:tcW w:w="2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w w:val="97"/>
              </w:rPr>
              <w:t>●   Ability to require additional data, add default values and insert new custom fields</w:t>
            </w:r>
          </w:p>
        </w:tc>
      </w:tr>
      <w:tr>
        <w:trPr>
          <w:trHeight w:val="216"/>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increases accuracy and consistency of data across the platform</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Custom Checklists</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260" w:type="dxa"/>
            <w:vAlign w:val="bottom"/>
          </w:tcPr>
          <w:p>
            <w:pPr>
              <w:ind w:left="120"/>
              <w:spacing w:after="0"/>
              <w:rPr>
                <w:sz w:val="20"/>
                <w:szCs w:val="20"/>
                <w:color w:val="auto"/>
              </w:rPr>
            </w:pPr>
            <w:r>
              <w:rPr>
                <w:rFonts w:ascii="Arial" w:cs="Arial" w:eastAsia="Arial" w:hAnsi="Arial"/>
                <w:sz w:val="18"/>
                <w:szCs w:val="18"/>
                <w:color w:val="auto"/>
              </w:rPr>
              <w:t>Allows users to track critical steps in hiring and other processes</w:t>
            </w:r>
          </w:p>
        </w:tc>
      </w:t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w w:val="92"/>
              </w:rPr>
              <w:t>●   Triggers reports and notification emails to track critical steps and informs users when</w:t>
            </w:r>
          </w:p>
        </w:tc>
      </w:tr>
      <w:tr>
        <w:trPr>
          <w:trHeight w:val="216"/>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tasks are complete</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HR Compliance</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260" w:type="dxa"/>
            <w:vAlign w:val="bottom"/>
          </w:tcPr>
          <w:p>
            <w:pPr>
              <w:ind w:left="120"/>
              <w:spacing w:after="0"/>
              <w:rPr>
                <w:sz w:val="20"/>
                <w:szCs w:val="20"/>
                <w:color w:val="auto"/>
              </w:rPr>
            </w:pPr>
            <w:r>
              <w:rPr>
                <w:rFonts w:ascii="Arial" w:cs="Arial" w:eastAsia="Arial" w:hAnsi="Arial"/>
                <w:sz w:val="18"/>
                <w:szCs w:val="18"/>
                <w:color w:val="auto"/>
              </w:rPr>
              <w:t>Manage ACA compliance activities</w:t>
            </w:r>
          </w:p>
        </w:tc>
      </w:t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rPr>
              <w:t>●   Family Medical Leave Act (FMLA) tracking</w:t>
            </w:r>
          </w:p>
        </w:tc>
      </w:t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rPr>
              <w:t>●   Facilitate Equal Employment Opportunity (EEO) assessment and filing</w:t>
            </w:r>
          </w:p>
        </w:tc>
      </w:t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rPr>
              <w:t>●   Occupational Safety &amp; Health Administration (OSHA) tracking</w:t>
            </w:r>
          </w:p>
        </w:tc>
      </w:t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rPr>
              <w:t>●   Workers’ compensation tracking and reporting</w:t>
            </w:r>
          </w:p>
        </w:tc>
      </w:tr>
      <w:tr>
        <w:trPr>
          <w:trHeight w:val="216"/>
        </w:trPr>
        <w:tc>
          <w:tcPr>
            <w:tcW w:w="212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260" w:type="dxa"/>
            <w:vAlign w:val="bottom"/>
          </w:tcPr>
          <w:p>
            <w:pPr>
              <w:ind w:left="120"/>
              <w:spacing w:after="0"/>
              <w:rPr>
                <w:sz w:val="20"/>
                <w:szCs w:val="20"/>
                <w:color w:val="auto"/>
              </w:rPr>
            </w:pPr>
            <w:r>
              <w:rPr>
                <w:rFonts w:ascii="Arial" w:cs="Arial" w:eastAsia="Arial" w:hAnsi="Arial"/>
                <w:sz w:val="18"/>
                <w:szCs w:val="18"/>
                <w:color w:val="auto"/>
              </w:rPr>
              <w:t>I-9 verification</w:t>
            </w:r>
          </w:p>
        </w:tc>
      </w:t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rPr>
              <w:t>●   Provides a year end dashboard to manage IRS deadlines</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HR Insight and Analytics</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260" w:type="dxa"/>
            <w:vAlign w:val="bottom"/>
          </w:tcPr>
          <w:p>
            <w:pPr>
              <w:ind w:left="120"/>
              <w:spacing w:after="0"/>
              <w:rPr>
                <w:sz w:val="20"/>
                <w:szCs w:val="20"/>
                <w:color w:val="auto"/>
              </w:rPr>
            </w:pPr>
            <w:r>
              <w:rPr>
                <w:rFonts w:ascii="Arial" w:cs="Arial" w:eastAsia="Arial" w:hAnsi="Arial"/>
                <w:sz w:val="18"/>
                <w:szCs w:val="18"/>
                <w:color w:val="auto"/>
                <w:w w:val="94"/>
              </w:rPr>
              <w:t>Provides a dashboard view into critical HR metrics such as headcount, employee</w:t>
            </w:r>
          </w:p>
        </w:tc>
      </w:tr>
      <w:tr>
        <w:trPr>
          <w:trHeight w:val="216"/>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turnover and potential at-risk employees</w:t>
            </w:r>
          </w:p>
        </w:tc>
      </w:t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rPr>
              <w:t>●   Users can choose between different types of graphical display or export the</w:t>
            </w:r>
          </w:p>
        </w:tc>
      </w:tr>
      <w:tr>
        <w:trPr>
          <w:trHeight w:val="216"/>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information to spreadsheets or other documents</w:t>
            </w:r>
          </w:p>
        </w:tc>
      </w:t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w w:val="96"/>
              </w:rPr>
              <w:t>●   Retention dashboard assists employers in identifying and taking action on at-risk</w:t>
            </w:r>
          </w:p>
        </w:tc>
      </w:tr>
      <w:tr>
        <w:trPr>
          <w:trHeight w:val="216"/>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employees to improve employee retention</w:t>
            </w:r>
          </w:p>
        </w:tc>
      </w:tr>
      <w:tr>
        <w:trPr>
          <w:trHeight w:val="216"/>
        </w:trPr>
        <w:tc>
          <w:tcPr>
            <w:tcW w:w="212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260" w:type="dxa"/>
            <w:vAlign w:val="bottom"/>
          </w:tcPr>
          <w:p>
            <w:pPr>
              <w:ind w:left="120"/>
              <w:spacing w:after="0"/>
              <w:rPr>
                <w:sz w:val="20"/>
                <w:szCs w:val="20"/>
                <w:color w:val="auto"/>
              </w:rPr>
            </w:pPr>
            <w:r>
              <w:rPr>
                <w:rFonts w:ascii="Arial" w:cs="Arial" w:eastAsia="Arial" w:hAnsi="Arial"/>
                <w:sz w:val="18"/>
                <w:szCs w:val="18"/>
                <w:color w:val="auto"/>
              </w:rPr>
              <w:t>Compliance and reporting</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Self-Service Portals</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6260" w:type="dxa"/>
            <w:vAlign w:val="bottom"/>
          </w:tcPr>
          <w:p>
            <w:pPr>
              <w:ind w:left="120"/>
              <w:spacing w:after="0"/>
              <w:rPr>
                <w:sz w:val="20"/>
                <w:szCs w:val="20"/>
                <w:color w:val="auto"/>
              </w:rPr>
            </w:pPr>
            <w:r>
              <w:rPr>
                <w:rFonts w:ascii="Arial" w:cs="Arial" w:eastAsia="Arial" w:hAnsi="Arial"/>
                <w:sz w:val="18"/>
                <w:szCs w:val="18"/>
                <w:color w:val="auto"/>
                <w:w w:val="92"/>
              </w:rPr>
              <w:t>Full online and mobile access through virtually any device having Internet access to</w:t>
            </w:r>
          </w:p>
        </w:tc>
      </w:tr>
      <w:tr>
        <w:trPr>
          <w:trHeight w:val="216"/>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payroll, HR and benefits information</w:t>
            </w:r>
          </w:p>
        </w:tc>
      </w:tr>
      <w:tr>
        <w:trPr>
          <w:trHeight w:val="216"/>
        </w:trPr>
        <w:tc>
          <w:tcPr>
            <w:tcW w:w="2120" w:type="dxa"/>
            <w:vAlign w:val="bottom"/>
          </w:tcPr>
          <w:p>
            <w:pPr>
              <w:spacing w:after="0"/>
              <w:rPr>
                <w:sz w:val="18"/>
                <w:szCs w:val="18"/>
                <w:color w:val="auto"/>
              </w:rPr>
            </w:pPr>
          </w:p>
        </w:tc>
        <w:tc>
          <w:tcPr>
            <w:tcW w:w="6760" w:type="dxa"/>
            <w:vAlign w:val="bottom"/>
            <w:gridSpan w:val="2"/>
          </w:tcPr>
          <w:p>
            <w:pPr>
              <w:ind w:left="280"/>
              <w:spacing w:after="0"/>
              <w:rPr>
                <w:sz w:val="20"/>
                <w:szCs w:val="20"/>
                <w:color w:val="auto"/>
              </w:rPr>
            </w:pPr>
            <w:r>
              <w:rPr>
                <w:rFonts w:ascii="Arial" w:cs="Arial" w:eastAsia="Arial" w:hAnsi="Arial"/>
                <w:sz w:val="18"/>
                <w:szCs w:val="18"/>
                <w:color w:val="auto"/>
                <w:w w:val="97"/>
              </w:rPr>
              <w:t>●   Provides the ability for administrators to communicate company news and policy</w:t>
            </w:r>
          </w:p>
        </w:tc>
      </w:tr>
      <w:tr>
        <w:trPr>
          <w:trHeight w:val="216"/>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w w:val="89"/>
              </w:rPr>
              <w:t>changes, such as handbook revisions, and to post documents and create custom web</w:t>
            </w:r>
          </w:p>
        </w:tc>
      </w:tr>
      <w:tr>
        <w:trPr>
          <w:trHeight w:val="230"/>
        </w:trPr>
        <w:tc>
          <w:tcPr>
            <w:tcW w:w="2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pages to communicate with employees</w:t>
            </w:r>
          </w:p>
        </w:tc>
      </w:tr>
    </w:tbl>
    <w:p>
      <w:pPr>
        <w:ind w:left="2800" w:right="179" w:hanging="323"/>
        <w:spacing w:after="0" w:line="281" w:lineRule="auto"/>
        <w:tabs>
          <w:tab w:leader="none" w:pos="2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Provides a single view for managers where they can approve employee changes and requests, manage outstanding tasks and easily access employee information</w:t>
      </w:r>
    </w:p>
    <w:p>
      <w:pPr>
        <w:spacing w:after="0" w:line="1" w:lineRule="exact"/>
        <w:rPr>
          <w:sz w:val="20"/>
          <w:szCs w:val="20"/>
          <w:color w:val="auto"/>
        </w:rPr>
      </w:pPr>
    </w:p>
    <w:p>
      <w:pPr>
        <w:ind w:left="2800" w:right="759" w:hanging="323"/>
        <w:spacing w:after="0" w:line="260" w:lineRule="auto"/>
        <w:tabs>
          <w:tab w:leader="none" w:pos="2780" w:val="left"/>
        </w:tabs>
        <w:rPr>
          <w:sz w:val="20"/>
          <w:szCs w:val="20"/>
          <w:color w:val="auto"/>
        </w:rPr>
      </w:pPr>
      <w:r>
        <w:rPr>
          <w:rFonts w:ascii="Arial" w:cs="Arial" w:eastAsia="Arial" w:hAnsi="Arial"/>
          <w:sz w:val="18"/>
          <w:szCs w:val="18"/>
          <w:color w:val="auto"/>
        </w:rPr>
        <w:t>●</w:t>
        <w:tab/>
        <w:t>Improves communication among managers and HR and payroll and finance departments</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Talent</w:t>
      </w:r>
    </w:p>
    <w:p>
      <w:pPr>
        <w:spacing w:after="0" w:line="131"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Paylocity’s Talent modules are designed to bring ease and convenience to processes that attract and retain talent within an organization. The modules provide an engaging employee experience and enable clients to manage their talent throughout their employees’ tenures, starting at recruiting and carrying through onboarding, learning and performance management. Key features of our Talent module include the following:</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20" w:type="dxa"/>
            <w:vAlign w:val="bottom"/>
            <w:gridSpan w:val="2"/>
          </w:tcPr>
          <w:p>
            <w:pPr>
              <w:ind w:left="900"/>
              <w:spacing w:after="0"/>
              <w:rPr>
                <w:sz w:val="20"/>
                <w:szCs w:val="20"/>
                <w:color w:val="auto"/>
              </w:rPr>
            </w:pPr>
            <w:r>
              <w:rPr>
                <w:rFonts w:ascii="Arial" w:cs="Arial" w:eastAsia="Arial" w:hAnsi="Arial"/>
                <w:sz w:val="18"/>
                <w:szCs w:val="18"/>
                <w:b w:val="1"/>
                <w:bCs w:val="1"/>
                <w:color w:val="auto"/>
              </w:rPr>
              <w:t>Feature</w:t>
            </w:r>
          </w:p>
        </w:tc>
        <w:tc>
          <w:tcPr>
            <w:tcW w:w="6500" w:type="dxa"/>
            <w:vAlign w:val="bottom"/>
            <w:gridSpan w:val="2"/>
          </w:tcPr>
          <w:p>
            <w:pPr>
              <w:ind w:left="254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3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Reviews</w:t>
            </w:r>
          </w:p>
        </w:tc>
        <w:tc>
          <w:tcPr>
            <w:tcW w:w="40" w:type="dxa"/>
            <w:vAlign w:val="bottom"/>
          </w:tcPr>
          <w:p>
            <w:pPr>
              <w:spacing w:after="0"/>
              <w:rPr>
                <w:sz w:val="16"/>
                <w:szCs w:val="16"/>
                <w:color w:val="auto"/>
              </w:rPr>
            </w:pPr>
          </w:p>
        </w:tc>
        <w:tc>
          <w:tcPr>
            <w:tcW w:w="6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   Provides the ability for employees and managers to complete online reviews, add</w:t>
            </w:r>
          </w:p>
        </w:tc>
        <w:tc>
          <w:tcPr>
            <w:tcW w:w="160" w:type="dxa"/>
            <w:vAlign w:val="bottom"/>
          </w:tcPr>
          <w:p>
            <w:pPr>
              <w:spacing w:after="0"/>
              <w:rPr>
                <w:sz w:val="16"/>
                <w:szCs w:val="16"/>
                <w:color w:val="auto"/>
              </w:rPr>
            </w:pP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comments and sign off on completed reviews</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w w:val="99"/>
              </w:rPr>
              <w:t>●   Includes automated workflow at each step of the review process with ability for</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HR administrators to review and provide feedback prior to final approval</w:t>
            </w: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360° Feedback</w:t>
            </w:r>
          </w:p>
        </w:tc>
        <w:tc>
          <w:tcPr>
            <w:tcW w:w="6500" w:type="dxa"/>
            <w:vAlign w:val="bottom"/>
            <w:gridSpan w:val="2"/>
          </w:tcPr>
          <w:p>
            <w:pPr>
              <w:spacing w:after="0"/>
              <w:rPr>
                <w:sz w:val="20"/>
                <w:szCs w:val="20"/>
                <w:color w:val="auto"/>
              </w:rPr>
            </w:pPr>
            <w:r>
              <w:rPr>
                <w:rFonts w:ascii="Arial" w:cs="Arial" w:eastAsia="Arial" w:hAnsi="Arial"/>
                <w:sz w:val="18"/>
                <w:szCs w:val="18"/>
                <w:color w:val="auto"/>
                <w:w w:val="95"/>
              </w:rPr>
              <w:t>●   Provides the ability to access feedback from employees across the organization to</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receive input on employee performance and accomplishments</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   Enables year-round or point-in-time 360° feedback</w:t>
            </w: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Goals Management</w:t>
            </w:r>
          </w:p>
        </w:tc>
        <w:tc>
          <w:tcPr>
            <w:tcW w:w="6500" w:type="dxa"/>
            <w:vAlign w:val="bottom"/>
            <w:gridSpan w:val="2"/>
          </w:tcPr>
          <w:p>
            <w:pPr>
              <w:spacing w:after="0"/>
              <w:rPr>
                <w:sz w:val="20"/>
                <w:szCs w:val="20"/>
                <w:color w:val="auto"/>
              </w:rPr>
            </w:pPr>
            <w:r>
              <w:rPr>
                <w:rFonts w:ascii="Arial" w:cs="Arial" w:eastAsia="Arial" w:hAnsi="Arial"/>
                <w:sz w:val="18"/>
                <w:szCs w:val="18"/>
                <w:color w:val="auto"/>
              </w:rPr>
              <w:t>●   Manages employee goals and appraisals in a single place to reduce the time</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required to navigate between screens</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   Allows specific goals to be displayed on the performance review for increased</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employee focus and development</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   Assigns goals specific to employees based on skill level and other factors</w:t>
            </w: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Impressions</w:t>
            </w:r>
          </w:p>
        </w:tc>
        <w:tc>
          <w:tcPr>
            <w:tcW w:w="6500" w:type="dxa"/>
            <w:vAlign w:val="bottom"/>
            <w:gridSpan w:val="2"/>
          </w:tcPr>
          <w:p>
            <w:pPr>
              <w:spacing w:after="0"/>
              <w:rPr>
                <w:sz w:val="20"/>
                <w:szCs w:val="20"/>
                <w:color w:val="auto"/>
              </w:rPr>
            </w:pPr>
            <w:r>
              <w:rPr>
                <w:rFonts w:ascii="Arial" w:cs="Arial" w:eastAsia="Arial" w:hAnsi="Arial"/>
                <w:sz w:val="18"/>
                <w:szCs w:val="18"/>
                <w:color w:val="auto"/>
                <w:w w:val="99"/>
              </w:rPr>
              <w:t>●   Provides employees the ability to recognize each other and provide immediate</w:t>
            </w:r>
          </w:p>
        </w:tc>
      </w:tr>
      <w:tr>
        <w:trPr>
          <w:trHeight w:val="230"/>
        </w:trPr>
        <w:tc>
          <w:tcPr>
            <w:tcW w:w="2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color w:val="auto"/>
              </w:rPr>
              <w:t>feedback</w:t>
            </w:r>
          </w:p>
        </w:tc>
      </w:tr>
      <w:tr>
        <w:trPr>
          <w:trHeight w:val="648"/>
        </w:trPr>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40" w:type="dxa"/>
            <w:vAlign w:val="bottom"/>
          </w:tcPr>
          <w:p>
            <w:pPr>
              <w:ind w:left="20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r>
      <w:tr>
        <w:trPr>
          <w:trHeight w:val="560"/>
        </w:trPr>
        <w:tc>
          <w:tcPr>
            <w:tcW w:w="2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8"/>
          <w:szCs w:val="18"/>
          <w:color w:val="auto"/>
        </w:rPr>
        <w:t>●</w:t>
        <w:tab/>
        <w:t>Impression leaderboard is visible to everyone in the organization providing</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recognition for top performers</w:t>
      </w:r>
    </w:p>
    <w:p>
      <w:pPr>
        <w:spacing w:after="0" w:line="9" w:lineRule="exact"/>
        <w:rPr>
          <w:sz w:val="20"/>
          <w:szCs w:val="20"/>
          <w:color w:val="auto"/>
        </w:rPr>
      </w:pPr>
    </w:p>
    <w:p>
      <w:pPr>
        <w:ind w:left="60"/>
        <w:spacing w:after="0"/>
        <w:tabs>
          <w:tab w:leader="none" w:pos="2440" w:val="left"/>
          <w:tab w:leader="none" w:pos="2760" w:val="left"/>
        </w:tabs>
        <w:rPr>
          <w:sz w:val="20"/>
          <w:szCs w:val="20"/>
          <w:color w:val="auto"/>
        </w:rPr>
      </w:pPr>
      <w:r>
        <w:rPr>
          <w:rFonts w:ascii="Arial" w:cs="Arial" w:eastAsia="Arial" w:hAnsi="Arial"/>
          <w:sz w:val="18"/>
          <w:szCs w:val="18"/>
          <w:color w:val="auto"/>
        </w:rPr>
        <w:t>Recruiting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Auto-fills resume information to save time and effort in the candidate’s application</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process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6"/>
          <w:szCs w:val="16"/>
          <w:color w:val="auto"/>
        </w:rPr>
        <w:t>●</w:t>
        <w:tab/>
        <w:t>Serves as a repository of applicant information and feedback for future reference</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and sourcing</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7"/>
          <w:szCs w:val="17"/>
          <w:color w:val="auto"/>
        </w:rPr>
        <w:t>●</w:t>
        <w:tab/>
        <w:t>Tracks applicants through the lifecycle of the recruiting process, reducing time</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spent on the recruiting and talent acquisition process and so that users quickly</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know the status of any prospects at critical stages in the process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7"/>
          <w:szCs w:val="17"/>
          <w:color w:val="auto"/>
        </w:rPr>
        <w:t>●</w:t>
        <w:tab/>
        <w:t>Integration to allow posting to over 20,000 job boards to reach a broad range of</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applicants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7"/>
          <w:szCs w:val="17"/>
          <w:color w:val="auto"/>
        </w:rPr>
        <w:t>●</w:t>
        <w:tab/>
        <w:t>Manage the full employment offer process including automated creation of offer</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letters and background check completion</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7"/>
          <w:szCs w:val="17"/>
          <w:color w:val="auto"/>
        </w:rPr>
        <w:t>●</w:t>
        <w:tab/>
        <w:t>Seamless transition of an employee from recruiting to the Onboarding process</w:t>
      </w:r>
    </w:p>
    <w:p>
      <w:pPr>
        <w:spacing w:after="0" w:line="21" w:lineRule="exact"/>
        <w:rPr>
          <w:sz w:val="20"/>
          <w:szCs w:val="20"/>
          <w:color w:val="auto"/>
        </w:rPr>
      </w:pPr>
    </w:p>
    <w:p>
      <w:pPr>
        <w:ind w:left="60"/>
        <w:spacing w:after="0"/>
        <w:tabs>
          <w:tab w:leader="none" w:pos="2440" w:val="left"/>
          <w:tab w:leader="none" w:pos="2760" w:val="left"/>
        </w:tabs>
        <w:rPr>
          <w:sz w:val="20"/>
          <w:szCs w:val="20"/>
          <w:color w:val="auto"/>
        </w:rPr>
      </w:pPr>
      <w:r>
        <w:rPr>
          <w:rFonts w:ascii="Arial" w:cs="Arial" w:eastAsia="Arial" w:hAnsi="Arial"/>
          <w:sz w:val="18"/>
          <w:szCs w:val="18"/>
          <w:color w:val="auto"/>
        </w:rPr>
        <w:t>Onboarding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Features a mobile-responsive design and attractive, intuitive interface, engaging</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new hires in the process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7"/>
          <w:szCs w:val="17"/>
          <w:color w:val="auto"/>
        </w:rPr>
        <w:t>●</w:t>
        <w:tab/>
        <w:t>Provides robust event management capabilities, empowering administrators to</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proactively manage the onboarding process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6"/>
          <w:szCs w:val="16"/>
          <w:color w:val="auto"/>
        </w:rPr>
        <w:t>●</w:t>
        <w:tab/>
        <w:t>Highly configurable, allowing administrators to tailor tasks and overall experience</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for new hires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8"/>
          <w:szCs w:val="18"/>
          <w:color w:val="auto"/>
        </w:rPr>
        <w:t>●</w:t>
        <w:tab/>
        <w:t>Includes a withholding forms wizard, simplifying the process of completing</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important tax-related paperwork, including local W-4 forms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8"/>
          <w:szCs w:val="18"/>
          <w:color w:val="auto"/>
        </w:rPr>
        <w:t>●</w:t>
        <w:tab/>
        <w:t>Permits the ability to add customized content including welcome message,</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documents, videos and other company specific information</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6"/>
          <w:szCs w:val="16"/>
          <w:color w:val="auto"/>
        </w:rPr>
        <w:t>●</w:t>
        <w:tab/>
        <w:t>Automates the necessary employment eligibility processes including collection of</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I-9s and integration with E-Verify</w:t>
      </w:r>
    </w:p>
    <w:p>
      <w:pPr>
        <w:spacing w:after="0" w:line="9" w:lineRule="exact"/>
        <w:rPr>
          <w:sz w:val="20"/>
          <w:szCs w:val="20"/>
          <w:color w:val="auto"/>
        </w:rPr>
      </w:pPr>
    </w:p>
    <w:p>
      <w:pPr>
        <w:ind w:left="60"/>
        <w:spacing w:after="0"/>
        <w:tabs>
          <w:tab w:leader="none" w:pos="2440" w:val="left"/>
          <w:tab w:leader="none" w:pos="2760" w:val="left"/>
        </w:tabs>
        <w:rPr>
          <w:sz w:val="20"/>
          <w:szCs w:val="20"/>
          <w:color w:val="auto"/>
        </w:rPr>
      </w:pPr>
      <w:r>
        <w:rPr>
          <w:rFonts w:ascii="Arial" w:cs="Arial" w:eastAsia="Arial" w:hAnsi="Arial"/>
          <w:sz w:val="18"/>
          <w:szCs w:val="18"/>
          <w:color w:val="auto"/>
        </w:rPr>
        <w:t>Journals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Captures and tracks ongoing discussions with employees to support performance</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appraisals</w:t>
      </w:r>
    </w:p>
    <w:p>
      <w:pPr>
        <w:spacing w:after="0" w:line="9" w:lineRule="exact"/>
        <w:rPr>
          <w:sz w:val="20"/>
          <w:szCs w:val="20"/>
          <w:color w:val="auto"/>
        </w:rPr>
      </w:pPr>
    </w:p>
    <w:p>
      <w:pPr>
        <w:ind w:left="60"/>
        <w:spacing w:after="0"/>
        <w:tabs>
          <w:tab w:leader="none" w:pos="2440" w:val="left"/>
          <w:tab w:leader="none" w:pos="2760" w:val="left"/>
        </w:tabs>
        <w:rPr>
          <w:sz w:val="20"/>
          <w:szCs w:val="20"/>
          <w:color w:val="auto"/>
        </w:rPr>
      </w:pPr>
      <w:r>
        <w:rPr>
          <w:rFonts w:ascii="Arial" w:cs="Arial" w:eastAsia="Arial" w:hAnsi="Arial"/>
          <w:sz w:val="18"/>
          <w:szCs w:val="18"/>
          <w:color w:val="auto"/>
        </w:rPr>
        <w:t>Compensation Management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Enables compensation professionals to configure tailored compensation plans and</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create automated approval workflows based on organizational pay cycles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7"/>
          <w:szCs w:val="17"/>
          <w:color w:val="auto"/>
        </w:rPr>
        <w:t>●</w:t>
        <w:tab/>
        <w:t>Creates visibility to an executive-level view of organizational and team budgets</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and payment allocations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6"/>
          <w:szCs w:val="16"/>
          <w:color w:val="auto"/>
        </w:rPr>
        <w:t>●</w:t>
        <w:tab/>
        <w:t>Offers managers the ability to manage their budgets and distribute compensation</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increases by drilling down into employee performance, pay history and more</w:t>
      </w:r>
    </w:p>
    <w:p>
      <w:pPr>
        <w:spacing w:after="0" w:line="21"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8"/>
          <w:szCs w:val="18"/>
          <w:color w:val="auto"/>
        </w:rPr>
        <w:t>●</w:t>
        <w:tab/>
        <w:t>Ability to manage bonus payouts as well as pay increases</w:t>
      </w:r>
    </w:p>
    <w:p>
      <w:pPr>
        <w:spacing w:after="0" w:line="9" w:lineRule="exact"/>
        <w:rPr>
          <w:sz w:val="20"/>
          <w:szCs w:val="20"/>
          <w:color w:val="auto"/>
        </w:rPr>
      </w:pPr>
    </w:p>
    <w:p>
      <w:pPr>
        <w:ind w:left="60"/>
        <w:spacing w:after="0"/>
        <w:tabs>
          <w:tab w:leader="none" w:pos="2440" w:val="left"/>
          <w:tab w:leader="none" w:pos="2760" w:val="left"/>
        </w:tabs>
        <w:rPr>
          <w:sz w:val="20"/>
          <w:szCs w:val="20"/>
          <w:color w:val="auto"/>
        </w:rPr>
      </w:pPr>
      <w:r>
        <w:rPr>
          <w:rFonts w:ascii="Arial" w:cs="Arial" w:eastAsia="Arial" w:hAnsi="Arial"/>
          <w:sz w:val="18"/>
          <w:szCs w:val="18"/>
          <w:color w:val="auto"/>
        </w:rPr>
        <w:t>Surveys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Facilitates the collection and summarization of all survey needs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6"/>
          <w:szCs w:val="16"/>
          <w:color w:val="auto"/>
        </w:rPr>
        <w:t>●</w:t>
        <w:tab/>
        <w:t>Default library of surveys for common tasks like new hire surveys, pulse surveys</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and organizational health surveys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8"/>
          <w:szCs w:val="18"/>
          <w:color w:val="auto"/>
        </w:rPr>
        <w:t>●</w:t>
        <w:tab/>
        <w:t>Summarizes survey information using analysis to enable clients to gauge</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respondent sentiment</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8"/>
          <w:szCs w:val="18"/>
          <w:color w:val="auto"/>
        </w:rPr>
        <w:t>●</w:t>
        <w:tab/>
        <w:t>Ability to send confidential surveys</w:t>
      </w:r>
    </w:p>
    <w:p>
      <w:pPr>
        <w:spacing w:after="0" w:line="9" w:lineRule="exact"/>
        <w:rPr>
          <w:sz w:val="20"/>
          <w:szCs w:val="20"/>
          <w:color w:val="auto"/>
        </w:rPr>
      </w:pPr>
    </w:p>
    <w:p>
      <w:pPr>
        <w:jc w:val="both"/>
        <w:ind w:left="2460"/>
        <w:spacing w:after="0"/>
        <w:tabs>
          <w:tab w:leader="none" w:pos="2760" w:val="left"/>
        </w:tabs>
        <w:rPr>
          <w:sz w:val="20"/>
          <w:szCs w:val="20"/>
          <w:color w:val="auto"/>
        </w:rPr>
      </w:pPr>
      <w:r>
        <w:rPr>
          <w:rFonts w:ascii="Arial" w:cs="Arial" w:eastAsia="Arial" w:hAnsi="Arial"/>
          <w:sz w:val="18"/>
          <w:szCs w:val="18"/>
          <w:color w:val="auto"/>
        </w:rPr>
        <w:t>●</w:t>
        <w:tab/>
        <w:t>Ability to generate a general survey link that can be distributed without assignment</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to employees</w:t>
      </w:r>
    </w:p>
    <w:p>
      <w:pPr>
        <w:spacing w:after="0" w:line="9" w:lineRule="exact"/>
        <w:rPr>
          <w:sz w:val="20"/>
          <w:szCs w:val="20"/>
          <w:color w:val="auto"/>
        </w:rPr>
      </w:pPr>
    </w:p>
    <w:p>
      <w:pPr>
        <w:ind w:left="60"/>
        <w:spacing w:after="0"/>
        <w:tabs>
          <w:tab w:leader="none" w:pos="2440" w:val="left"/>
          <w:tab w:leader="none" w:pos="2760" w:val="left"/>
        </w:tabs>
        <w:rPr>
          <w:sz w:val="20"/>
          <w:szCs w:val="20"/>
          <w:color w:val="auto"/>
        </w:rPr>
      </w:pPr>
      <w:r>
        <w:rPr>
          <w:rFonts w:ascii="Arial" w:cs="Arial" w:eastAsia="Arial" w:hAnsi="Arial"/>
          <w:sz w:val="18"/>
          <w:szCs w:val="18"/>
          <w:color w:val="auto"/>
        </w:rPr>
        <w:t>Community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Send and manage real-time announcements to all or portions of an employee base</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6"/>
          <w:szCs w:val="16"/>
          <w:color w:val="auto"/>
        </w:rPr>
        <w:t>●</w:t>
        <w:tab/>
        <w:t>Create groups for employees to discuss, react and comment on specific projects,</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events or common interests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7"/>
          <w:szCs w:val="17"/>
          <w:color w:val="auto"/>
        </w:rPr>
        <w:t>●</w:t>
        <w:tab/>
        <w:t>Access a real-time stream of announcements, updates, celebrations and work</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anniversaries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6"/>
          <w:szCs w:val="16"/>
          <w:color w:val="auto"/>
        </w:rPr>
        <w:t>●</w:t>
        <w:tab/>
        <w:t>Receive real-time notifications via the mobile app and/or email of relevant activity</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or posts</w:t>
      </w:r>
    </w:p>
    <w:p>
      <w:pPr>
        <w:spacing w:after="0" w:line="9" w:lineRule="exact"/>
        <w:rPr>
          <w:sz w:val="20"/>
          <w:szCs w:val="20"/>
          <w:color w:val="auto"/>
        </w:rPr>
      </w:pPr>
    </w:p>
    <w:p>
      <w:pPr>
        <w:ind w:left="2460"/>
        <w:spacing w:after="0"/>
        <w:tabs>
          <w:tab w:leader="none" w:pos="2760" w:val="left"/>
        </w:tabs>
        <w:rPr>
          <w:sz w:val="20"/>
          <w:szCs w:val="20"/>
          <w:color w:val="auto"/>
        </w:rPr>
      </w:pPr>
      <w:r>
        <w:rPr>
          <w:rFonts w:ascii="Arial" w:cs="Arial" w:eastAsia="Arial" w:hAnsi="Arial"/>
          <w:sz w:val="18"/>
          <w:szCs w:val="18"/>
          <w:color w:val="auto"/>
        </w:rPr>
        <w:t>●</w:t>
        <w:tab/>
        <w:t>Create quick and easy polls to drive employee engagement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2440" w:val="left"/>
          <w:tab w:leader="none" w:pos="2760" w:val="left"/>
        </w:tabs>
        <w:rPr>
          <w:sz w:val="20"/>
          <w:szCs w:val="20"/>
          <w:color w:val="auto"/>
        </w:rPr>
      </w:pPr>
      <w:r>
        <w:rPr>
          <w:rFonts w:ascii="Arial" w:cs="Arial" w:eastAsia="Arial" w:hAnsi="Arial"/>
          <w:sz w:val="18"/>
          <w:szCs w:val="18"/>
          <w:color w:val="auto"/>
        </w:rPr>
        <w:t>Learning Management System</w:t>
        <w:tab/>
        <w:t>●</w:t>
      </w:r>
      <w:r>
        <w:rPr>
          <w:sz w:val="20"/>
          <w:szCs w:val="20"/>
          <w:color w:val="auto"/>
        </w:rPr>
        <w:tab/>
      </w:r>
      <w:r>
        <w:rPr>
          <w:rFonts w:ascii="Arial" w:cs="Arial" w:eastAsia="Arial" w:hAnsi="Arial"/>
          <w:sz w:val="16"/>
          <w:szCs w:val="16"/>
          <w:color w:val="auto"/>
        </w:rPr>
        <w:t>Provides a cost-effective way to share, assess and track employee knowledge</w:t>
      </w:r>
    </w:p>
    <w:p>
      <w:pPr>
        <w:spacing w:after="0" w:line="23" w:lineRule="exact"/>
        <w:rPr>
          <w:sz w:val="20"/>
          <w:szCs w:val="20"/>
          <w:color w:val="auto"/>
        </w:rPr>
      </w:pPr>
    </w:p>
    <w:p>
      <w:pPr>
        <w:ind w:left="2780" w:right="999" w:hanging="327"/>
        <w:spacing w:after="0" w:line="250" w:lineRule="auto"/>
        <w:tabs>
          <w:tab w:leader="none" w:pos="279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Enables clients to create their own content using built-in video recording technology for easy content creation and disbursement</w:t>
      </w:r>
    </w:p>
    <w:p>
      <w:pPr>
        <w:ind w:left="2780" w:right="419" w:hanging="327"/>
        <w:spacing w:after="0" w:line="250" w:lineRule="auto"/>
        <w:tabs>
          <w:tab w:leader="none" w:pos="2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assign training courses to employees and manage training assignments through completion with due dates, reminders and reporting</w:t>
      </w:r>
    </w:p>
    <w:p>
      <w:pPr>
        <w:ind w:left="2780" w:right="559" w:hanging="327"/>
        <w:spacing w:after="0" w:line="250" w:lineRule="auto"/>
        <w:tabs>
          <w:tab w:leader="none" w:pos="279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 for multiple content types, including documents, recorded or uploaded videos and SCORM content</w:t>
      </w:r>
    </w:p>
    <w:p>
      <w:pPr>
        <w:spacing w:after="0" w:line="1" w:lineRule="exact"/>
        <w:rPr>
          <w:sz w:val="20"/>
          <w:szCs w:val="20"/>
          <w:color w:val="auto"/>
        </w:rPr>
      </w:pPr>
    </w:p>
    <w:p>
      <w:pPr>
        <w:ind w:left="60"/>
        <w:spacing w:after="0"/>
        <w:tabs>
          <w:tab w:leader="none" w:pos="2440" w:val="left"/>
          <w:tab w:leader="none" w:pos="2760" w:val="left"/>
        </w:tabs>
        <w:rPr>
          <w:sz w:val="20"/>
          <w:szCs w:val="20"/>
          <w:color w:val="auto"/>
        </w:rPr>
      </w:pPr>
      <w:r>
        <w:rPr>
          <w:rFonts w:ascii="Arial" w:cs="Arial" w:eastAsia="Arial" w:hAnsi="Arial"/>
          <w:sz w:val="18"/>
          <w:szCs w:val="18"/>
          <w:color w:val="auto"/>
        </w:rPr>
        <w:t>Succession Planning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Managers assess employees’ Performance, Potential, Readiness, and Risk</w:t>
      </w:r>
    </w:p>
    <w:p>
      <w:pPr>
        <w:spacing w:after="0" w:line="9" w:lineRule="exact"/>
        <w:rPr>
          <w:sz w:val="20"/>
          <w:szCs w:val="20"/>
          <w:color w:val="auto"/>
        </w:rPr>
      </w:pPr>
    </w:p>
    <w:p>
      <w:pPr>
        <w:ind w:left="2780" w:right="219" w:hanging="327"/>
        <w:spacing w:after="0" w:line="260" w:lineRule="auto"/>
        <w:tabs>
          <w:tab w:leader="none" w:pos="2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Employees are visualized by their performance/potential in a 9-box view which can be filtered and searched</w:t>
      </w:r>
    </w:p>
    <w:p>
      <w:pPr>
        <w:spacing w:after="0" w:line="33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Workforce Management</w:t>
      </w:r>
    </w:p>
    <w:p>
      <w:pPr>
        <w:spacing w:after="0" w:line="131"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Paylocity’s Workforce Management modules include time and attendance and scheduling functionality, enabling clients to effectively collect hourly data for employees, improve productivity and help organizations control labor costs. Additionally, expense management functionality streamlines and automates expense management processes by eliminating manual steps involved in filing, approving, and reimbursing expenses. Key features within the Workforce Management modules include the following: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20" w:type="dxa"/>
            <w:vAlign w:val="bottom"/>
            <w:gridSpan w:val="2"/>
          </w:tcPr>
          <w:p>
            <w:pPr>
              <w:ind w:left="900"/>
              <w:spacing w:after="0"/>
              <w:rPr>
                <w:sz w:val="20"/>
                <w:szCs w:val="20"/>
                <w:color w:val="auto"/>
              </w:rPr>
            </w:pPr>
            <w:r>
              <w:rPr>
                <w:rFonts w:ascii="Arial" w:cs="Arial" w:eastAsia="Arial" w:hAnsi="Arial"/>
                <w:sz w:val="18"/>
                <w:szCs w:val="18"/>
                <w:b w:val="1"/>
                <w:bCs w:val="1"/>
                <w:color w:val="auto"/>
              </w:rPr>
              <w:t>Feature</w:t>
            </w:r>
          </w:p>
        </w:tc>
        <w:tc>
          <w:tcPr>
            <w:tcW w:w="6360" w:type="dxa"/>
            <w:vAlign w:val="bottom"/>
          </w:tcPr>
          <w:p>
            <w:pPr>
              <w:ind w:left="266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3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Time Collection</w:t>
            </w:r>
          </w:p>
        </w:tc>
        <w:tc>
          <w:tcPr>
            <w:tcW w:w="40" w:type="dxa"/>
            <w:vAlign w:val="bottom"/>
          </w:tcPr>
          <w:p>
            <w:pPr>
              <w:spacing w:after="0"/>
              <w:rPr>
                <w:sz w:val="16"/>
                <w:szCs w:val="16"/>
                <w:color w:val="auto"/>
              </w:rPr>
            </w:pPr>
          </w:p>
        </w:tc>
        <w:tc>
          <w:tcPr>
            <w:tcW w:w="6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   Time and attendance tracking, including overtime, rounding rules, payroll policies</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and labor allocation</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   Tracks tardiness, absenteeism, and misuse of break or meal periods</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6"/>
              </w:rPr>
              <w:t>●   Compliance tools to ensure clients have visibility to meal premium and overtime</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requirements</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   Ability to collect time through punching or time recording</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5"/>
              </w:rPr>
              <w:t>●   Support for multiple hardware options including traditional time clocks, biometric</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devices and integrated kiosk terminals</w:t>
            </w: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Schedule Management</w:t>
            </w:r>
          </w:p>
        </w:tc>
        <w:tc>
          <w:tcPr>
            <w:tcW w:w="6360" w:type="dxa"/>
            <w:vAlign w:val="bottom"/>
          </w:tcPr>
          <w:p>
            <w:pPr>
              <w:spacing w:after="0"/>
              <w:rPr>
                <w:sz w:val="20"/>
                <w:szCs w:val="20"/>
                <w:color w:val="auto"/>
              </w:rPr>
            </w:pPr>
            <w:r>
              <w:rPr>
                <w:rFonts w:ascii="Arial" w:cs="Arial" w:eastAsia="Arial" w:hAnsi="Arial"/>
                <w:sz w:val="18"/>
                <w:szCs w:val="18"/>
                <w:color w:val="auto"/>
              </w:rPr>
              <w:t>●   Ability to create and publish employee schedules</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   Enforcement of punching based on schedules</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   Ability to manage schedules based on budgeted dollars or total hours</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7"/>
              </w:rPr>
              <w:t>●   Mobile schedule views to allow employees easy access to their schedules and</w:t>
            </w:r>
          </w:p>
        </w:tc>
      </w:tr>
      <w:tr>
        <w:trPr>
          <w:trHeight w:val="216"/>
        </w:trPr>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submit time-off requests via the mobile app</w:t>
            </w: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Manager Tools</w:t>
            </w:r>
          </w:p>
        </w:tc>
        <w:tc>
          <w:tcPr>
            <w:tcW w:w="6360" w:type="dxa"/>
            <w:vAlign w:val="bottom"/>
          </w:tcPr>
          <w:p>
            <w:pPr>
              <w:spacing w:after="0"/>
              <w:rPr>
                <w:sz w:val="20"/>
                <w:szCs w:val="20"/>
                <w:color w:val="auto"/>
              </w:rPr>
            </w:pPr>
            <w:r>
              <w:rPr>
                <w:rFonts w:ascii="Arial" w:cs="Arial" w:eastAsia="Arial" w:hAnsi="Arial"/>
                <w:sz w:val="18"/>
                <w:szCs w:val="18"/>
                <w:color w:val="auto"/>
              </w:rPr>
              <w:t>●   Alerts for missing punches</w:t>
            </w:r>
          </w:p>
        </w:tc>
      </w:tr>
    </w:tbl>
    <w:p>
      <w:pPr>
        <w:ind w:left="2800" w:hanging="333"/>
        <w:spacing w:after="0"/>
        <w:tabs>
          <w:tab w:leader="none" w:pos="2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Dashboard to enable supervisors to effectively manage their workforces</w:t>
      </w:r>
    </w:p>
    <w:p>
      <w:pPr>
        <w:spacing w:after="0" w:line="9" w:lineRule="exact"/>
        <w:rPr>
          <w:rFonts w:ascii="Arial" w:cs="Arial" w:eastAsia="Arial" w:hAnsi="Arial"/>
          <w:sz w:val="18"/>
          <w:szCs w:val="18"/>
          <w:color w:val="auto"/>
        </w:rPr>
      </w:pPr>
    </w:p>
    <w:p>
      <w:pPr>
        <w:ind w:left="2800" w:hanging="333"/>
        <w:spacing w:after="0"/>
        <w:tabs>
          <w:tab w:leader="none" w:pos="2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approve time cards and time-off requests via the mobile app</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Geo-fencing Mobile Restriction  ●   Ability for employees to punch in and out from their mobile devices</w:t>
      </w:r>
    </w:p>
    <w:p>
      <w:pPr>
        <w:spacing w:after="0" w:line="9" w:lineRule="exact"/>
        <w:rPr>
          <w:rFonts w:ascii="Arial" w:cs="Arial" w:eastAsia="Arial" w:hAnsi="Arial"/>
          <w:sz w:val="18"/>
          <w:szCs w:val="18"/>
          <w:color w:val="auto"/>
        </w:rPr>
      </w:pPr>
    </w:p>
    <w:p>
      <w:pPr>
        <w:ind w:left="2800" w:right="319" w:hanging="333"/>
        <w:spacing w:after="0" w:line="250" w:lineRule="auto"/>
        <w:tabs>
          <w:tab w:leader="none" w:pos="28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Geo-fencing capabilities that allow managers to set parameters for where punches may occur</w:t>
      </w:r>
    </w:p>
    <w:p>
      <w:pPr>
        <w:ind w:left="2800" w:hanging="333"/>
        <w:spacing w:after="0"/>
        <w:tabs>
          <w:tab w:leader="none" w:pos="2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specify the geo-fencing parameters at the individual or group level</w:t>
      </w:r>
    </w:p>
    <w:p>
      <w:pPr>
        <w:spacing w:after="0" w:line="9" w:lineRule="exact"/>
        <w:rPr>
          <w:rFonts w:ascii="Arial" w:cs="Arial" w:eastAsia="Arial" w:hAnsi="Arial"/>
          <w:sz w:val="18"/>
          <w:szCs w:val="18"/>
          <w:color w:val="auto"/>
        </w:rPr>
      </w:pPr>
    </w:p>
    <w:p>
      <w:pPr>
        <w:ind w:left="2800" w:hanging="333"/>
        <w:spacing w:after="0"/>
        <w:tabs>
          <w:tab w:leader="none" w:pos="2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Flexibility to specify an unlimited number of geo-fenced areas to accommodate a</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mobile workforce</w:t>
      </w:r>
    </w:p>
    <w:p>
      <w:pPr>
        <w:spacing w:after="0" w:line="9" w:lineRule="exact"/>
        <w:rPr>
          <w:sz w:val="20"/>
          <w:szCs w:val="20"/>
          <w:color w:val="auto"/>
        </w:rPr>
      </w:pPr>
    </w:p>
    <w:p>
      <w:pPr>
        <w:ind w:left="60"/>
        <w:spacing w:after="0"/>
        <w:tabs>
          <w:tab w:leader="none" w:pos="2440" w:val="left"/>
          <w:tab w:leader="none" w:pos="2780" w:val="left"/>
        </w:tabs>
        <w:rPr>
          <w:sz w:val="20"/>
          <w:szCs w:val="20"/>
          <w:color w:val="auto"/>
        </w:rPr>
      </w:pPr>
      <w:r>
        <w:rPr>
          <w:rFonts w:ascii="Arial" w:cs="Arial" w:eastAsia="Arial" w:hAnsi="Arial"/>
          <w:sz w:val="18"/>
          <w:szCs w:val="18"/>
          <w:color w:val="auto"/>
        </w:rPr>
        <w:t>Attestation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Enables administrators to require employees to attest to custom prompts at the time</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of punch</w:t>
      </w:r>
    </w:p>
    <w:p>
      <w:pPr>
        <w:spacing w:after="0" w:line="9" w:lineRule="exact"/>
        <w:rPr>
          <w:sz w:val="20"/>
          <w:szCs w:val="20"/>
          <w:color w:val="auto"/>
        </w:rPr>
      </w:pPr>
    </w:p>
    <w:p>
      <w:pPr>
        <w:ind w:left="2460"/>
        <w:spacing w:after="0"/>
        <w:tabs>
          <w:tab w:leader="none" w:pos="2780" w:val="left"/>
        </w:tabs>
        <w:rPr>
          <w:sz w:val="20"/>
          <w:szCs w:val="20"/>
          <w:color w:val="auto"/>
        </w:rPr>
      </w:pPr>
      <w:r>
        <w:rPr>
          <w:rFonts w:ascii="Arial" w:cs="Arial" w:eastAsia="Arial" w:hAnsi="Arial"/>
          <w:sz w:val="17"/>
          <w:szCs w:val="17"/>
          <w:color w:val="auto"/>
        </w:rPr>
        <w:t>●</w:t>
        <w:tab/>
        <w:t>Workflows can be configured by the administrator to block the employee's punch</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based on their response and provide employees with a custom text message</w:t>
      </w:r>
    </w:p>
    <w:p>
      <w:pPr>
        <w:spacing w:after="0" w:line="21" w:lineRule="exact"/>
        <w:rPr>
          <w:sz w:val="20"/>
          <w:szCs w:val="20"/>
          <w:color w:val="auto"/>
        </w:rPr>
      </w:pPr>
    </w:p>
    <w:p>
      <w:pPr>
        <w:ind w:left="2460"/>
        <w:spacing w:after="0"/>
        <w:tabs>
          <w:tab w:leader="none" w:pos="2780" w:val="left"/>
        </w:tabs>
        <w:rPr>
          <w:sz w:val="20"/>
          <w:szCs w:val="20"/>
          <w:color w:val="auto"/>
        </w:rPr>
      </w:pPr>
      <w:r>
        <w:rPr>
          <w:rFonts w:ascii="Arial" w:cs="Arial" w:eastAsia="Arial" w:hAnsi="Arial"/>
          <w:sz w:val="17"/>
          <w:szCs w:val="17"/>
          <w:color w:val="auto"/>
        </w:rPr>
        <w:t>●</w:t>
        <w:tab/>
        <w:t>Notifications can be configured to provide real-time updates to supervisors based</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on the employee's response</w:t>
      </w:r>
    </w:p>
    <w:p>
      <w:pPr>
        <w:spacing w:after="0" w:line="9" w:lineRule="exact"/>
        <w:rPr>
          <w:sz w:val="20"/>
          <w:szCs w:val="20"/>
          <w:color w:val="auto"/>
        </w:rPr>
      </w:pPr>
    </w:p>
    <w:p>
      <w:pPr>
        <w:ind w:left="60"/>
        <w:spacing w:after="0"/>
        <w:tabs>
          <w:tab w:leader="none" w:pos="2440" w:val="left"/>
          <w:tab w:leader="none" w:pos="2780" w:val="left"/>
        </w:tabs>
        <w:rPr>
          <w:sz w:val="20"/>
          <w:szCs w:val="20"/>
          <w:color w:val="auto"/>
        </w:rPr>
      </w:pPr>
      <w:r>
        <w:rPr>
          <w:rFonts w:ascii="Arial" w:cs="Arial" w:eastAsia="Arial" w:hAnsi="Arial"/>
          <w:sz w:val="18"/>
          <w:szCs w:val="18"/>
          <w:color w:val="auto"/>
        </w:rPr>
        <w:t>Photo Punch</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Requires employees to capture a photo at the time of punch which can be reviewed</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by managers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Benefits</w:t>
      </w:r>
    </w:p>
    <w:p>
      <w:pPr>
        <w:spacing w:after="0" w:line="131"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Paylocity’s Benefits modules provide benefit management solutions that integrate with insurance carrier systems to provide automated administrative processes allowing users to choose benefit elections and make life event changes online, summarize benefit elections and perform other similar benefit-related tasks. These modules support advanced functionality such as premium reconciliation, management of voluntary benefits and advanced reporting, while seamlessly integrating with Paylocity’s Payroll solution to provide for a fully automated benefit experience. Key features of Benefits include the following:</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40" w:type="dxa"/>
            <w:vAlign w:val="bottom"/>
            <w:gridSpan w:val="2"/>
          </w:tcPr>
          <w:p>
            <w:pPr>
              <w:ind w:left="900"/>
              <w:spacing w:after="0"/>
              <w:rPr>
                <w:sz w:val="20"/>
                <w:szCs w:val="20"/>
                <w:color w:val="auto"/>
              </w:rPr>
            </w:pPr>
            <w:r>
              <w:rPr>
                <w:rFonts w:ascii="Arial" w:cs="Arial" w:eastAsia="Arial" w:hAnsi="Arial"/>
                <w:sz w:val="18"/>
                <w:szCs w:val="18"/>
                <w:b w:val="1"/>
                <w:bCs w:val="1"/>
                <w:color w:val="auto"/>
              </w:rPr>
              <w:t>Feature</w:t>
            </w:r>
          </w:p>
        </w:tc>
        <w:tc>
          <w:tcPr>
            <w:tcW w:w="6340" w:type="dxa"/>
            <w:vAlign w:val="bottom"/>
          </w:tcPr>
          <w:p>
            <w:pPr>
              <w:ind w:left="266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4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Employee Enrollment</w:t>
            </w:r>
          </w:p>
        </w:tc>
        <w:tc>
          <w:tcPr>
            <w:tcW w:w="40" w:type="dxa"/>
            <w:vAlign w:val="bottom"/>
          </w:tcPr>
          <w:p>
            <w:pPr>
              <w:spacing w:after="0"/>
              <w:rPr>
                <w:sz w:val="16"/>
                <w:szCs w:val="16"/>
                <w:color w:val="auto"/>
              </w:rPr>
            </w:pPr>
          </w:p>
        </w:tc>
        <w:tc>
          <w:tcPr>
            <w:tcW w:w="6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Easy to follow and customizable enrollment process for employees</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93"/>
              </w:rPr>
              <w:t>●   Support for annual enrollment as well as the ability to manage changes to benefits</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due to life events</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Easy access to view benefit elections</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Allows modeling of payroll deductions and changes for life events to enable</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employees to make educated benefit decisions</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Customizable enrollment portal content (text, links, documents, logos)</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Administrative Efficiency</w:t>
            </w:r>
          </w:p>
        </w:tc>
        <w:tc>
          <w:tcPr>
            <w:tcW w:w="6340" w:type="dxa"/>
            <w:vAlign w:val="bottom"/>
          </w:tcPr>
          <w:p>
            <w:pPr>
              <w:spacing w:after="0"/>
              <w:rPr>
                <w:sz w:val="20"/>
                <w:szCs w:val="20"/>
                <w:color w:val="auto"/>
              </w:rPr>
            </w:pPr>
            <w:r>
              <w:rPr>
                <w:rFonts w:ascii="Arial" w:cs="Arial" w:eastAsia="Arial" w:hAnsi="Arial"/>
                <w:sz w:val="18"/>
                <w:szCs w:val="18"/>
                <w:color w:val="auto"/>
                <w:w w:val="93"/>
              </w:rPr>
              <w:t>●   Can develop e</w:t>
            </w:r>
            <w:r>
              <w:rPr>
                <w:rFonts w:ascii="Arial" w:cs="Arial" w:eastAsia="Arial" w:hAnsi="Arial"/>
                <w:sz w:val="18"/>
                <w:szCs w:val="18"/>
                <w:color w:val="111111"/>
                <w:w w:val="93"/>
              </w:rPr>
              <w:t>nrollment reminders through announcements, enrollment rules, and</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111111"/>
              </w:rPr>
              <w:t>eligibility groups</w:t>
            </w:r>
          </w:p>
        </w:tc>
      </w:tr>
      <w:tr>
        <w:trPr>
          <w:trHeight w:val="216"/>
        </w:trPr>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Reporting on employee enrollment status and enrollment summary</w:t>
            </w:r>
          </w:p>
        </w:tc>
      </w:tr>
      <w:tr>
        <w:trPr>
          <w:trHeight w:val="230"/>
        </w:trPr>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Electronic Data Interchange (EDI) support for insurance carriers</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Third-Party Administrative (TPA) Solutions</w:t>
      </w:r>
    </w:p>
    <w:p>
      <w:pPr>
        <w:spacing w:after="0" w:line="225"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Paylocity’s TPA solutions are designed to modernize the administration of Health Savings Account (HSA), Flexible Spending Account (FSA), Health Reimbursement Arrangement (HRA), Transportation Management Account (TMA) and Premium Only Plan (POP) benefits by providing users with a single, unified access point for payroll, HR, and benefits administration. Our TPA solutions includes mobile and web access, allowing users to see transaction details and account balances, while having the ability to submit claims from our integrated employee portal. It also eases the administration of Consolidated Omnibus Budget Reconciliation Act (COBRA) coverage and retiree billing.</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Client Support Teams</w:t>
      </w:r>
    </w:p>
    <w:p>
      <w:pPr>
        <w:spacing w:after="0" w:line="229"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We supplement our comprehensive software platform with an integrated implementation and client service organization with deep subject matter expertise. Our core operation consists of various specialists, including implementation teams, account managers, payroll processing and tax service teams. Delivering a positive experience and a high level of support is an essential element of our ability to sell our solutions and retain clients.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Implementation and Training Services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clients today are primarily medium-sized organizations that are typically migrating to our platform from a competitive solution or are adopting their first online payroll and HCM solution. These organizations often have limited internal resources and rely on us to implement their payroll and HCM solutions. We typically implement our product suite within only three to six weeks.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 configurable, easy-to-use products.</w:t>
      </w:r>
    </w:p>
    <w:p>
      <w:pPr>
        <w:spacing w:after="0" w:line="195"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We offer clients the opportunity to utilize on-demand or in-class training designed to provide clients with general knowledge on our solutions. We also host an annual client conference for clients to learn about new products and features and allow clients to provide feedback and learn best practices.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Client Service</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client service model is designed to serve and support the needs of our clients and to build loyalty by developing strong relationships with clients. We strive to achieve high revenue retention, in part, by delivering high-quality service. Our revenue retention was greater than 92% in each of fiscal 2018, 2019 and 2020. Each client is assigned an account management team that serves as the central point of contact for any questions or support needs. We believe this approach enhances client service by providing clients with knowledgeable resources who understand the client’s business,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 industry content and Paylocity product and service information.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Tax and Regulatory Services</w:t>
      </w:r>
    </w:p>
    <w:p>
      <w:pPr>
        <w:spacing w:after="0" w:line="225" w:lineRule="exact"/>
        <w:rPr>
          <w:sz w:val="20"/>
          <w:szCs w:val="20"/>
          <w:color w:val="auto"/>
        </w:rPr>
      </w:pPr>
    </w:p>
    <w:p>
      <w:pPr>
        <w:ind w:left="60" w:right="279" w:firstLine="648"/>
        <w:spacing w:after="0" w:line="272" w:lineRule="auto"/>
        <w:rPr>
          <w:sz w:val="20"/>
          <w:szCs w:val="20"/>
          <w:color w:val="auto"/>
        </w:rPr>
      </w:pPr>
      <w:r>
        <w:rPr>
          <w:rFonts w:ascii="Arial" w:cs="Arial" w:eastAsia="Arial" w:hAnsi="Arial"/>
          <w:sz w:val="17"/>
          <w:szCs w:val="17"/>
          <w:color w:val="auto"/>
        </w:rPr>
        <w:t>Our software contains a rules engine designed to make accurate federal, state, and local tax calculations that is continually updated to support all pertinent legislative changes across U.S. jurisdictions with the support of our tax compliance professionals. Our tax service teams provide a variety of solutions to clients including processing payroll tax deposits, preparing and filing quarterly and annual employment tax returns and amendments and resolving client employment tax notices. Our tax filing and compliance departments perform multiple audits to ensure that clients remit timely and accurate tax payments. In addition, a series of audit routines are run to ensure that quarterly tax filings are accurate and submitted on a timely basis.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Excluding clients acquired through acquisitions, as of June 30, 2020, we provided our payroll and HCM software solutions to approximately 24,450 clients, all located in the U.S. The rate at which we add clients is variable period-to-period and is also seasonal as many clients switch solutions during the first calendar quarter of each year. Clients include for-profit and non-profit organizations across industries including business services, financial services, healthcare, manufacturing, restaurants, retail, technology and others. For each of the three years ended June 30, 2018, 2019 and 2020, no client accounted for more than 1% of our revenues.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87"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The sales cycle begins with a sales lead generated by the sales representative, through our third-party referral network, a client referral, our telemarketing team, our external website, e-mail marketing, or other territory-based activities. We support our sales force with a marketing program that includes seminars and webinars, email marketing, social media marketing, broker events and web marketing.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Referral Network</w:t>
      </w:r>
    </w:p>
    <w:p>
      <w:pPr>
        <w:spacing w:after="0" w:line="229"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2020, more than 25% of our new client revenue originated by referrals from participants in our referral network.</w:t>
      </w:r>
    </w:p>
    <w:p>
      <w:pPr>
        <w:spacing w:after="0" w:line="188"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We believe participants in our referral network refer potential clients to us because of the strength of our products and services, the value we provide our referral partners through our broker portal, the fact that we do not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provide services that compete with our referral networks, and because we offer third parties the ability to integrate their systems with our platform. Unlike other payroll and HCM solution providers who also provide retirement plans, health insurance and other products and services competitive with the offerings of the participants in our referral network, we focus only on our core business of providing payroll and HCM solutions. In some cases, we have formalized relationships in which we are a recommended vendor of these participants. In other cases, relationships are informal. We typically do not compensate these participants for referrals.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Partner Ecosystem</w:t>
      </w:r>
    </w:p>
    <w:p>
      <w:pPr>
        <w:spacing w:after="0" w:line="229"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in order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w:t>
      </w:r>
    </w:p>
    <w:p>
      <w:pPr>
        <w:spacing w:after="0" w:line="16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 payroll and HCM provider differentiates partners’ product offerings, strengthening their competitive positioning in their own markets.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We offer our solutions on a cloud-based platform that leverages a unified architecture and a common code base that we organically developed. Clients do not need to install our software in their data centers and can access our solutions through any mobile device or web browser with Internet access.</w:t>
      </w:r>
    </w:p>
    <w:p>
      <w:pPr>
        <w:spacing w:after="0" w:line="184" w:lineRule="exact"/>
        <w:rPr>
          <w:sz w:val="20"/>
          <w:szCs w:val="20"/>
          <w:color w:val="auto"/>
        </w:rPr>
      </w:pPr>
    </w:p>
    <w:p>
      <w:pPr>
        <w:jc w:val="both"/>
        <w:ind w:left="1380" w:right="219" w:hanging="331"/>
        <w:spacing w:after="0" w:line="286" w:lineRule="auto"/>
        <w:tabs>
          <w:tab w:leader="none" w:pos="13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Multi-Tenant Architecture. </w:t>
      </w:r>
      <w:r>
        <w:rPr>
          <w:rFonts w:ascii="Arial" w:cs="Arial" w:eastAsia="Arial" w:hAnsi="Arial"/>
          <w:sz w:val="17"/>
          <w:szCs w:val="17"/>
          <w:color w:val="auto"/>
        </w:rPr>
        <w:t>Our software solutions were designed with a multi-tenant architecture. This</w:t>
      </w:r>
      <w:r>
        <w:rPr>
          <w:rFonts w:ascii="Arial" w:cs="Arial" w:eastAsia="Arial" w:hAnsi="Arial"/>
          <w:sz w:val="17"/>
          <w:szCs w:val="17"/>
          <w:i w:val="1"/>
          <w:iCs w:val="1"/>
          <w:color w:val="auto"/>
        </w:rPr>
        <w:t xml:space="preserve"> </w:t>
      </w:r>
      <w:r>
        <w:rPr>
          <w:rFonts w:ascii="Arial" w:cs="Arial" w:eastAsia="Arial" w:hAnsi="Arial"/>
          <w:sz w:val="17"/>
          <w:szCs w:val="17"/>
          <w:color w:val="auto"/>
        </w:rPr>
        <w:t>architecture gives us an advantage over many disparate traditional systems, which are less flexible and require longer and more costly development and upgrade cycles.</w:t>
      </w:r>
    </w:p>
    <w:p>
      <w:pPr>
        <w:spacing w:after="0" w:line="165" w:lineRule="exact"/>
        <w:rPr>
          <w:rFonts w:ascii="Arial" w:cs="Arial" w:eastAsia="Arial" w:hAnsi="Arial"/>
          <w:sz w:val="17"/>
          <w:szCs w:val="17"/>
          <w:color w:val="auto"/>
        </w:rPr>
      </w:pPr>
    </w:p>
    <w:p>
      <w:pPr>
        <w:ind w:left="1380" w:right="119" w:hanging="331"/>
        <w:spacing w:after="0" w:line="255"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Mobile Focused. </w:t>
      </w:r>
      <w:r>
        <w:rPr>
          <w:rFonts w:ascii="Arial" w:cs="Arial" w:eastAsia="Arial" w:hAnsi="Arial"/>
          <w:sz w:val="18"/>
          <w:szCs w:val="18"/>
          <w:color w:val="auto"/>
        </w:rPr>
        <w:t>We employ mobile-centric principles in our solution design and development.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the increasing mobility of employees heightens the importance of access to our solutions through mobile devices, including smart phones and tablets. Our mobile experience provides our clients and their employees with access to our solutions through virtually any device having Internet access. We bring the flexibility of a secure, cloud-based solution to users without the need to access a traditional desktop or laptop computer.</w:t>
      </w:r>
    </w:p>
    <w:p>
      <w:pPr>
        <w:spacing w:after="0" w:line="192" w:lineRule="exact"/>
        <w:rPr>
          <w:rFonts w:ascii="Arial" w:cs="Arial" w:eastAsia="Arial" w:hAnsi="Arial"/>
          <w:sz w:val="18"/>
          <w:szCs w:val="18"/>
          <w:color w:val="auto"/>
        </w:rPr>
      </w:pPr>
    </w:p>
    <w:p>
      <w:pPr>
        <w:ind w:left="1380" w:right="139" w:hanging="331"/>
        <w:spacing w:after="0" w:line="273" w:lineRule="auto"/>
        <w:tabs>
          <w:tab w:leader="none" w:pos="13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Security. </w:t>
      </w:r>
      <w:r>
        <w:rPr>
          <w:rFonts w:ascii="Arial" w:cs="Arial" w:eastAsia="Arial" w:hAnsi="Arial"/>
          <w:sz w:val="17"/>
          <w:szCs w:val="17"/>
          <w:color w:val="auto"/>
        </w:rPr>
        <w:t>We maintain comprehensive security programs designed to ensure the security and integrity of</w:t>
      </w:r>
      <w:r>
        <w:rPr>
          <w:rFonts w:ascii="Arial" w:cs="Arial" w:eastAsia="Arial" w:hAnsi="Arial"/>
          <w:sz w:val="17"/>
          <w:szCs w:val="17"/>
          <w:i w:val="1"/>
          <w:iCs w:val="1"/>
          <w:color w:val="auto"/>
        </w:rPr>
        <w:t xml:space="preserve"> </w:t>
      </w:r>
      <w:r>
        <w:rPr>
          <w:rFonts w:ascii="Arial" w:cs="Arial" w:eastAsia="Arial" w:hAnsi="Arial"/>
          <w:sz w:val="17"/>
          <w:szCs w:val="17"/>
          <w:color w:val="auto"/>
        </w:rPr>
        <w:t>client and employee data, protect 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178"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We host our solutions at a third-party facility in Illinois and utilize another third-party facility in Wisconsin for backup and disaster recovery. We supply the hardware infrastructure and are responsible for the ongoing maintenance of our equipment at all data center locations.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The market for payroll and HCM solutions is both fragmented and highly competitive. Our competitors vary for each of our solutions and primarily include payroll and HR service and software providers, such as Automatic Data Processing, Inc., Paychex, Inc., Paycom Software, Inc., Paycor, Inc., Ultimate Software Group, Inc. and other local and regional providers.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the principal competitive factors on which we compete in our market include the following:</w:t>
      </w:r>
    </w:p>
    <w:p>
      <w:pPr>
        <w:spacing w:after="0" w:line="225" w:lineRule="exact"/>
        <w:rPr>
          <w:sz w:val="20"/>
          <w:szCs w:val="20"/>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 on medium-sized organizations;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Comprehensive payroll and HCM product suite on a single platform;</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Configurability and ease of use of our solutions;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Modern, mobile, intuitive and consumer-oriented user experience;</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Benefits of a cloud-based technology platform;</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innovate and respond to client needs rapidly;</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Domain expertise in payroll and HCM;</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of implementation and client service;</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implementation;</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Real-time web-based payroll processing;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a wide variety of complementary third-party service providers.</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We believe that we compete favorably on these factors within the medium-sized organization market. We believe our ability to remain competitive will largely depend on the success of our continued investment in sales and marketing, research and development and implementation and client services.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invest heavily in research and development to continuously introduce new modules, technologies, features and functionality. We are organized in small product-centric teams that utilize an agile development methodology. We focus our efforts on developing new modules and core technologies and on further enhancing the usability, functionality, reliability, performance and flexibility of existing modules.</w:t>
      </w:r>
    </w:p>
    <w:p>
      <w:pPr>
        <w:spacing w:after="0" w:line="187"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Research and development costs, including research and development costs that were capitalized, were $55.7 million, $73.6 million and $91.0 million for the years ended June 30, 2018, 2019 and 2020, respectively. Our research and development personnel are principally located at our headquarters, although we seek to hire highly experienced personnel wherever they are located.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more essential to establishing and maintaining our technology leadership position.</w:t>
      </w:r>
    </w:p>
    <w:p>
      <w:pPr>
        <w:spacing w:after="0" w:line="192"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Despite our efforts to protect our proprietary technology and our intellectual property rights, unauthorized parties may attempt to misappropriate our rights or to copy or obtain and use our proprietary technology to develop applications with the same functionality as our modules. Policing unauthorized use of our technology and intellectual property rights is very difficult.</w:t>
      </w:r>
    </w:p>
    <w:p>
      <w:pPr>
        <w:spacing w:after="0" w:line="187"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We expect that providers of payroll and HCM solutions such as ours may be subject to third-party infringement claims as the market and the number of competitors grows, and the functionality of applications in different industry segments overlaps. Any of these or other third parties might make a claim of infringement against us at any time.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As of June 30, 2020, we had approximately 3,600 employees, substantially all of which were employed on a full-time basis. None of our employees are represented by a union or are a party to a collective bargaining agreement, and we have not experienced any work stoppages. We believe we have good relations with our employees and that our employee-focused culture benefits our clients and supports our growth. Our management team has remained committed to maintaining and improving our culture even as we grow rapidly, which is evidenced by our consistent receipt of top rankings from our employees as a great place to work in all of our office locations.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159" w:firstLine="648"/>
        <w:spacing w:after="0" w:line="275"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which may cause the value of our common stock to decline substantially.</w:t>
      </w:r>
    </w:p>
    <w:p>
      <w:pPr>
        <w:spacing w:after="0" w:line="170"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75" w:lineRule="auto"/>
        <w:rPr>
          <w:sz w:val="20"/>
          <w:szCs w:val="20"/>
          <w:color w:val="auto"/>
        </w:rPr>
      </w:pPr>
      <w:r>
        <w:rPr>
          <w:rFonts w:ascii="Arial" w:cs="Arial" w:eastAsia="Arial" w:hAnsi="Arial"/>
          <w:sz w:val="17"/>
          <w:szCs w:val="17"/>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76"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80" w:right="99" w:hanging="331"/>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duration and impacts of the coronavirus disease (“COVID-19”) on our business, our clients and our partners and markets generally;</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80" w:right="579" w:hanging="331"/>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Competitive pressures and the introduction of enhanced products and services from competitors;</w:t>
      </w:r>
    </w:p>
    <w:p>
      <w:pPr>
        <w:spacing w:after="0" w:line="236" w:lineRule="exact"/>
        <w:rPr>
          <w:rFonts w:ascii="Arial" w:cs="Arial" w:eastAsia="Arial" w:hAnsi="Arial"/>
          <w:sz w:val="17"/>
          <w:szCs w:val="17"/>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80" w:right="539" w:hanging="331"/>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repeal of or changes to the laws and regulations related to the products and services which we offer;</w:t>
      </w:r>
    </w:p>
    <w:p>
      <w:pPr>
        <w:spacing w:after="0" w:line="248" w:lineRule="exact"/>
        <w:rPr>
          <w:rFonts w:ascii="Arial" w:cs="Arial" w:eastAsia="Arial" w:hAnsi="Arial"/>
          <w:sz w:val="16"/>
          <w:szCs w:val="16"/>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In fiscal 2018, the Company also began entering into term agreements, which are generally two years in length. If a significant number of clients elected to terminate their agreements with us, our operating results and our business would be adversely affected.</w:t>
      </w:r>
    </w:p>
    <w:p>
      <w:pPr>
        <w:spacing w:after="0" w:line="187"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margins and could cause significant changes in our operating results from period to period. If this occurs, the trading price of our common stock could fall substantially, either suddenly or over time.</w:t>
      </w:r>
    </w:p>
    <w:p>
      <w:pPr>
        <w:spacing w:after="0" w:line="170"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have been, and will continue to be, adversely impacted by the uncertainties and consequences stemming from the COVID-19 pandemic.</w:t>
      </w:r>
    </w:p>
    <w:p>
      <w:pPr>
        <w:spacing w:after="0" w:line="170"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The spread of COVID-19 is causing significant economic and individual uncertainty and disruption across the country and world. In response, we have taken a number of actions including transitioning nearly all of our employees across our offices (including our corporate headquarters) to remote work-from-home arrangements and imposing travel and related restrictions. We believe these actions were reasonable and necessary as a result of the COVID-19 pandemic, and we may have to take additional actions in the future. Given the continued spread of COVID-19 and the resultant personal, economic and governmental reactions, we may experience in the future further negative impact on our business and financial performance related to COVID-19.</w:t>
      </w:r>
    </w:p>
    <w:p>
      <w:pPr>
        <w:spacing w:after="0" w:line="177"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Many of our clients have also been unfavorably impacted by the COVID-19 pandemic, which is outside of our control. For example, many cities, counties and states across the country have previously imposed and may continue to impose a wide range of stay-at-home, business closure and other restrictive orders that impact our clients. Many of our clients' businesses have been impacted by these stay-at-home, business closure and other restrictive orders and some have reduced employee headcount as a result. If a significant number of our clients are unable to continue as viable businesses or otherwise are required to further reduce headcount, or we experience longer sales cycles, reduced demand for our solutions, clients failing to pay us under the terms of our agreements, lower renewal rates by our clients and increased competition, such factors could have an adverse impact on our business and financial condition. If the COVID-19 pandemic has a prolonged substantial impact on our employees, partners or clients, our results of operations and overall financial performance may be unfavorably impacted.</w:t>
      </w:r>
    </w:p>
    <w:p>
      <w:pPr>
        <w:spacing w:after="0" w:line="185"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Our business depends on the overall demand for payroll and HCM software and services, and on the economic health of our current and prospective clients. The impacts of the COVID-19 pandemic on our business, clients, partners, employees, markets and financial results and condition are uncertain, evolving and dependent on numerous unpredictable factors outside of our control, including:</w:t>
      </w:r>
    </w:p>
    <w:p>
      <w:pPr>
        <w:spacing w:after="0" w:line="187" w:lineRule="exact"/>
        <w:rPr>
          <w:sz w:val="20"/>
          <w:szCs w:val="20"/>
          <w:color w:val="auto"/>
        </w:rPr>
      </w:pPr>
    </w:p>
    <w:p>
      <w:pPr>
        <w:ind w:left="1380" w:right="959" w:hanging="331"/>
        <w:spacing w:after="0" w:line="308"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spread, duration and severity of the pandemic as a public health matter and its impact on governments, businesses, society, our clients, our partners and our business;</w:t>
      </w:r>
    </w:p>
    <w:p>
      <w:pPr>
        <w:spacing w:after="0" w:line="146" w:lineRule="exact"/>
        <w:rPr>
          <w:rFonts w:ascii="Arial" w:cs="Arial" w:eastAsia="Arial" w:hAnsi="Arial"/>
          <w:sz w:val="17"/>
          <w:szCs w:val="17"/>
          <w:color w:val="auto"/>
        </w:rPr>
      </w:pPr>
    </w:p>
    <w:p>
      <w:pPr>
        <w:ind w:left="1380" w:right="139" w:hanging="331"/>
        <w:spacing w:after="0" w:line="277"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measures being taken by governments, businesses and society in response to the pandemic and their effectiveness;</w:t>
      </w:r>
    </w:p>
    <w:p>
      <w:pPr>
        <w:spacing w:after="0" w:line="170" w:lineRule="exact"/>
        <w:rPr>
          <w:rFonts w:ascii="Arial" w:cs="Arial" w:eastAsia="Arial" w:hAnsi="Arial"/>
          <w:sz w:val="18"/>
          <w:szCs w:val="18"/>
          <w:color w:val="auto"/>
        </w:rPr>
      </w:pPr>
    </w:p>
    <w:p>
      <w:pPr>
        <w:jc w:val="both"/>
        <w:ind w:left="1380" w:right="339" w:hanging="331"/>
        <w:spacing w:after="0" w:line="263"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and effectiveness of fiscal and monetary stimulus programs (such as the Payroll Protection Program) and other legislative and regulatory measures being implemented by federal, state and local governments;</w:t>
      </w:r>
    </w:p>
    <w:p>
      <w:pPr>
        <w:spacing w:after="0" w:line="183" w:lineRule="exact"/>
        <w:rPr>
          <w:rFonts w:ascii="Arial" w:cs="Arial" w:eastAsia="Arial" w:hAnsi="Arial"/>
          <w:sz w:val="18"/>
          <w:szCs w:val="18"/>
          <w:color w:val="auto"/>
        </w:rPr>
      </w:pPr>
    </w:p>
    <w:p>
      <w:pPr>
        <w:ind w:left="1380" w:right="179" w:hanging="331"/>
        <w:spacing w:after="0" w:line="277"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and impact of shelter-in-place, business closure and other restrictive orders throughout the country;</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business failures among our clients and other businesses;</w:t>
      </w:r>
    </w:p>
    <w:p>
      <w:pPr>
        <w:spacing w:after="0" w:line="225" w:lineRule="exact"/>
        <w:rPr>
          <w:rFonts w:ascii="Arial" w:cs="Arial" w:eastAsia="Arial" w:hAnsi="Arial"/>
          <w:sz w:val="18"/>
          <w:szCs w:val="18"/>
          <w:color w:val="auto"/>
        </w:rPr>
      </w:pPr>
    </w:p>
    <w:p>
      <w:pPr>
        <w:ind w:left="1380" w:right="399" w:hanging="331"/>
        <w:spacing w:after="0" w:line="277"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pace and extent to which our clients and other businesses reduce their number of employees and other compensated individuals;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current and prospective clients to invest in our products and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color w:val="auto"/>
        </w:rPr>
        <w:t>Any of these factors may impact our business unfavorably. Even after the COVID-19 pandemic has subsided, we may continue to experience adverse impacts to our business as a result of its global economic impact, including any recession, economic downturn, or increased unemployment that has occurred or may occur in the future.</w:t>
      </w:r>
    </w:p>
    <w:p>
      <w:pPr>
        <w:spacing w:after="0" w:line="16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70"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 In addition, our revenue growth rates may decline in future periods as a result of various factors, including our failure to manage our growth effectively, our increased market penetration and the maturation of our business, slowing demand for our services, reductions in the number of employees by our clients, reductions in the number of our clients, public health issues such as the COVID-19 pandemic and a decrease in the growth of the overall market, among other factors.</w:t>
      </w:r>
    </w:p>
    <w:p>
      <w:pPr>
        <w:spacing w:after="0" w:line="171"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primarily include payroll and HR service and software providers, such as Automatic Data Processing, Inc., Paychex, Inc., Paycom Software, Inc., Paycor, Inc., Ultimate Software Group, Inc. and other local and regional providers.</w:t>
      </w:r>
    </w:p>
    <w:p>
      <w:pPr>
        <w:spacing w:after="0" w:line="18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which may include price concessions, delayed payment terms, or other terms and conditions that are more enticing to potential clients.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92"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6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The market for our solutions is characterized by rapid technological advancements, changes in client requirements, frequent new product introductions and enhancements and changing industry standards. The life cycles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our products are difficult to estimate. Rapid technological changes and the introduction of new products and enhancements by new or existing competitors could undermine our current market position.</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2"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5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95"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4"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6"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00"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We have experienced significant growth in the number of users, transactions and data that our operations infrastructure supports. We seek to maintain sufficient excess capacity in our data centers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modules.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77" w:lineRule="exact"/>
        <w:rPr>
          <w:sz w:val="20"/>
          <w:szCs w:val="20"/>
          <w:color w:val="auto"/>
        </w:rPr>
      </w:pPr>
    </w:p>
    <w:p>
      <w:pPr>
        <w:ind w:left="1380" w:right="199" w:hanging="331"/>
        <w:spacing w:after="0" w:line="277"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from fire, power loss, natural disasters, pandemics such as COVID-19 and other force majeure events outside our control;</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80" w:right="279" w:hanging="331"/>
        <w:spacing w:after="0" w:line="277"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breaches, computer viruses, hacking, worms, malware, ransomware, denial-of-service attacks and similar disruptive problems;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6"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Furthermore, our payroll module is essential to our clients’ timely payment of wages to their employees. Any interruption in our service may affect the availability, accuracy or timeliness of these programs and could damage our reputation, cause our clients to terminate their use of our software,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 Problems faced by our data center locations (such as a hardware or other supply chain disruption resulting from the COVID-19 pandemic),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modules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7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4"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payroll and HCM modules.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175" w:lineRule="exact"/>
        <w:rPr>
          <w:sz w:val="20"/>
          <w:szCs w:val="20"/>
          <w:color w:val="auto"/>
        </w:rPr>
      </w:pPr>
    </w:p>
    <w:p>
      <w:pPr>
        <w:ind w:left="60" w:right="319" w:firstLine="648"/>
        <w:spacing w:after="0" w:line="311" w:lineRule="auto"/>
        <w:rPr>
          <w:sz w:val="20"/>
          <w:szCs w:val="20"/>
          <w:color w:val="auto"/>
        </w:rPr>
      </w:pPr>
      <w:r>
        <w:rPr>
          <w:rFonts w:ascii="Arial" w:cs="Arial" w:eastAsia="Arial" w:hAnsi="Arial"/>
          <w:sz w:val="16"/>
          <w:szCs w:val="16"/>
          <w:color w:val="auto"/>
        </w:rPr>
        <w:t>Additionally, there is an increased risk that we may experience cybersecurity-related events such as COVID-19 themed phishing attacks and other security challenges as a result of most of our employees and our service providers working remotely from non-corporate managed networks during the ongoing COVID-19 pandemic.</w:t>
      </w:r>
    </w:p>
    <w:p>
      <w:pPr>
        <w:spacing w:after="0" w:line="14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6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recognize the majority of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8"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We recognize our expenses over varying periods based on the nature of the expense. When a client terminates its relationship with us, we may not have derived enough revenue from that client to cover associated implementation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costs. Our expenses fluctuate as a percentage of revenue, and changes in our business generally may not be immediately reflected in our results of operations.</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requires significant time, expense and attention. The amount of time it takes for our sales representatives to be fully 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jc w:val="both"/>
        <w:ind w:left="60" w:right="119" w:firstLine="648"/>
        <w:spacing w:after="0" w:line="301" w:lineRule="auto"/>
        <w:rPr>
          <w:sz w:val="20"/>
          <w:szCs w:val="20"/>
          <w:color w:val="auto"/>
        </w:rPr>
      </w:pPr>
      <w:r>
        <w:rPr>
          <w:rFonts w:ascii="Arial" w:cs="Arial" w:eastAsia="Arial" w:hAnsi="Arial"/>
          <w:sz w:val="16"/>
          <w:szCs w:val="16"/>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5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more than 25% of our new sales in fiscal 2020 were referred to us from our referral network participants. In most cases, our relationships with referral network participants are informal, although in some cases, we have formalized relationships where we are a recommended vendor for their clients.</w:t>
      </w:r>
    </w:p>
    <w:p>
      <w:pPr>
        <w:spacing w:after="0" w:line="161"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8"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57"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modules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public health issues such as COVID-19, security or privacy concerns, competing technologies and products, decreases in corporate spending or otherwise, it could result in a loss of clients, decreased revenues and an adverse impact on our business.</w:t>
      </w:r>
    </w:p>
    <w:p>
      <w:pPr>
        <w:spacing w:after="0" w:line="192"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2020 we processed over $158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negatively impacted by disruptions in the operations of third-party providers.</w:t>
      </w:r>
    </w:p>
    <w:p>
      <w:pPr>
        <w:spacing w:after="0" w:line="225"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We rely on third-party couriers such as the United Parcel Service, or UPS, to ship printed checks to our clients, and any disruptions in their operations that impact their ability to successfully perform their tasks may negatively impact our business.</w:t>
      </w:r>
    </w:p>
    <w:p>
      <w:pPr>
        <w:spacing w:after="0" w:line="184"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also currently have agreements with eleven banks to execute ACH and wire transfers to support our client payroll, benefit and tax services. The global economic slowdown resulting from the COVID-19 pandemic could also adversely impact the businesses of our third-party providers, impacting their ability to provide the services on which we rely.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business.</w:t>
      </w:r>
    </w:p>
    <w:p>
      <w:pPr>
        <w:spacing w:after="0" w:line="1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including product development and other technical persons, could adversely affect our business.</w:t>
      </w:r>
    </w:p>
    <w:p>
      <w:pPr>
        <w:spacing w:after="0" w:line="184"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(including as a result of COVID-19) could have an adverse effect on our business.</w:t>
      </w:r>
    </w:p>
    <w:p>
      <w:pPr>
        <w:spacing w:after="0" w:line="178" w:lineRule="exact"/>
        <w:rPr>
          <w:sz w:val="20"/>
          <w:szCs w:val="20"/>
          <w:color w:val="auto"/>
        </w:rPr>
      </w:pPr>
    </w:p>
    <w:p>
      <w:pPr>
        <w:ind w:left="60" w:right="479" w:firstLine="648"/>
        <w:spacing w:after="0" w:line="342" w:lineRule="auto"/>
        <w:rPr>
          <w:sz w:val="20"/>
          <w:szCs w:val="20"/>
          <w:color w:val="auto"/>
        </w:rPr>
      </w:pPr>
      <w:r>
        <w:rPr>
          <w:rFonts w:ascii="Arial" w:cs="Arial" w:eastAsia="Arial" w:hAnsi="Arial"/>
          <w:sz w:val="16"/>
          <w:szCs w:val="16"/>
          <w:color w:val="auto"/>
        </w:rPr>
        <w:t>We believe that to grow our business and be successful, we must continue to develop products that are technologically advanced, are highly integrable with third-party services, provide significant mobility capabilities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65"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b w:val="1"/>
          <w:bCs w:val="1"/>
          <w:i w:val="1"/>
          <w:iCs w:val="1"/>
          <w:color w:val="auto"/>
        </w:rPr>
        <w:t>Certain of our debt agreements contain covenants that may constrain the operation of our business, and our failure to comply with these covenants could have a material adverse effect on our financial condition</w:t>
      </w:r>
      <w:r>
        <w:rPr>
          <w:rFonts w:ascii="Arial" w:cs="Arial" w:eastAsia="Arial" w:hAnsi="Arial"/>
          <w:sz w:val="17"/>
          <w:szCs w:val="17"/>
          <w:color w:val="auto"/>
        </w:rPr>
        <w:t>.</w:t>
      </w:r>
    </w:p>
    <w:p>
      <w:pPr>
        <w:spacing w:after="0" w:line="146"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five-year revolving credit agreement that we entered into in July 2019 contains restrictive covenants including restrictions regarding the incurrence of liens and indebtedness, substantial changes in the general nature of our business and our subsidiaries (taken as a whole), certain merger transactions, certain sales of assets and other matters, all subject to certain exceptions. Failure to comply with these covenants could have a negative impact on our business and financial condition.</w:t>
      </w:r>
    </w:p>
    <w:p>
      <w:pPr>
        <w:spacing w:after="0" w:line="188"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66"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modules and adversely affect our business.</w:t>
      </w:r>
    </w:p>
    <w:p>
      <w:pPr>
        <w:spacing w:after="0" w:line="170"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 of compliance with, and other burdens imposed by, such laws and regulations that are applicable to our clients’ businesses may limit the use and adoption of our modules and reduce overall demand, or lead to significant fines, penalties or liabilities for any noncompliance with such privacy laws. Even the perception of privacy concerns, whether or not valid, may inhibit market adoption of our solutions.</w:t>
      </w:r>
    </w:p>
    <w:p>
      <w:pPr>
        <w:spacing w:after="0" w:line="181" w:lineRule="exact"/>
        <w:rPr>
          <w:sz w:val="20"/>
          <w:szCs w:val="20"/>
          <w:color w:val="auto"/>
        </w:rPr>
      </w:pPr>
    </w:p>
    <w:p>
      <w:pPr>
        <w:ind w:left="60" w:right="199" w:firstLine="648"/>
        <w:spacing w:after="0" w:line="287" w:lineRule="auto"/>
        <w:rPr>
          <w:sz w:val="20"/>
          <w:szCs w:val="20"/>
          <w:color w:val="auto"/>
        </w:rPr>
      </w:pPr>
      <w:r>
        <w:rPr>
          <w:rFonts w:ascii="Arial" w:cs="Arial" w:eastAsia="Arial" w:hAnsi="Arial"/>
          <w:sz w:val="16"/>
          <w:szCs w:val="16"/>
          <w:color w:val="auto"/>
        </w:rPr>
        <w:t>Additionally, we expect that existing laws, regulations, and standards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Paylocity and our clients. For example, in 2016, the European Union (“EU”) and United States agreed to a framework for data transferred from the EU to the United States, called the Privacy Shield, but this new framework has been challenged by private parties and may face additional challenges by national regulators or additional private parties. Additionally, in 2016 the EU adopted a new regulation governing data privacy called the General Data Protection Regulation (“GDPR”), which became effective in May 2018. The GDPR establishes new requirements applicable to the handling of personal data and imposes penalties for non-compliance of up to 4% of worldwide revenue. California also enacted legislation, the California Consumer Privacy Act of 2018 (“CCPA”), effective as of January 1, 2020, that affords California residents expanded privacy protections and a private right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action for security breaches affecting their personal information. While California legislators amended the CCPA and the California Attorney General released draft implementing regulations for public comment, there remains uncertainty in how the CCPA will be interpreted and enforced, and privacy advocates are calling for changes to the law through a voter ballot initiative and additional amendments to the CCPA. In addition, the Illinois Biometric Information Privacy Act regulates the collection, use, safeguarding and storage of “biometric identifiers” or “biometric information” by private entities, and provides a private right of action of persons who are aggrieved by violations of the regulation. 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65"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modules and adversely affect our business.</w:t>
      </w:r>
    </w:p>
    <w:p>
      <w:pPr>
        <w:spacing w:after="0" w:line="18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If third parties we work with violate applicable laws or regulations or our policies, such violations may also put our clients’ content at risk and could in turn have an adverse effect on our business. Any significant change to applicable laws, regulations, or industry practices regarding the collection, use, retention, security, or disclosure of our clients’ content, or regarding the manner in which the express or implied consent of clients for the collection, use, retention, or disclosure of such content is obtained, could increase our costs and require us to modify our services and features, possibly in a material manner, which we may be unable to complete, and may limit our ability to store and transmit client data or develop new services and features.</w:t>
      </w:r>
    </w:p>
    <w:p>
      <w:pPr>
        <w:spacing w:after="0" w:line="195" w:lineRule="exact"/>
        <w:rPr>
          <w:sz w:val="20"/>
          <w:szCs w:val="20"/>
          <w:color w:val="auto"/>
        </w:rPr>
      </w:pPr>
    </w:p>
    <w:p>
      <w:pPr>
        <w:ind w:left="60" w:right="319"/>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95" w:lineRule="exact"/>
        <w:rPr>
          <w:sz w:val="20"/>
          <w:szCs w:val="20"/>
          <w:color w:val="auto"/>
        </w:rPr>
      </w:pPr>
    </w:p>
    <w:p>
      <w:pPr>
        <w:ind w:left="60" w:right="319" w:firstLine="648"/>
        <w:spacing w:after="0" w:line="275" w:lineRule="auto"/>
        <w:rPr>
          <w:sz w:val="20"/>
          <w:szCs w:val="20"/>
          <w:color w:val="auto"/>
        </w:rPr>
      </w:pPr>
      <w:r>
        <w:rPr>
          <w:rFonts w:ascii="Arial" w:cs="Arial" w:eastAsia="Arial" w:hAnsi="Arial"/>
          <w:sz w:val="17"/>
          <w:szCs w:val="17"/>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7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95" w:lineRule="exact"/>
        <w:rPr>
          <w:sz w:val="20"/>
          <w:szCs w:val="20"/>
          <w:color w:val="auto"/>
        </w:rPr>
      </w:pPr>
    </w:p>
    <w:p>
      <w:pPr>
        <w:ind w:left="60" w:right="279" w:firstLine="648"/>
        <w:spacing w:after="0" w:line="275" w:lineRule="auto"/>
        <w:rPr>
          <w:sz w:val="20"/>
          <w:szCs w:val="20"/>
          <w:color w:val="auto"/>
        </w:rPr>
      </w:pPr>
      <w:r>
        <w:rPr>
          <w:rFonts w:ascii="Arial" w:cs="Arial" w:eastAsia="Arial" w:hAnsi="Arial"/>
          <w:sz w:val="17"/>
          <w:szCs w:val="17"/>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4"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4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as has been, and may continue to be, experienced as a result of the COVID-19 pandemic. Any loss of or inability to access our corporate investments or client funds could have adverse impacts on our business, results of operations, financial condition and liquidity.</w:t>
      </w:r>
    </w:p>
    <w:p>
      <w:pPr>
        <w:spacing w:after="0" w:line="165"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9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1"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modules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74"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9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Our products utilize certain software of third-party software developers.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7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modules and could have a negative impact on our business.</w:t>
      </w:r>
    </w:p>
    <w:p>
      <w:pPr>
        <w:spacing w:after="0" w:line="170"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modules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6"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modules could suffer.</w:t>
      </w:r>
    </w:p>
    <w:p>
      <w:pPr>
        <w:spacing w:after="0" w:line="17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Furthermore, the availability or performance of our modules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modules or otherwise experiences service outages, such failure could interrupt our clients’ access to our solutions, adversely affect their perception of our modules’ reliability and reduce our revenues. In addition to potential liability, if we experience interruptions in the availability of our modules, our reputation could be adversely affected, and we could lose clients.</w:t>
      </w:r>
    </w:p>
    <w:p>
      <w:pPr>
        <w:spacing w:after="0" w:line="17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84"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require changes to the manner in which we conduct some aspects of our business or invest client funds, which could adversely impact interest income from investing client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funds. Should any state or federal regulators make a determination that we have operated as an unlicensed money services business or money transmitter, we could be subject to civil and criminal fines, penalties, costs, legal fees, reputational damage or other negative consequences. In addition, if the Affordable Care Act, or ACA, is repealed or modified in whole or in part, or if implementation of certain aspects of the ACA is delayed, such repeal, modification or delay could adversely impact the revenue we currently generate from our ACA Compliance solution as well as overall gross margins. Any of these regulatory implementations or changes could have an adverse effect on our business, operating results or financial condition.</w:t>
      </w:r>
    </w:p>
    <w:p>
      <w:pPr>
        <w:spacing w:after="0" w:line="195"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7"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4" w:lineRule="exact"/>
        <w:rPr>
          <w:sz w:val="20"/>
          <w:szCs w:val="20"/>
          <w:color w:val="auto"/>
        </w:rPr>
      </w:pPr>
    </w:p>
    <w:p>
      <w:pPr>
        <w:ind w:left="60" w:right="239"/>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0"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49"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In addition, we have limited experience in acquiring other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Difficulty integrating the accounting systems, operations and personnel of the acquired business;</w:t>
      </w:r>
    </w:p>
    <w:p>
      <w:pPr>
        <w:spacing w:after="0" w:line="236" w:lineRule="exact"/>
        <w:rPr>
          <w:rFonts w:ascii="Arial" w:cs="Arial" w:eastAsia="Arial" w:hAnsi="Arial"/>
          <w:sz w:val="17"/>
          <w:szCs w:val="17"/>
          <w:color w:val="auto"/>
        </w:rPr>
      </w:pPr>
    </w:p>
    <w:p>
      <w:pPr>
        <w:ind w:left="1380" w:right="1039" w:hanging="331"/>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19" w:hanging="331"/>
        <w:spacing w:after="0" w:line="342" w:lineRule="auto"/>
        <w:tabs>
          <w:tab w:leader="none" w:pos="1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converting the clients of the acquired business onto our modules and contract terms, including disparities in the revenues, licensing, support or professional services model of the acquired company;</w:t>
      </w:r>
    </w:p>
    <w:p>
      <w:pPr>
        <w:spacing w:after="0" w:line="123" w:lineRule="exact"/>
        <w:rPr>
          <w:rFonts w:ascii="Arial" w:cs="Arial" w:eastAsia="Arial" w:hAnsi="Arial"/>
          <w:sz w:val="16"/>
          <w:szCs w:val="16"/>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80" w:right="139" w:hanging="331"/>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left="60" w:right="499"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jc w:val="both"/>
        <w:ind w:left="60" w:right="479" w:firstLine="648"/>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As of July 31, 2020, our directors, executive officers and holders of more than 5% of our common stock, together with their respective affiliates, beneficially owned, in the aggregate, approximately 32.4%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market price of our common stock has experienced, and may continue to experience, wide fluctuations and increased volatility as a result of the impact of COVID-19 on public markets generally, and on our stock specifically. The extent to which, and for how long, the COVID-19 pandemic may impact the economy, our clients, our business and market price of our common stock are unclear and out of our control. Additional factors that may impact our performance and market price include those discussed elsewhere in this “Risk Factors” section of this Annual Report on Form 10-K and others such as:</w:t>
      </w:r>
    </w:p>
    <w:p>
      <w:pPr>
        <w:spacing w:after="0" w:line="192" w:lineRule="exact"/>
        <w:rPr>
          <w:sz w:val="20"/>
          <w:szCs w:val="20"/>
          <w:color w:val="auto"/>
        </w:rPr>
      </w:pPr>
    </w:p>
    <w:p>
      <w:pPr>
        <w:ind w:left="1380" w:hanging="331"/>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of acquisitions, business plans or commercial relationships;</w:t>
      </w:r>
    </w:p>
    <w:p>
      <w:pPr>
        <w:spacing w:after="0" w:line="248" w:lineRule="exact"/>
        <w:rPr>
          <w:rFonts w:ascii="Arial" w:cs="Arial" w:eastAsia="Arial" w:hAnsi="Arial"/>
          <w:sz w:val="16"/>
          <w:szCs w:val="16"/>
          <w:color w:val="auto"/>
        </w:rPr>
      </w:pPr>
    </w:p>
    <w:p>
      <w:pPr>
        <w:ind w:left="1380" w:hanging="331"/>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80" w:right="239" w:hanging="331"/>
        <w:spacing w:after="0" w:line="308" w:lineRule="auto"/>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25" w:lineRule="exact"/>
        <w:rPr>
          <w:rFonts w:ascii="Arial" w:cs="Arial" w:eastAsia="Arial" w:hAnsi="Arial"/>
          <w:sz w:val="18"/>
          <w:szCs w:val="18"/>
          <w:color w:val="auto"/>
        </w:rPr>
      </w:pPr>
    </w:p>
    <w:p>
      <w:pPr>
        <w:ind w:left="1380" w:right="119" w:hanging="331"/>
        <w:spacing w:after="0" w:line="263"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4" w:lineRule="exact"/>
        <w:rPr>
          <w:sz w:val="20"/>
          <w:szCs w:val="20"/>
          <w:color w:val="auto"/>
        </w:rPr>
      </w:pPr>
    </w:p>
    <w:p>
      <w:pPr>
        <w:ind w:left="60" w:right="339"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by existing stockholders could depress the market price of our common stock.</w:t>
      </w:r>
    </w:p>
    <w:p>
      <w:pPr>
        <w:spacing w:after="0" w:line="170"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As of July 31, 2020, we had an aggregate of 53,813,482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7"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4"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Also, in the future, we may issue additional securities in connection with investments and acquisitions. The amount of our common stock issued in connection with an investment or acquisition could constitute a material portion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6" w:lineRule="auto"/>
        <w:rPr>
          <w:sz w:val="20"/>
          <w:szCs w:val="20"/>
          <w:color w:val="auto"/>
        </w:rPr>
      </w:pPr>
      <w:r>
        <w:rPr>
          <w:rFonts w:ascii="Arial" w:cs="Arial" w:eastAsia="Arial" w:hAnsi="Arial"/>
          <w:sz w:val="17"/>
          <w:szCs w:val="17"/>
          <w:color w:val="auto"/>
        </w:rPr>
        <w:t>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65"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84"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71"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60" w:lineRule="exact"/>
        <w:rPr>
          <w:sz w:val="20"/>
          <w:szCs w:val="20"/>
          <w:color w:val="auto"/>
        </w:rPr>
      </w:pPr>
    </w:p>
    <w:p>
      <w:pPr>
        <w:ind w:left="1380" w:right="139" w:hanging="331"/>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80" w:right="179" w:hanging="331"/>
        <w:spacing w:after="0" w:line="263"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8" w:lineRule="exact"/>
        <w:rPr>
          <w:rFonts w:ascii="Arial" w:cs="Arial" w:eastAsia="Arial" w:hAnsi="Arial"/>
          <w:sz w:val="18"/>
          <w:szCs w:val="18"/>
          <w:color w:val="auto"/>
        </w:rPr>
      </w:pPr>
    </w:p>
    <w:p>
      <w:pPr>
        <w:ind w:left="1380" w:right="139" w:hanging="331"/>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80" w:right="359" w:hanging="331"/>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80" w:right="579" w:hanging="331"/>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24" w:lineRule="exact"/>
        <w:rPr>
          <w:sz w:val="20"/>
          <w:szCs w:val="20"/>
          <w:color w:val="auto"/>
        </w:rPr>
      </w:pPr>
    </w:p>
    <w:p>
      <w:pPr>
        <w:ind w:left="60" w:right="199" w:firstLine="648"/>
        <w:spacing w:after="0" w:line="308" w:lineRule="auto"/>
        <w:rPr>
          <w:sz w:val="20"/>
          <w:szCs w:val="20"/>
          <w:color w:val="auto"/>
        </w:rPr>
      </w:pPr>
      <w:r>
        <w:rPr>
          <w:rFonts w:ascii="Arial" w:cs="Arial" w:eastAsia="Arial" w:hAnsi="Arial"/>
          <w:sz w:val="17"/>
          <w:szCs w:val="17"/>
          <w:color w:val="auto"/>
        </w:rPr>
        <w:t>On February 2, 2016, we amended our bylaws to designate the state and federal courts located within the state of Delaware as the sole and exclusive forums for claims arising derivatively, pursuant to the Delaware General</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As of June 30, 2020, our corporate headquarters occupied approximately 326,000 square feet in Schaumburg, Illinois under leases with final expiration in October 2032. We also utilize office spaces consisting of approximately 92,000 square feet in Lake Mary, Florida and approximately 69,000 square feet in Meridian, Idaho as other major operations centers. We lease other smaller facilities across the U.S. that serve as data centers, sales offices and distribution centers.</w:t>
      </w:r>
    </w:p>
    <w:p>
      <w:pPr>
        <w:spacing w:after="0" w:line="144"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For additional information regarding obligations under operating leases, see Note 12 of the Notes to the Consolidated Financial Statements included in Part II, Item 8: “Financial Statements and Supplementary Data” of this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66"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459"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listed on the NASDAQ Global Select Market under the symbol “PCTY”.</w:t>
      </w:r>
    </w:p>
    <w:p>
      <w:pPr>
        <w:spacing w:after="0" w:line="225" w:lineRule="exact"/>
        <w:rPr>
          <w:sz w:val="20"/>
          <w:szCs w:val="20"/>
          <w:color w:val="auto"/>
        </w:rPr>
      </w:pPr>
    </w:p>
    <w:p>
      <w:pPr>
        <w:ind w:left="60" w:right="339" w:firstLine="648"/>
        <w:spacing w:after="0" w:line="275" w:lineRule="auto"/>
        <w:rPr>
          <w:sz w:val="20"/>
          <w:szCs w:val="20"/>
          <w:color w:val="auto"/>
        </w:rPr>
      </w:pPr>
      <w:r>
        <w:rPr>
          <w:rFonts w:ascii="Arial" w:cs="Arial" w:eastAsia="Arial" w:hAnsi="Arial"/>
          <w:sz w:val="17"/>
          <w:szCs w:val="17"/>
          <w:color w:val="auto"/>
        </w:rPr>
        <w:t>On July 31, 2020, the last reported sale price of our common stock on the NASDAQ Global Select Market was $133.20 per share, and there were 16 holders of record of our common stock. The actual number of holders of common stock is greater than these numbers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188"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Proceeds from Follow-On Offering of Common Stock</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as described in the final prospectus filed with the SEC pursuant to Rule 424(b) on December 12, 2014.</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Proceeds from Secondary Offering of Common Stock</w:t>
      </w:r>
    </w:p>
    <w:p>
      <w:pPr>
        <w:spacing w:after="0" w:line="225"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since our IPO. Neither Delaware law nor our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jc w:val="both"/>
        <w:ind w:left="60" w:right="119" w:firstLine="648"/>
        <w:spacing w:after="0" w:line="286" w:lineRule="auto"/>
        <w:rPr>
          <w:sz w:val="20"/>
          <w:szCs w:val="20"/>
          <w:color w:val="auto"/>
        </w:rPr>
      </w:pPr>
      <w:r>
        <w:rPr>
          <w:rFonts w:ascii="Arial" w:cs="Arial" w:eastAsia="Arial" w:hAnsi="Arial"/>
          <w:sz w:val="17"/>
          <w:szCs w:val="17"/>
          <w:color w:val="auto"/>
        </w:rPr>
        <w:t>Information regarding the securities authorized for issuance under our equity compensation plans will be included in our Proxy Statement relating to our 2021 annual meeting of stockholders to be filed with the SEC within 120 days after the end of our fiscal year ended June 30, 2020, and is incorporated herein by reference.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49"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following graph compares the total cumulative stockholder return on our common stock with the total cumulative return of the S&amp;P 500 Index and the S&amp;P 1500 Application Software Index during the period commencing on June 30, 2015 and ending on June 30, 2020.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111760</wp:posOffset>
            </wp:positionV>
            <wp:extent cx="5486400" cy="3000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Selected Financial Data</w:t>
      </w:r>
    </w:p>
    <w:p>
      <w:pPr>
        <w:spacing w:after="0" w:line="229"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related notes included elsewhere in this Annual Report on Form 10-K and the information under the section titled “Management’s Discussion and Analysis of Financial Condition and Results of Operations.” Our fiscal year ends on June 30. The statements of operations data presented below have been derived from our audited consolidated financial statements. Historical results are not necessarily indicative of future results.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10"/>
          </w:tcPr>
          <w:p>
            <w:pPr>
              <w:jc w:val="center"/>
              <w:ind w:right="7"/>
              <w:spacing w:after="0"/>
              <w:rPr>
                <w:sz w:val="20"/>
                <w:szCs w:val="20"/>
                <w:color w:val="auto"/>
              </w:rPr>
            </w:pPr>
            <w:r>
              <w:rPr>
                <w:rFonts w:ascii="Arial" w:cs="Arial" w:eastAsia="Arial" w:hAnsi="Arial"/>
                <w:sz w:val="14"/>
                <w:szCs w:val="14"/>
                <w:b w:val="1"/>
                <w:bCs w:val="1"/>
                <w:color w:val="auto"/>
                <w:w w:val="91"/>
              </w:rPr>
              <w:t>Year Ended June 30,</w:t>
            </w: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2016(1)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2017(1)</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1"/>
              <w:spacing w:after="0" w:line="155" w:lineRule="exact"/>
              <w:rPr>
                <w:sz w:val="20"/>
                <w:szCs w:val="20"/>
                <w:color w:val="auto"/>
              </w:rPr>
            </w:pPr>
            <w:r>
              <w:rPr>
                <w:rFonts w:ascii="Arial" w:cs="Arial" w:eastAsia="Arial" w:hAnsi="Arial"/>
                <w:sz w:val="14"/>
                <w:szCs w:val="14"/>
                <w:b w:val="1"/>
                <w:bCs w:val="1"/>
                <w:color w:val="auto"/>
                <w:w w:val="91"/>
              </w:rPr>
              <w:t>2018(1)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2019(1)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13"/>
          </w:tcPr>
          <w:p>
            <w:pPr>
              <w:ind w:left="32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Statements of Operations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228,013</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296,379</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368,434</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447,752</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546,212</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15,117</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300,010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561,329</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123,987</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149,197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153,851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182,010</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132,616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176,023</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228,330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313,782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379,319</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145,134</w:t>
            </w:r>
          </w:p>
        </w:tc>
        <w:tc>
          <w:tcPr>
            <w:tcW w:w="0" w:type="dxa"/>
            <w:vAlign w:val="bottom"/>
          </w:tcPr>
          <w:p>
            <w:pPr>
              <w:spacing w:after="0"/>
              <w:rPr>
                <w:sz w:val="1"/>
                <w:szCs w:val="1"/>
                <w:color w:val="auto"/>
              </w:rPr>
            </w:pP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62,766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62,123</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105,248</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136,166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168,727</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212,381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257,558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313,148</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66,171</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67,118</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(21,847)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0.70</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55"/>
        </w:trPr>
        <w:tc>
          <w:tcPr>
            <w:tcW w:w="35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5"/>
              </w:rPr>
              <w:t>Weighted average shares used in computing net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51,415</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53,547</w:t>
            </w: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50,913</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54,057</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54,887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55,414</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55,807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As of June 30,</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86,496</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103,468</w:t>
            </w:r>
          </w:p>
        </w:tc>
        <w:tc>
          <w:tcPr>
            <w:tcW w:w="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137,193</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132,476</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250,851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Corporate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34,556</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Working capital(2)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68,986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107,395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140,141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254,214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1,239,622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942,459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1,225,614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1,394,469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1,327,304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1,390,689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1,137,441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1,507,599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1,803,941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1,985,648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Client fund obligations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1,239,622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942,459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1,225,614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1,394,469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1,327,304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99" w:hanging="330"/>
        <w:spacing w:after="0" w:line="291"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Beginning in fiscal 2020, we simplified the presentation of revenue and cost of revenues. The line items Recurring fees and Implementation services and other have been combined into one revenue line: Recurring and other revenue. Likewise, the line items Cost of revenues - recurring revenues and Cost of revenues - implementation services and other have been combined into one line: Cost of revenues. We changed the presentation of revenue and cost of revenues as Implementation services and other has become a smaller component of its overall revenue mix due to the human capital management (“HCM”) suite becoming a larger part of the portfolio. Previously reported results for the years ended June 30, 2016, 2017, 2018 and 2019 have been reclassified to conform to the current presentation.</w:t>
      </w:r>
    </w:p>
    <w:p>
      <w:pPr>
        <w:spacing w:after="0" w:line="166" w:lineRule="exact"/>
        <w:rPr>
          <w:rFonts w:ascii="Arial" w:cs="Arial" w:eastAsia="Arial" w:hAnsi="Arial"/>
          <w:sz w:val="16"/>
          <w:szCs w:val="16"/>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We are a cloud-based provider of payroll and human capital management (“HCM”) software solutions for medium-sized organizations, which we define as those having between 20 and 1,000 employees. Our comprehensive and easy-to-use solutions enable our clients to manage their workforces more effectively. Our product suite delivers a unified platform for professionals to make strategic decisions in the areas of payroll, core HR, workforce management, talent and benefits, all while promoting a modern workplace and improving employee engagement.</w:t>
      </w:r>
    </w:p>
    <w:p>
      <w:pPr>
        <w:spacing w:after="0" w:line="14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Our solutions were specifically designed to meet the payroll and HCM needs of medium-sized organizations. We designed our cloud-based platform to provide a unified suite of modules using a multi-tenant architecture. Our solutions are highly flexible and configurable and feature a modern, intuitive user experience. Our platform offers automated data integration with over 400 related third-party systems, such as 401(k), benefits and insurance provider systems.</w:t>
      </w:r>
    </w:p>
    <w:p>
      <w:pPr>
        <w:spacing w:after="0" w:line="179"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Our payroll solution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73"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1" w:lineRule="exact"/>
        <w:rPr>
          <w:sz w:val="20"/>
          <w:szCs w:val="20"/>
          <w:color w:val="auto"/>
        </w:rPr>
      </w:pPr>
    </w:p>
    <w:p>
      <w:pPr>
        <w:ind w:left="60" w:right="319" w:firstLine="648"/>
        <w:spacing w:after="0" w:line="279" w:lineRule="auto"/>
        <w:rPr>
          <w:sz w:val="20"/>
          <w:szCs w:val="20"/>
          <w:color w:val="auto"/>
        </w:rPr>
      </w:pPr>
      <w:r>
        <w:rPr>
          <w:rFonts w:ascii="Arial" w:cs="Arial" w:eastAsia="Arial" w:hAnsi="Arial"/>
          <w:sz w:val="17"/>
          <w:szCs w:val="17"/>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its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In March 2020, the World Health Organization declared the outbreak of the novel coronavirus disease (“COVID-19”) as a pandemic which has caused a global slowdown of economic activity. The COVID</w:t>
      </w:r>
      <w:r>
        <w:rPr>
          <w:rFonts w:ascii="Arial" w:cs="Arial" w:eastAsia="Arial" w:hAnsi="Arial"/>
          <w:sz w:val="17"/>
          <w:szCs w:val="17"/>
          <w:i w:val="1"/>
          <w:iCs w:val="1"/>
          <w:color w:val="auto"/>
        </w:rPr>
        <w:t>-</w:t>
      </w:r>
      <w:r>
        <w:rPr>
          <w:rFonts w:ascii="Arial" w:cs="Arial" w:eastAsia="Arial" w:hAnsi="Arial"/>
          <w:sz w:val="17"/>
          <w:szCs w:val="17"/>
          <w:color w:val="auto"/>
        </w:rPr>
        <w:t>19 pandemic did not have a material impact on our financial position, results of operations or liquidity for the first nine months of fiscal 2020, as the pandemic impacted the U.S. economy starting in the latter half of March 2020. Recurring and other revenue for the three months ended June 30, 2020 was unfavorably impacted primarily due to the reduction in client employees on our platform and a more difficult environment for new sales and client starts. Interest income on funds held for clients for the three months ended June 30, 2020 was significantly impacted mostly due to reductions in interest rates by the Federal Reserve to support the economy.</w:t>
      </w:r>
    </w:p>
    <w:p>
      <w:pPr>
        <w:spacing w:after="0" w:line="178"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In response to the COVID-19 pandemic, we transitioned nearly all of our employees across all of our offices (including our corporate headquarters) to remote work-from-home arrangements during the third quarter of fiscal 2020. We did not experience any material disruptions in our ability to operate our business and service our clients as our business model enables us to service our clients remotely. We were able to continue our implementation efforts remotely, and service our clients efficiently and in a timely manner, while our sales team shifted from in-person meetings with prospective and existing clients to engaging with them virtually. Our teams also quickly mobilized to analyze the various state and federal legislative changes enacted by the government in response to the COVID-19 crisis, including the Coronavirus Aid, Relief, and Economic Security (“CARES”) Act and the Families First Coronavirus Response Act (“FFCRA”) legislation and added automated functionality and reporting to our systems for our clients. We also introduced several new product features and resources to help prospects and clients rethink how they recruit, rehire and engage their workforce in this new environment. To help clients maintain a safe work environment we released mobile attestation, which allows employers to configure punch-in prompts to answer questions to help identify potential COVID symptoms in their employees and our newly released time and labor scheduling reinforcement allows administrators to manage shift capacity to abide by CDC social distancing guidelines. We also launched new courses within our Learning Management module to support remote engagement for managers and their teams. To help recruit and rehire candidates, our clients can now launch virtual rehire events using our Recruiting and Onboarding modules by automatically changing the status of furloughed employees and inviting past employees to submit applications for rehire. To expedite the onboarding process for rehires, Paylocity rolled out geolocation enhancements to immediately validate state and local taxes based on employees' home and work addresses.</w:t>
      </w:r>
    </w:p>
    <w:p>
      <w:pPr>
        <w:spacing w:after="0" w:line="387"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The duration and severity of the COVID-19 pandemic, and the long-term effects the pandemic will have on our clients and general economic conditions, remains uncertain and difficult to predict. Many of our prospective and existing clients’ businesses have been impacted by stay-at-home, business closure and other restrictive orders, which has resulted in reduced employee headcount, temporary and permanent business closures, and/or delayed sales/starts. Our business and financial performance may continue to be unfavorably impacted in future periods if a significant number of our clients are unable to continue as viable businesses or reduce headcount, the macro-economic environment continues to experience worsening unemployment, there is a reduction in business confidence and activity, a decrease in government and consumer spending, a decrease in payroll and HCM solutions spending by medium-sized organizations, a decrease in growth in the overall market or a further decline of interest rates, among other factors. Therefore, we expect COVID-19 to continue to have an unfavorable impact on the growth in both Recurring and other revenue and Interest income on funds held for clients in future periods. Refer to “Item 1A. Risk Factors” in this Annual Report on Form 10-K for risks related to the COVID-19 pandemic to our business and financial performance.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Growth</w:t>
      </w:r>
    </w:p>
    <w:p>
      <w:pPr>
        <w:spacing w:after="0" w:line="225"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business. Total revenues increased from $377.5 million in fiscal 2018 to $467.6 million in fiscal 2019, representing a 24% year-over-year increase. Total revenues increased from $467.6 million in fiscal 2019 to $561.3 million in fiscal 2020, representing a 20% year-over-year increase. While we experienced total revenue growth during fiscal 2020, much of it took place in the first nine months of the fiscal year as the effects of COVID-19 impacted our revenue starting in the latter half of March and throughout the fourth quarter of fiscal 2020. During the fourth quarter of fiscal 2020, total revenue growth was impacted by reductions in client employee counts, a more challenging environment for new sales and client starts and interest rate reductions as interest income on funds held for clients declined due to interest rate reductions enacted by the Federal Reserve. We expect COVID-19 to continue to unfavorably impact our revenue growth rates in future periods as we anticipate the future potential for a lower client employee count environment, increases in client losses, less demand for new services, a continued low interest rate environment and a decrease in the growth of the overall market, among other factors.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Client Count Growth</w:t>
      </w:r>
    </w:p>
    <w:p>
      <w:pPr>
        <w:spacing w:after="0" w:line="225"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Excluding clients acquired through acquisitions, we have increased the number of clients using our payroll and HCM software solutions from approximately 16,700 as of June 30, 2018 to approximately 24,450 as of June 30, 2020, representing a compound annual growth rate of approximately 21%. The table below sets forth the total number of clients using our payroll and HCM software solutions for the periods indicated, rounded to the nearest fifty.</w:t>
      </w:r>
    </w:p>
    <w:p>
      <w:pPr>
        <w:spacing w:after="0" w:line="181"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6350</wp:posOffset>
            </wp:positionV>
            <wp:extent cx="15944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620"/>
        <w:spacing w:after="0"/>
        <w:tabs>
          <w:tab w:leader="none" w:pos="7500" w:val="left"/>
          <w:tab w:leader="none" w:pos="84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2020</w:t>
      </w:r>
    </w:p>
    <w:tbl>
      <w:tblPr>
        <w:tblLayout w:type="fixed"/>
        <w:tblInd w:w="60" w:type="dxa"/>
        <w:tblCellMar>
          <w:top w:w="0" w:type="dxa"/>
          <w:left w:w="0" w:type="dxa"/>
          <w:bottom w:w="0" w:type="dxa"/>
          <w:right w:w="0" w:type="dxa"/>
        </w:tblCellMar>
      </w:tblP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Count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24,450</w:t>
            </w:r>
          </w:p>
        </w:tc>
      </w:tr>
    </w:tbl>
    <w:p>
      <w:pPr>
        <w:spacing w:after="0" w:line="202"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Annual Revenue Retention Rate</w:t>
      </w:r>
    </w:p>
    <w:p>
      <w:pPr>
        <w:spacing w:after="0" w:line="225"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7"/>
          <w:szCs w:val="17"/>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22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We use Adjusted Gross Profit and Adjusted EBITDA to evaluate our operating results. We prepare Adjusted Gross Profit and Adjusted EBITDA to eliminate the impact of items we do not consider indicative of our ongoing operating performance. However, Adjusted Gross Profit and Adjusted EBITDA are not measurements of financial performance under generally accepted accounting principles in the United States, or GAAP, and these metrics may not be comparable to similarly titled measures of other companies.</w:t>
      </w:r>
    </w:p>
    <w:p>
      <w:pPr>
        <w:spacing w:after="0" w:line="188"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define Adjusted Gross Profit as gross profit before amortization of capitalized internal-use software costs and stock-based compensation expense and employer payroll taxes related to stock releases and option exercises.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We disclose Adjusted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176" w:lineRule="exact"/>
        <w:rPr>
          <w:sz w:val="20"/>
          <w:szCs w:val="20"/>
          <w:color w:val="auto"/>
        </w:rPr>
      </w:pPr>
    </w:p>
    <w:p>
      <w:pPr>
        <w:ind w:left="700" w:right="599"/>
        <w:spacing w:after="0" w:line="277" w:lineRule="auto"/>
        <w:rPr>
          <w:sz w:val="20"/>
          <w:szCs w:val="20"/>
          <w:color w:val="auto"/>
        </w:rPr>
      </w:pPr>
      <w:r>
        <w:rPr>
          <w:rFonts w:ascii="Arial" w:cs="Arial" w:eastAsia="Arial" w:hAnsi="Arial"/>
          <w:sz w:val="18"/>
          <w:szCs w:val="18"/>
          <w:color w:val="auto"/>
        </w:rPr>
        <w:t>Adjusted Gross Profit and Adjusted EBITDA have limitations as analytical tools. Some of these limitations include the following:</w:t>
      </w:r>
    </w:p>
    <w:p>
      <w:pPr>
        <w:spacing w:after="0" w:line="170"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our ongoing or future requirements for capital expenditures;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Adjusted EBITDA does not reflect our income tax expense or the cash requirement to pay our taxes;</w:t>
      </w:r>
    </w:p>
    <w:p>
      <w:pPr>
        <w:spacing w:after="0" w:line="236" w:lineRule="exact"/>
        <w:rPr>
          <w:rFonts w:ascii="Arial" w:cs="Arial" w:eastAsia="Arial" w:hAnsi="Arial"/>
          <w:sz w:val="17"/>
          <w:szCs w:val="17"/>
          <w:color w:val="auto"/>
        </w:rPr>
      </w:pPr>
    </w:p>
    <w:p>
      <w:pPr>
        <w:ind w:left="1040" w:right="119" w:hanging="315"/>
        <w:spacing w:after="0" w:line="26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83"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Gross Profit and Adjusted EBITDA differently than we do, limiting their usefulness as a comparative measure.</w:t>
      </w:r>
    </w:p>
    <w:p>
      <w:pPr>
        <w:spacing w:after="0" w:line="170"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Additionally, stock-based compensation will continue to be an element of our overall compensation strategy, although we exclude it from Adjusted Gross Profit and Adjusted EBITDA as an expense when evaluating our ongoing operating performance for a particular period.</w:t>
      </w:r>
    </w:p>
    <w:p>
      <w:pPr>
        <w:spacing w:after="0" w:line="184"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Because of these limitations, you should not consider Adjusted Gross Profit as an alternative to gross profit or Adjusted EBITDA as an alternative to net income or net cash provided by operating activities, in each case as determined in accordance with GAAP. We compensate for these limitations by relying primarily on our GAAP results, and we use Adjusted Gross Profit and Adjusted EBITDA only as supplemental information.</w:t>
      </w:r>
    </w:p>
    <w:p>
      <w:pPr>
        <w:spacing w:after="0" w:line="187"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Directly comparable GAAP measures to Adjusted Gross Profit and Adjusted EBITDA are gross profit and net income, respectively. We reconcile Adjusted Gross Profit and Adjusted EBITDA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right="55"/>
              <w:spacing w:after="0"/>
              <w:rPr>
                <w:sz w:val="20"/>
                <w:szCs w:val="20"/>
                <w:color w:val="auto"/>
              </w:rPr>
            </w:pPr>
            <w:r>
              <w:rPr>
                <w:rFonts w:ascii="Arial" w:cs="Arial" w:eastAsia="Arial" w:hAnsi="Arial"/>
                <w:sz w:val="14"/>
                <w:szCs w:val="14"/>
                <w:b w:val="1"/>
                <w:bCs w:val="1"/>
                <w:color w:val="auto"/>
                <w:w w:val="91"/>
              </w:rPr>
              <w:t>Year Ended June 30,</w:t>
            </w:r>
          </w:p>
        </w:tc>
      </w:tr>
      <w:tr>
        <w:trPr>
          <w:trHeight w:val="142"/>
        </w:trPr>
        <w:tc>
          <w:tcPr>
            <w:tcW w:w="6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6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jc w:val="center"/>
              <w:ind w:left="15"/>
              <w:spacing w:after="0" w:line="129"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247,193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$ 336,247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$ 404,797</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81,297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$ 134,047</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$ 159,775</w:t>
            </w:r>
          </w:p>
        </w:tc>
      </w:tr>
      <w:tr>
        <w:trPr>
          <w:trHeight w:val="364"/>
        </w:trPr>
        <w:tc>
          <w:tcPr>
            <w:tcW w:w="6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35"/>
              <w:spacing w:after="0"/>
              <w:rPr>
                <w:sz w:val="20"/>
                <w:szCs w:val="20"/>
                <w:color w:val="auto"/>
              </w:rPr>
            </w:pPr>
            <w:r>
              <w:rPr>
                <w:rFonts w:ascii="Arial" w:cs="Arial" w:eastAsia="Arial" w:hAnsi="Arial"/>
                <w:sz w:val="14"/>
                <w:szCs w:val="14"/>
                <w:b w:val="1"/>
                <w:bCs w:val="1"/>
                <w:color w:val="auto"/>
                <w:w w:val="93"/>
              </w:rPr>
              <w:t>Year Ended June 30,</w:t>
            </w:r>
          </w:p>
        </w:tc>
      </w:tr>
      <w:tr>
        <w:trPr>
          <w:trHeight w:val="142"/>
        </w:trPr>
        <w:tc>
          <w:tcPr>
            <w:tcW w:w="6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6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jc w:val="center"/>
              <w:ind w:left="15"/>
              <w:spacing w:after="0" w:line="129"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228,330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$ 313,782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$ 379,319</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capitalized internal-use software costs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19,261</w:t>
            </w:r>
          </w:p>
        </w:tc>
      </w:tr>
      <w:tr>
        <w:trPr>
          <w:trHeight w:val="202"/>
        </w:trPr>
        <w:tc>
          <w:tcPr>
            <w:tcW w:w="6260" w:type="dxa"/>
            <w:vAlign w:val="bottom"/>
          </w:tcPr>
          <w:p>
            <w:pPr>
              <w:ind w:left="20"/>
              <w:spacing w:after="0" w:line="201" w:lineRule="exact"/>
              <w:rPr>
                <w:sz w:val="20"/>
                <w:szCs w:val="20"/>
                <w:color w:val="auto"/>
              </w:rPr>
            </w:pPr>
            <w:r>
              <w:rPr>
                <w:rFonts w:ascii="Arial" w:cs="Arial" w:eastAsia="Arial" w:hAnsi="Arial"/>
                <w:sz w:val="18"/>
                <w:szCs w:val="18"/>
                <w:color w:val="auto"/>
                <w:w w:val="97"/>
              </w:rPr>
              <w:t>Stock-based compensation expense and employer payroll taxes related to stock</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releases and option exercises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5,544</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6,217</w:t>
            </w:r>
          </w:p>
        </w:tc>
      </w:tr>
      <w:tr>
        <w:trPr>
          <w:trHeight w:val="210"/>
        </w:trPr>
        <w:tc>
          <w:tcPr>
            <w:tcW w:w="6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247,193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$ 336,247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$ 404,797</w:t>
            </w: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center"/>
              <w:ind w:left="454"/>
              <w:spacing w:after="0"/>
              <w:rPr>
                <w:sz w:val="20"/>
                <w:szCs w:val="20"/>
                <w:color w:val="auto"/>
              </w:rPr>
            </w:pPr>
            <w:r>
              <w:rPr>
                <w:rFonts w:ascii="Arial" w:cs="Arial" w:eastAsia="Arial" w:hAnsi="Arial"/>
                <w:sz w:val="14"/>
                <w:szCs w:val="14"/>
                <w:b w:val="1"/>
                <w:bCs w:val="1"/>
                <w:color w:val="auto"/>
                <w:w w:val="93"/>
              </w:rPr>
              <w:t>Year Ended June 30,</w:t>
            </w:r>
          </w:p>
        </w:tc>
        <w:tc>
          <w:tcPr>
            <w:tcW w:w="640" w:type="dxa"/>
            <w:vAlign w:val="bottom"/>
            <w:tcBorders>
              <w:bottom w:val="single" w:sz="8" w:color="auto"/>
            </w:tcBorders>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6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0"/>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38,598</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53,823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64,455</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(21,847)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2,663</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37,913</w:t>
            </w:r>
          </w:p>
        </w:tc>
      </w:tr>
      <w:tr>
        <w:trPr>
          <w:trHeight w:val="209"/>
        </w:trPr>
        <w:tc>
          <w:tcPr>
            <w:tcW w:w="6280" w:type="dxa"/>
            <w:vAlign w:val="bottom"/>
          </w:tcPr>
          <w:p>
            <w:pPr>
              <w:ind w:left="22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105,726</w:t>
            </w:r>
          </w:p>
        </w:tc>
      </w:tr>
      <w:tr>
        <w:trPr>
          <w:trHeight w:val="202"/>
        </w:trPr>
        <w:tc>
          <w:tcPr>
            <w:tcW w:w="6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Stock-based compensation expense and employer payroll taxes related to stock</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releases and option exercises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50,364</w:t>
            </w:r>
          </w:p>
        </w:tc>
      </w:tr>
      <w:tr>
        <w:trPr>
          <w:trHeight w:val="21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r>
      <w:tr>
        <w:trPr>
          <w:trHeight w:val="209"/>
        </w:trPr>
        <w:tc>
          <w:tcPr>
            <w:tcW w:w="6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81,297</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134,047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159,775</w:t>
            </w: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19" w:hanging="10"/>
        <w:spacing w:after="0" w:line="286" w:lineRule="auto"/>
        <w:tabs>
          <w:tab w:leader="none" w:pos="1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nonrecurring costs including lease exit and acquisition-related costs of $2.5 million, $0.4 million and $1.6 million incurred during the years ended June 30, 2018, 2019 and 2020, respectively, and the settlement of a certain legal matter and related litigation costs of $2.1 million during the year ended June 30,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Beginning in fiscal 2020, we simplified the presentation of revenue. Recurring fees and Implementation services and other have been combined into one revenue line: Recurring and other revenue. We changed the presentation of revenue as Implementation services and other has become a smaller component of our overall revenue mix as our HCM suite has become a larger part of the portfolio. Previously reported results for the years ended June 30, 2018 and 2019 have been reclassified to conform to the current presentation.</w:t>
      </w:r>
    </w:p>
    <w:p>
      <w:pPr>
        <w:spacing w:after="0" w:line="188"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 The number of client employees on our system is not a good indicator of our financial results in any period.</w:t>
      </w:r>
    </w:p>
    <w:p>
      <w:pPr>
        <w:spacing w:after="0" w:line="18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 which historically have been recognized upon completion before the adoption of Topic 606 in fiscal 2019. Recurring and other revenue accounted for approximately 98%, 96% and 97% of our total revenues during the years ended June 30, 2018, 2019 and 2020, respectively.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have automated clearing house, or ACH, arrangements. We also earn interest by investing a portion of funds held for clients in highly liquid, investment-grade marketable securities.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To correspond with the simplification of the presentation of revenue discussed above, we also simplified the presentation of cost of revenue beginning in fiscal 2020. As a result, Cost of revenues - recurring revenues and Cost of revenues - implementation services and other have been combined into one line: Cost of revenues. 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Costs related to recurring support are generally expensed as incurred. Implementation costs related to our proprietary products are capitalized and amortized over a period of 7 years, which we previously expensed as incurred before the adoption of Topic 606 in fiscal 2019.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7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We also capitalize a portion of our internal-use software costs, which are then all amortized as Cost of revenues. We amortized $14.3 million, $16.9 million and $19.3 million of capitalized internal-use software costs in fiscal 2018, 2019 and 2020,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benefits, marketing expenses and other related costs. We capitalize certain selling and commission costs related to new contracts or purchases of additional services by our existing clients and amortize them over a period of 7 years, which we previously expensed as incurred before the adoption of Topic 606 in fiscal 2019. We pay commissions the following month after the start of service, and bonuses paid to sales personnel for attainment of certain annual performance criteria are accrued in the fiscal year and are subsequently paid annually in the first fiscal quarter of the following year.</w:t>
      </w:r>
    </w:p>
    <w:p>
      <w:pPr>
        <w:spacing w:after="0" w:line="17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We capitalize a portion of our development costs related to internal-use software. The timing of our capitalized development projects may affect the amount of development costs expensed in any given period. The table below sets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forth the amounts of capitalized and expensed research and development expenses for each of fiscal 2018, 2019 and 2020.</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Year Ended June 30,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r>
      <w:tr>
        <w:trPr>
          <w:trHeight w:val="129"/>
        </w:trPr>
        <w:tc>
          <w:tcPr>
            <w:tcW w:w="4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1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w:t>
            </w:r>
          </w:p>
        </w:tc>
        <w:tc>
          <w:tcPr>
            <w:tcW w:w="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28,187</w:t>
            </w: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Expensed portion of research and development</w:t>
            </w: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37,645</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62,766</w:t>
            </w: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90,953</w:t>
            </w:r>
          </w:p>
        </w:tc>
      </w:tr>
    </w:tbl>
    <w:p>
      <w:pPr>
        <w:spacing w:after="0" w:line="20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Other income generally consists of interest income related to interest earned on our cash and cash equivalents and corporate investments, net of losses on disposals of property and equipment and interest expense related to our revolving credit facility.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4"/>
              </w:rPr>
              <w:t>Year Ended June 30,</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368,434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546,212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377,527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561,329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149,197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228,330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313,782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379,319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212,381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257,558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313,148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(21,847)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920" w:type="dxa"/>
            <w:vAlign w:val="bottom"/>
            <w:vMerge w:val="restart"/>
          </w:tcPr>
          <w:p>
            <w:pPr>
              <w:jc w:val="right"/>
              <w:ind w:right="1210"/>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 for each of the periods indicated.</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1"/>
              </w:rPr>
              <w:t>Year Ended June 30,</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64"/>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w w:val="91"/>
              </w:rPr>
              <w:t>Interest income on funds held for clients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9"/>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220" w:type="dxa"/>
            <w:vAlign w:val="bottom"/>
            <w:gridSpan w:val="9"/>
            <w:vMerge w:val="restart"/>
          </w:tcPr>
          <w:p>
            <w:pPr>
              <w:spacing w:after="0"/>
              <w:rPr>
                <w:sz w:val="20"/>
                <w:szCs w:val="20"/>
                <w:color w:val="auto"/>
              </w:rPr>
            </w:pPr>
            <w:r>
              <w:rPr>
                <w:rFonts w:ascii="Arial" w:cs="Arial" w:eastAsia="Arial" w:hAnsi="Arial"/>
                <w:sz w:val="18"/>
                <w:szCs w:val="18"/>
                <w:b w:val="1"/>
                <w:bCs w:val="1"/>
                <w:color w:val="auto"/>
                <w:w w:val="94"/>
              </w:rPr>
              <w:t>Comparison of Fiscal Years Ended June 30, 2018, 2019 and 2020</w:t>
            </w: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9"/>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14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 in thousands)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Change from</w:t>
            </w:r>
          </w:p>
        </w:tc>
        <w:tc>
          <w:tcPr>
            <w:tcW w:w="80" w:type="dxa"/>
            <w:vAlign w:val="bottom"/>
          </w:tcPr>
          <w:p>
            <w:pPr>
              <w:spacing w:after="0"/>
              <w:rPr>
                <w:sz w:val="24"/>
                <w:szCs w:val="24"/>
                <w:color w:val="auto"/>
              </w:rPr>
            </w:pPr>
          </w:p>
        </w:tc>
        <w:tc>
          <w:tcPr>
            <w:tcW w:w="1340" w:type="dxa"/>
            <w:vAlign w:val="bottom"/>
            <w:gridSpan w:val="7"/>
          </w:tcPr>
          <w:p>
            <w:pPr>
              <w:jc w:val="right"/>
              <w:ind w:right="27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2018 to 2019</w:t>
            </w:r>
          </w:p>
        </w:tc>
        <w:tc>
          <w:tcPr>
            <w:tcW w:w="80" w:type="dxa"/>
            <w:vAlign w:val="bottom"/>
          </w:tcPr>
          <w:p>
            <w:pPr>
              <w:spacing w:after="0"/>
              <w:rPr>
                <w:sz w:val="14"/>
                <w:szCs w:val="14"/>
                <w:color w:val="auto"/>
              </w:rPr>
            </w:pPr>
          </w:p>
        </w:tc>
        <w:tc>
          <w:tcPr>
            <w:tcW w:w="1340" w:type="dxa"/>
            <w:vAlign w:val="bottom"/>
            <w:gridSpan w:val="7"/>
          </w:tcPr>
          <w:p>
            <w:pPr>
              <w:jc w:val="right"/>
              <w:ind w:right="29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and other revenue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368,434</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447,752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$ 546,212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$ 79,318</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9"/>
              </w:rPr>
              <w:t>$ 98,460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98 %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96 %</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97 %</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Interest income on funds held for clients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9,093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19,881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shd w:val="clear" w:color="auto" w:fill="CCEEFF"/>
              </w:rPr>
              <w:t>$  15,117</w:t>
            </w:r>
          </w:p>
        </w:tc>
        <w:tc>
          <w:tcPr>
            <w:tcW w:w="18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w w:val="96"/>
                <w:shd w:val="clear" w:color="auto" w:fill="CCEEFF"/>
              </w:rPr>
              <w:t>$ 10,788 119 %</w:t>
            </w:r>
          </w:p>
        </w:tc>
        <w:tc>
          <w:tcPr>
            <w:tcW w:w="8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7"/>
                <w:shd w:val="clear" w:color="auto" w:fill="CCEEFF"/>
              </w:rPr>
              <w:t>$ (4,764)</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(24)%</w:t>
            </w:r>
          </w:p>
        </w:tc>
        <w:tc>
          <w:tcPr>
            <w:tcW w:w="0" w:type="dxa"/>
            <w:vAlign w:val="bottom"/>
          </w:tcPr>
          <w:p>
            <w:pPr>
              <w:spacing w:after="0"/>
              <w:rPr>
                <w:sz w:val="1"/>
                <w:szCs w:val="1"/>
                <w:color w:val="auto"/>
              </w:rPr>
            </w:pPr>
          </w:p>
        </w:tc>
      </w:tr>
      <w:tr>
        <w:trPr>
          <w:trHeight w:val="230"/>
        </w:trPr>
        <w:tc>
          <w:tcPr>
            <w:tcW w:w="31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Recurring and other revenue for the year ended June 30, 2020 increased by $98.5 million, or 22%, to</w:t>
      </w:r>
    </w:p>
    <w:p>
      <w:pPr>
        <w:spacing w:after="0" w:line="23"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$546.2 million from $447.8 million for the year ended June 30, 2019. Recurring and other revenue increased primarily as a result of incremental revenues from new and existing clients. Excluding clients acquired through acquisitions, the number of clients using our payroll and HCM software solutions at June 30, 2020 increased by 21% to approximately 24,450 from approximately 20,200 at June 30, 2019.</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Recurring and other revenue for the year ended June 30, 2019 increased by $79.3 million, or 22%, to</w:t>
      </w:r>
    </w:p>
    <w:p>
      <w:pPr>
        <w:spacing w:after="0" w:line="23"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$447.8 million from $368.4 million for the year ended June 30, 2018. Recurring and other revenue increased primarily as a result of incremental revenues from new and existing clients. Excluding clients acquired through acquisitions, the number of clients using our payroll and HCM software solutions at June 30, 2019 increased by 21% to approximately 20,200 from approximately 16,700 at June 30, 2018. The aforementioned increase in incremental revenues were partially offset by the change in the treatment of implementation fees related to our proprietary products. Historically, we recognized implementation fees upon completion. Starting July 1, 2018, we concluded that implementation fees related to our proprietary products are not separate performance obligations, and as a result, the related implementation fees are deferred and amortized generally over a period up to 24 months.</w:t>
      </w:r>
    </w:p>
    <w:p>
      <w:pPr>
        <w:sectPr>
          <w:pgSz w:w="11900" w:h="16838" w:orient="portrait"/>
          <w:cols w:equalWidth="0" w:num="1">
            <w:col w:w="9019"/>
          </w:cols>
          <w:pgMar w:left="1440" w:top="51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Interest income on funds held for clients for the year ended June 30, 2020 decreased by $4.8 million, or 24%, to $15.1 million from $19.9 million for the year ended June 30, 2019. Interest income on funds held for clients decreased primarily as a result of lower average interest rates gradually throughout the year ended June 30, 2020 with the most significant interest rate cuts taking place in March 2020 in light of the global economic impact of the COVID-19 pandemic. The impact from the reduction in interest rates was partially offset by higher average daily balances for funds due to the addition of new clients to our client base.</w:t>
      </w:r>
    </w:p>
    <w:p>
      <w:pPr>
        <w:spacing w:after="0" w:line="19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Interest income on funds held for clients for the year ended June 30, 2019 increased by $10.8 million, or 119%, to $19.9 million from $9.1 million for the year ended June 30, 2018. Interest income on funds held for clients increased primarily as a result of higher average interest rates, increased average daily balances for funds held due to the addition of new clients to our client base and interest income from investing a larger portion of our funds held for clients in marketable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Year Ended June 30,</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40" w:type="dxa"/>
            <w:vAlign w:val="bottom"/>
          </w:tcPr>
          <w:p>
            <w:pPr>
              <w:spacing w:after="0"/>
              <w:rPr>
                <w:sz w:val="14"/>
                <w:szCs w:val="14"/>
                <w:color w:val="auto"/>
              </w:rPr>
            </w:pP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2018 to 2019</w:t>
            </w:r>
          </w:p>
        </w:tc>
        <w:tc>
          <w:tcPr>
            <w:tcW w:w="40" w:type="dxa"/>
            <w:vAlign w:val="bottom"/>
          </w:tcPr>
          <w:p>
            <w:pPr>
              <w:spacing w:after="0"/>
              <w:rPr>
                <w:sz w:val="14"/>
                <w:szCs w:val="14"/>
                <w:color w:val="auto"/>
              </w:rPr>
            </w:pP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$ 149,197</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$ 153,851</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$ 182,010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4,654</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3 %</w:t>
            </w: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$ 28,159</w:t>
            </w:r>
          </w:p>
        </w:tc>
        <w:tc>
          <w:tcPr>
            <w:tcW w:w="14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18 %</w:t>
            </w:r>
          </w:p>
        </w:tc>
        <w:tc>
          <w:tcPr>
            <w:tcW w:w="0" w:type="dxa"/>
            <w:vAlign w:val="bottom"/>
          </w:tcPr>
          <w:p>
            <w:pPr>
              <w:spacing w:after="0"/>
              <w:rPr>
                <w:sz w:val="1"/>
                <w:szCs w:val="1"/>
                <w:color w:val="auto"/>
              </w:rPr>
            </w:pPr>
          </w:p>
        </w:tc>
      </w:tr>
      <w:tr>
        <w:trPr>
          <w:trHeight w:val="216"/>
        </w:trPr>
        <w:tc>
          <w:tcPr>
            <w:tcW w:w="256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33 %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67 %</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68 %</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Cost of revenues for the year ended June 30, 2020 increased by $28.2 million, or 18%, to $182.0 million from $153.9 million for the year ended June 30, 2019. Cost of revenues increased primarily as a result of the continued growth of our business, in particular, $19.2 million in additional employee-related costs resulting from additional personnel necessary to provide services to new and existing clients, $4.0 million in delivery and other processing-related fees and $2.3 million in increased internal-use software amortization. Gross margin increased from 67% in fiscal 2019 to 68% in fiscal 2020.</w:t>
      </w:r>
    </w:p>
    <w:p>
      <w:pPr>
        <w:spacing w:after="0" w:line="192"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Cost of revenues for the year ended June 30, 2019 increased by $4.7 million, or 3%, to $153.9 million from $149.2 million for the year ended June 30, 2018. Cost of revenues increased primarily as a result of the continued growth of our business, in particular, $7.5 million in delivery and other processing-related fees and $2.6 million in increased internal-use software amortization. These increases were partially offset by $7.0 million fewer net personnel costs primarily due to the deferral and amortization of certain implementation costs over a period of 7 years related to our proprietary products upon the adoption of Topic 606 on July 1, 2018. Gross margin increased from 60% in fiscal 2018 to 67% for fiscal 2019 primarily due to the adoption of Topic 606 as mentioned.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Year Ended June 30,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from</w:t>
            </w:r>
          </w:p>
        </w:tc>
        <w:tc>
          <w:tcPr>
            <w:tcW w:w="80" w:type="dxa"/>
            <w:vAlign w:val="bottom"/>
          </w:tcPr>
          <w:p>
            <w:pPr>
              <w:spacing w:after="0"/>
              <w:rPr>
                <w:sz w:val="13"/>
                <w:szCs w:val="13"/>
                <w:color w:val="auto"/>
              </w:rPr>
            </w:pPr>
          </w:p>
        </w:tc>
        <w:tc>
          <w:tcPr>
            <w:tcW w:w="140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2018 to 2019</w:t>
            </w:r>
          </w:p>
        </w:tc>
        <w:tc>
          <w:tcPr>
            <w:tcW w:w="80" w:type="dxa"/>
            <w:vAlign w:val="bottom"/>
          </w:tcPr>
          <w:p>
            <w:pPr>
              <w:spacing w:after="0"/>
              <w:rPr>
                <w:sz w:val="14"/>
                <w:szCs w:val="14"/>
                <w:color w:val="auto"/>
              </w:rPr>
            </w:pP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$ 95,484</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$ 112,599</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$ 145,134</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$ 17,115</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1"/>
              </w:rPr>
              <w:t>$ 32,535</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color w:val="auto"/>
        </w:rPr>
        <w:t>Sales and marketing expenses for the year ended June 30, 2020 increased by $32.5 million, or 29%, to $145.1 million from $112.6 million for the year ended June 30, 2019. The increase in sales and marketing expense was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primarily the result of $20.0 million of additional employee-related costs, including those incurred to expand our sales team, and $6.3 million of additional stock-based compensation associated with our equity plan.</w:t>
      </w:r>
    </w:p>
    <w:p>
      <w:pPr>
        <w:spacing w:after="0" w:line="14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Sales and marketing expenses for the year ended June 30, 2019 increased by $17.1 million, or 18%, to $112.6 million from $95.5 million for the year ended June 30, 2018. The increase in sales and marketing expense was primarily the result of $14.2 million of additional employee-related costs from the expansion of our sales team net of the deferral and amortization of certain selling and commissions costs over a period of 7 years related to the adoption of Topic 606 on July 1, 2018.</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Year Ended June 30,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140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2018 to 2019</w:t>
            </w: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$ 37,645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50,329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62,766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$ 12,684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12,437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10 %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Research and development expenses for the year ended June 30, 2020 increased by $12.4 million, or 25%, to $62.8 million from $50.3 million for the year ended June 30, 2019. The increase in research and development expenses was primarily the result of $14.7 million of additional employee-related costs related to additional development personnel and $1.5 million of additional stock-based compensation associated with our equity incentive plan, partially offset by higher year-over-year capitalized internal-use software costs of $5.0 million.</w:t>
      </w:r>
    </w:p>
    <w:p>
      <w:pPr>
        <w:spacing w:after="0" w:line="176"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Research and development expenses for the year ended June 30, 2019 increased by $12.7 million, or 34%, to $50.3 million from $37.6 million for the year ended June 30, 2018. The increase in research and development expenses was primarily the result of $14.3 million of additional employee-related costs related to additional development personnel and $2.3 million of additional stock-based compensation associated with our equity incentive plan, partially offset by higher year-over-year capitalized internal-use software costs of $5.3 million.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gridSpan w:val="7"/>
            <w:vMerge w:val="restart"/>
          </w:tcPr>
          <w:p>
            <w:pPr>
              <w:jc w:val="right"/>
              <w:ind w:right="690"/>
              <w:spacing w:after="0"/>
              <w:rPr>
                <w:sz w:val="20"/>
                <w:szCs w:val="20"/>
                <w:color w:val="auto"/>
              </w:rPr>
            </w:pPr>
            <w:r>
              <w:rPr>
                <w:rFonts w:ascii="Arial" w:cs="Arial" w:eastAsia="Arial" w:hAnsi="Arial"/>
                <w:sz w:val="14"/>
                <w:szCs w:val="14"/>
                <w:b w:val="1"/>
                <w:bCs w:val="1"/>
                <w:color w:val="auto"/>
                <w:w w:val="96"/>
              </w:rPr>
              <w:t>Year Ended June 30,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from</w:t>
            </w:r>
          </w:p>
        </w:tc>
        <w:tc>
          <w:tcPr>
            <w:tcW w:w="60" w:type="dxa"/>
            <w:vAlign w:val="bottom"/>
          </w:tcPr>
          <w:p>
            <w:pPr>
              <w:spacing w:after="0"/>
              <w:rPr>
                <w:sz w:val="14"/>
                <w:szCs w:val="14"/>
                <w:color w:val="auto"/>
              </w:rPr>
            </w:pPr>
          </w:p>
        </w:tc>
        <w:tc>
          <w:tcPr>
            <w:tcW w:w="140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2018 to 2019</w:t>
            </w:r>
          </w:p>
        </w:tc>
        <w:tc>
          <w:tcPr>
            <w:tcW w:w="60" w:type="dxa"/>
            <w:vAlign w:val="bottom"/>
          </w:tcPr>
          <w:p>
            <w:pPr>
              <w:spacing w:after="0"/>
              <w:rPr>
                <w:sz w:val="14"/>
                <w:szCs w:val="14"/>
                <w:color w:val="auto"/>
              </w:rPr>
            </w:pP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$ 79,252</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$ 105,248</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$ 15,378</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4"/>
              </w:rPr>
              <w:t>$ 10,618</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General and administrative expenses for the year ended June 30, 2020 increased by $10.6 million, or 11%, to $105.2 million from $94.6 million for the year ended June 30, 2019. The increase in general and administrative expense was primarily the result of $4.1 million of additional employee-related costs, $2.1 million in the settlement of a certain legal matter and related litigation costs, $1.6 million for certain lease exit and acquisition-related costs and $2.4 million in additional occupancy costs.</w:t>
      </w:r>
    </w:p>
    <w:p>
      <w:pPr>
        <w:spacing w:after="0" w:line="188"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General and administrative expenses for the year ended June 30, 2019 increased by $15.4 million, or 19%, to $94.6 million from $79.3 million for the year ended June 30, 2018. The increase in general and administrative expense was primarily the result of $7.5 million of additional employee-related costs related to additional personnel and $5.7 million in additional stock-based compensation associated with our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Income</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Year Ended June 30,</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ind w:left="60"/>
              <w:spacing w:after="0"/>
              <w:rPr>
                <w:sz w:val="20"/>
                <w:szCs w:val="20"/>
                <w:color w:val="auto"/>
              </w:rPr>
            </w:pPr>
            <w:r>
              <w:rPr>
                <w:rFonts w:ascii="Arial" w:cs="Arial" w:eastAsia="Arial" w:hAnsi="Arial"/>
                <w:sz w:val="14"/>
                <w:szCs w:val="14"/>
                <w:b w:val="1"/>
                <w:bCs w:val="1"/>
                <w:color w:val="auto"/>
              </w:rPr>
              <w:t>Change from</w:t>
            </w:r>
          </w:p>
        </w:tc>
        <w:tc>
          <w:tcPr>
            <w:tcW w:w="1280" w:type="dxa"/>
            <w:vAlign w:val="bottom"/>
            <w:gridSpan w:val="4"/>
          </w:tcPr>
          <w:p>
            <w:pPr>
              <w:ind w:left="6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ind w:left="80"/>
              <w:spacing w:after="0"/>
              <w:rPr>
                <w:sz w:val="20"/>
                <w:szCs w:val="20"/>
                <w:color w:val="auto"/>
              </w:rPr>
            </w:pPr>
            <w:r>
              <w:rPr>
                <w:rFonts w:ascii="Arial" w:cs="Arial" w:eastAsia="Arial" w:hAnsi="Arial"/>
                <w:sz w:val="14"/>
                <w:szCs w:val="14"/>
                <w:b w:val="1"/>
                <w:bCs w:val="1"/>
                <w:color w:val="auto"/>
              </w:rPr>
              <w:t>2018 to 2019</w:t>
            </w: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 w:type="dxa"/>
            <w:vAlign w:val="bottom"/>
          </w:tcPr>
          <w:p>
            <w:pPr>
              <w:spacing w:after="0"/>
              <w:rPr>
                <w:sz w:val="20"/>
                <w:szCs w:val="20"/>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for the fiscal years presented did not materially change on a year-over-year basis.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5"/>
            <w:vMerge w:val="restart"/>
          </w:tcPr>
          <w:p>
            <w:pPr>
              <w:jc w:val="right"/>
              <w:ind w:right="107"/>
              <w:spacing w:after="0"/>
              <w:rPr>
                <w:sz w:val="20"/>
                <w:szCs w:val="20"/>
                <w:color w:val="auto"/>
              </w:rPr>
            </w:pPr>
            <w:r>
              <w:rPr>
                <w:rFonts w:ascii="Arial" w:cs="Arial" w:eastAsia="Arial" w:hAnsi="Arial"/>
                <w:sz w:val="14"/>
                <w:szCs w:val="14"/>
                <w:b w:val="1"/>
                <w:bCs w:val="1"/>
                <w:color w:val="auto"/>
                <w:w w:val="93"/>
              </w:rPr>
              <w:t>Year Ended June 30,</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from</w:t>
            </w:r>
          </w:p>
        </w:tc>
        <w:tc>
          <w:tcPr>
            <w:tcW w:w="1440" w:type="dxa"/>
            <w:vAlign w:val="bottom"/>
            <w:gridSpan w:val="4"/>
          </w:tcPr>
          <w:p>
            <w:pPr>
              <w:ind w:left="22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Arial" w:cs="Arial" w:eastAsia="Arial" w:hAnsi="Arial"/>
                <w:sz w:val="14"/>
                <w:szCs w:val="14"/>
                <w:b w:val="1"/>
                <w:bCs w:val="1"/>
                <w:color w:val="auto"/>
              </w:rPr>
              <w:t>2018 to 2019</w:t>
            </w:r>
          </w:p>
        </w:tc>
        <w:tc>
          <w:tcPr>
            <w:tcW w:w="144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(21,847)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$ 26,070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(1,560)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80" w:type="dxa"/>
            <w:vAlign w:val="bottom"/>
            <w:gridSpan w:val="3"/>
          </w:tcPr>
          <w:p>
            <w:pPr>
              <w:jc w:val="right"/>
              <w:ind w:right="28"/>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The difference in income tax expense (benefit) for the year ended June 30, 2020 as compared to the year ended June 30, 2019 was primarily due to increased deductions related to stock-based compensation partially offset by an increase to the valuation allowance.</w:t>
      </w:r>
    </w:p>
    <w:p>
      <w:pPr>
        <w:spacing w:after="0" w:line="184" w:lineRule="exact"/>
        <w:rPr>
          <w:sz w:val="20"/>
          <w:szCs w:val="20"/>
          <w:color w:val="auto"/>
        </w:rPr>
      </w:pPr>
    </w:p>
    <w:p>
      <w:pPr>
        <w:ind w:left="60" w:right="239" w:firstLine="713"/>
        <w:spacing w:after="0" w:line="259" w:lineRule="auto"/>
        <w:rPr>
          <w:sz w:val="20"/>
          <w:szCs w:val="20"/>
          <w:color w:val="auto"/>
        </w:rPr>
      </w:pPr>
      <w:r>
        <w:rPr>
          <w:rFonts w:ascii="Arial" w:cs="Arial" w:eastAsia="Arial" w:hAnsi="Arial"/>
          <w:sz w:val="18"/>
          <w:szCs w:val="18"/>
          <w:color w:val="auto"/>
        </w:rPr>
        <w:t>The difference in income tax expense (benefit) for the year ended June 30, 2019 as compared to the year ended June 30, 2018 was primarily due to $41.3 million higher pre-tax income in the year ended June 30, 2019 in addition to a non-recurring tax benefit of $22.8 million generated by the release of our valuation allowance during the year ended June 30, 2018.</w:t>
      </w:r>
    </w:p>
    <w:p>
      <w:pPr>
        <w:spacing w:after="0" w:line="187"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See Note 13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181"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In March 2020, the World Health Organization declared the outbreak of COVID-19 as a pandemic which has caused a global slowdown of economic activity that we believe will continue to unfavorably impact our business operations and financial conditions. The duration and severity of the COVID-19 pandemic, and the long-term effect the pandemic will have on our clients and general economic conditions, remains uncertain and difficult to predict. Accounting estimates used in the preparation of these consolidated financial statements may change as new events occur, more experience and additional information is acquired, and the operating environment evolves including the ongoing impact of COVID-19. Refer to “Item 1A. Risk Factors” in this Annual Report on Form 10-K for risks related to the COVID</w:t>
      </w:r>
      <w:r>
        <w:rPr>
          <w:rFonts w:ascii="Arial" w:cs="Arial" w:eastAsia="Arial" w:hAnsi="Arial"/>
          <w:sz w:val="17"/>
          <w:szCs w:val="17"/>
          <w:i w:val="1"/>
          <w:iCs w:val="1"/>
          <w:color w:val="auto"/>
        </w:rPr>
        <w:t>-</w:t>
      </w:r>
      <w:r>
        <w:rPr>
          <w:rFonts w:ascii="Arial" w:cs="Arial" w:eastAsia="Arial" w:hAnsi="Arial"/>
          <w:sz w:val="17"/>
          <w:szCs w:val="17"/>
          <w:color w:val="auto"/>
        </w:rPr>
        <w:t>19 pandemic on its business and financial performance.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adopted Accounting Standards Codification (“ASC”) 606, Revenue from Contracts with Customers (“Topic 606”) effective as of July 1, 2018 using the modified retrospective method of transition, which limited the application of the new standard only to contracts that were not completed as of the effective date. Under Topic 606, we recognize revenue when we transfer control of goods or services to our customers in an amount that reflects the consideration to which we expect to be entitled to for those goods or services.</w:t>
      </w:r>
    </w:p>
    <w:p>
      <w:pPr>
        <w:spacing w:after="0" w:line="188"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We derive our revenue from contracts with clients predominantly from recurring and non-recurring service fees. Recurring fees are derived from payroll and HR related services including time and attendance, employee administration and benefits enrollment and administration services. Payroll services are delivered on a weekly, biweekly, semi-monthly, or monthly basis depending upon the payroll frequency of the client and on an annual basis if a client selects W-2 preparation and processing services. HR related services are typically delivered on a monthly basis.</w:t>
      </w:r>
    </w:p>
    <w:p>
      <w:pPr>
        <w:spacing w:after="0" w:line="161"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The majority of our recurring fees are satisfied over time as services are provided. The performance obligations related to payroll services are satisfied upon the processing of a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we recognize the applicable recurring fees over time each month with the fee charged and collected based on a per employee per 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w:t>
      </w:r>
    </w:p>
    <w:p>
      <w:pPr>
        <w:spacing w:after="0" w:line="168"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We have certain optional performance obligations that are satisfied at a point in time including the sales of time clocks and W-2 preparation services.</w:t>
      </w:r>
    </w:p>
    <w:p>
      <w:pPr>
        <w:spacing w:after="0" w:line="170"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Non-recurring service fees consist mainly of nonrefundable implementation fees, which involve setting up the client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225"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We apply ASC 350-40, Intangibles—Goodwill and Other—Internal-Use Software,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16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Internal-use software is amortized on a straight-line basis, generally over a 24 or 36-month period. We evaluate the useful lives of these assets on an annual basis and test for impairment whenever events or changes in circumstances occur that could impact the recoverability of these assets. There were no impairments to capitalized internal-use software during the years ended June 30, 2018, 2019 or 2020. We capitalized $18.0 million, $23.3 million, and $28.2 million of internal-use software costs for the years ended June 30, 2018, 2019 and 2020, respectively, including stock-based compensation costs of $2.0 million, $2.8 million and $2.4 million for the years ended June 30, 2018, 2019 and 2020, respectively. We amortized $14.3 million, $16.9 million, and $19.3 million of capitalized internal-use software costs for the years ended June 30, 2018, 2019 and 2020, respectively. In fiscal 2018, fiscal 2019 and fiscal 2020, we developed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342" w:lineRule="auto"/>
        <w:rPr>
          <w:sz w:val="20"/>
          <w:szCs w:val="20"/>
          <w:color w:val="auto"/>
        </w:rPr>
      </w:pPr>
      <w:r>
        <w:rPr>
          <w:rFonts w:ascii="Arial" w:cs="Arial" w:eastAsia="Arial" w:hAnsi="Arial"/>
          <w:sz w:val="16"/>
          <w:szCs w:val="16"/>
          <w:color w:val="auto"/>
        </w:rPr>
        <w:t>significant additional functionality in several of our modules. This development resulted in an increase in capitalized internal-use software costs in fiscal 2020 as compared to fiscal 2019 and in fiscal 2019 as compared to fiscal 2018.</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we would record an impairment charge for the amount by which the carrying amount exceeds the reporting unit’s fair value. We perform our annual impairment review of goodwill in our fiscal fourth quarter or when a triggering event occurs between annual impairment tests. No impairment was recorded in fiscal 2018, 2019 or 2020 as a result of our qualitative assessments over our single reporting segment.</w:t>
      </w:r>
    </w:p>
    <w:p>
      <w:pPr>
        <w:spacing w:after="0" w:line="177"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Intangible assets are primarily comprised of acquired client relationships, proprietary technology, trade name and non-solicitation agreements and are reported net of accumulated amortization on the Consolidated Balance Sheets. Client relationships use the straight-line method of amortization over a five to nine-year time frame from the date of acquisition, while proprietary technology and trade names use the straight-line method of amortization over a five-year period from the date of acquisition. Non-solicitation agreements use the straight-line method of amortization over the term of the related agreements. Amortization expense associated with our intangible assets was $1.7 million, $2.3 million and $2.5 million during the years ended June 30, 2018, 2019 and 2020, respectively. We test intangible assets for potential impairment when events or changes in circumstances indicate that the carrying value of such assets may not be recoverable. There were no such events or changes in circumstances during the years ended June 30, 2018, 2019 or 2020.</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We account for federal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4"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Deferred tax assets may be reduced by a valuation allowance to the extent we determine it is more likely than not that some portion or all of the deferred tax assets will not be realized. The valuation of deferred tax assets requires judgment in assessing the likely future tax consequences of events that have been recognized in our financial statements or tax returns and future profitability. Our accounting for deferred tax consequences represents the best estimate of those future events.</w:t>
      </w:r>
    </w:p>
    <w:p>
      <w:pPr>
        <w:spacing w:after="0" w:line="188"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assessing the need for a valuation allowance, we consider both positive and negative evidence related to the likelihood of realization of the deferred tax assets. The weight given to positive and negative evidence is commensurate with the extent to which the evidence may be objectively verified. Based on the amount of positive evidence present from cumulative income in recent years, we released a substantial portion of our valuation allowance during the year ended June 30, 2018.</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recognize the effect of income tax positions only if those positions are more likely than not of being sustained.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Recognized income tax positions are measured at the largest amount that is greater than 50% likely of being realized.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recognition or measurement are reflected in the period in which the change in judgment occurs.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Our primary liquidity needs are related to the funding of general business requirements, including working capital requirements, research and development, and capital expenditures. As of June 30, 2020, our principal sources of liquidity were $250.9 million of cash and cash equivalents and $37.2 million of total corporate investments. In July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91" w:lineRule="auto"/>
        <w:rPr>
          <w:sz w:val="20"/>
          <w:szCs w:val="20"/>
          <w:color w:val="auto"/>
        </w:rPr>
      </w:pPr>
      <w:r>
        <w:rPr>
          <w:rFonts w:ascii="Arial" w:cs="Arial" w:eastAsia="Arial" w:hAnsi="Arial"/>
          <w:sz w:val="16"/>
          <w:szCs w:val="16"/>
          <w:color w:val="auto"/>
        </w:rPr>
        <w:t>2019, we entered into and currently maintain a five-year revolving credit agreement. This credit agreement provides for a $250.0 million senior revolving credit facility which may be increased up to $375.0 million. In April 2020, we borrowed $100.0 million under this credit facility, which remained outstanding as of June 30, 2020. Although we currently do not have any anticipated need for this additional liquidity, we utilized the borrowing capacity under our credit agreement in order to provide enhanced financial flexibility due to uncertain market conditions arising from COVID-19. Refer to Note 11 of the Notes to the Consolidated Financial Statements included in Part II, Item 8: “Financial Statements and Supplementary Data” for additional details on the credit agreement and borrowing activity.</w:t>
      </w:r>
    </w:p>
    <w:p>
      <w:pPr>
        <w:spacing w:after="0" w:line="166"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We invest portions of our excess cash and cash equivalents in highly liquid, investment-grade marketable securities. These investments consist of commercial paper, asset-backed debt securities, corporate debt issuances and U.S. Treasury securities with credit quality ratings of A-1 or higher. We had no investments in unrealized loss positions as of June 30, 2020.</w:t>
      </w:r>
    </w:p>
    <w:p>
      <w:pPr>
        <w:spacing w:after="0" w:line="187"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as well as the extent and duration of COVID-19 on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or further utilize the remaining borrowing capacity under our credit facility to satisfy those needs.</w:t>
      </w:r>
    </w:p>
    <w:p>
      <w:pPr>
        <w:spacing w:after="0" w:line="18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94" w:lineRule="exact"/>
        <w:rPr>
          <w:sz w:val="20"/>
          <w:szCs w:val="20"/>
          <w:color w:val="auto"/>
        </w:rPr>
      </w:pPr>
    </w:p>
    <w:p>
      <w:pPr>
        <w:jc w:val="both"/>
        <w:ind w:left="60" w:right="259" w:firstLine="648"/>
        <w:spacing w:after="0" w:line="311" w:lineRule="auto"/>
        <w:rPr>
          <w:sz w:val="20"/>
          <w:szCs w:val="20"/>
          <w:color w:val="auto"/>
        </w:rPr>
      </w:pPr>
      <w:r>
        <w:rPr>
          <w:rFonts w:ascii="Arial" w:cs="Arial" w:eastAsia="Arial" w:hAnsi="Arial"/>
          <w:sz w:val="16"/>
          <w:szCs w:val="16"/>
          <w:color w:val="auto"/>
        </w:rPr>
        <w:t>We believe our current cash and cash equivalents, corporate investments,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9"/>
          </w:tcPr>
          <w:p>
            <w:pPr>
              <w:ind w:left="520"/>
              <w:spacing w:after="0"/>
              <w:rPr>
                <w:sz w:val="20"/>
                <w:szCs w:val="20"/>
                <w:color w:val="auto"/>
              </w:rPr>
            </w:pPr>
            <w:r>
              <w:rPr>
                <w:rFonts w:ascii="Arial" w:cs="Arial" w:eastAsia="Arial" w:hAnsi="Arial"/>
                <w:sz w:val="14"/>
                <w:szCs w:val="14"/>
                <w:b w:val="1"/>
                <w:bCs w:val="1"/>
                <w:color w:val="auto"/>
              </w:rPr>
              <w:t>Year Ended June 30, 2020</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 and other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(196,597)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(250,685)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246,243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allowances used for tenant improvements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60" w:type="dxa"/>
            <w:vAlign w:val="bottom"/>
          </w:tcPr>
          <w:p>
            <w:pPr>
              <w:ind w:left="320"/>
              <w:spacing w:after="0" w:line="201" w:lineRule="exact"/>
              <w:rPr>
                <w:sz w:val="20"/>
                <w:szCs w:val="20"/>
                <w:color w:val="auto"/>
              </w:rPr>
            </w:pPr>
            <w:r>
              <w:rPr>
                <w:rFonts w:ascii="Arial" w:cs="Arial" w:eastAsia="Arial" w:hAnsi="Arial"/>
                <w:sz w:val="18"/>
                <w:szCs w:val="18"/>
                <w:color w:val="auto"/>
                <w:w w:val="95"/>
              </w:rPr>
              <w:t>Acquisition of business, net of cash and funds held for clients' cash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3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(179,279)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client fund obligations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Borrowings under credit facility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contingent consideration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Repurchases of common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Payment of debt issuance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114,724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760" w:type="dxa"/>
            <w:vAlign w:val="bottom"/>
          </w:tcPr>
          <w:p>
            <w:pPr>
              <w:spacing w:after="0" w:line="182" w:lineRule="exact"/>
              <w:rPr>
                <w:sz w:val="20"/>
                <w:szCs w:val="20"/>
                <w:color w:val="auto"/>
              </w:rPr>
            </w:pPr>
            <w:r>
              <w:rPr>
                <w:rFonts w:ascii="Arial" w:cs="Arial" w:eastAsia="Arial" w:hAnsi="Arial"/>
                <w:sz w:val="18"/>
                <w:szCs w:val="18"/>
                <w:color w:val="auto"/>
                <w:w w:val="91"/>
              </w:rPr>
              <w:t>Net change in cash, cash equivalents and funds held for clients' cash and cash</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193,804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186,412</w:t>
            </w:r>
          </w:p>
        </w:tc>
        <w:tc>
          <w:tcPr>
            <w:tcW w:w="140" w:type="dxa"/>
            <w:vAlign w:val="bottom"/>
          </w:tcPr>
          <w:p>
            <w:pPr>
              <w:spacing w:after="0"/>
              <w:rPr>
                <w:sz w:val="15"/>
                <w:szCs w:val="15"/>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65,990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60" w:type="dxa"/>
            <w:vAlign w:val="bottom"/>
          </w:tcPr>
          <w:p>
            <w:pPr>
              <w:spacing w:after="0"/>
              <w:rPr>
                <w:sz w:val="20"/>
                <w:szCs w:val="20"/>
                <w:color w:val="auto"/>
              </w:rPr>
            </w:pPr>
            <w:r>
              <w:rPr>
                <w:rFonts w:ascii="Arial" w:cs="Arial" w:eastAsia="Arial" w:hAnsi="Arial"/>
                <w:sz w:val="18"/>
                <w:szCs w:val="18"/>
                <w:color w:val="auto"/>
              </w:rPr>
              <w:t>equivalents</w:t>
            </w:r>
          </w:p>
        </w:tc>
        <w:tc>
          <w:tcPr>
            <w:tcW w:w="3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Net cash provided by operating activities was $97.9 million, $115.0 million and $112.7 million for the years ended June 30, 2018, 2019 and 2020, respectively.</w:t>
      </w:r>
    </w:p>
    <w:p>
      <w:pPr>
        <w:spacing w:after="0" w:line="170"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decrease in net cash provided by operating activities from fiscal 2019 to fiscal 2020 was primarily due to net changes in operating assets and liabilities, mostly driven by changes in deferred contract costs and tenant improvement allowances, partially offset by improved operating results after adjusting for non-cash items including stock-based compensation expense, depreciation and amortization expense and deferred income tax expense (benefit). The increase in net cash provided by operating activities from fiscal 2018 to fiscal 2019 was primarily due to improved operating results after adjusting for non-cash items including stock-based compensation expense, depreciation and amortization expense and deferred income tax expense (benefit), partially offset by changes in operating assets and liabilities, mostly driven by changes in deferred contract costs and tenant improvement allowances.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Net cash used in investing activities was $179.3 million, $43.3 million and $48.8 million, for the years ended June 30, 2018, 2019 and 2020, respectively. The net cash used in investing activities is significantly impacted by the timing of purchases and sales and maturities of investments as we invest a portion of our excess cash and cash equivalents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92"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The increase in net cash used in investing activities from fiscal 2019 to fiscal 2020 was primarily due to an increase in purchases of available-for-sale securities and other of $149.7 million during the year ended June 30, 2020 as compared to the year ended June 30, 2019 and $16.7 million in costs related to the acquisition of VidGrid, Inc. during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the year ended June 30, 2020. The aforementioned items were partially offset by an increase in proceeds from sales and maturities of available-for-sale securities of $164.4 million. The decrease in net cash used in investing activities from fiscal 2018 to fiscal 2019 was primarily due to an increase in proceeds from sales and maturities of available-for-sale securities of $173.2 million, partially offset by an increase in purchases of available-for-sale securities and other of $54.1 million during the year ended June 30, 2019 as compared to the year ended June 30, 2018. Other changes in net cash used in investing activities were primarily due to $6.7 million in costs related to the acquisition of BeneFLEX during the year ended June 30, 2018 and decreases in purchases of property and equipment and lease allowances used for tenant improvements of $10.4 million and $4.3 million, respectively.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Net cash provided by financing activities was $275.2 million, $114.7 million and $2.1 million for the years ended June 30, 2018, 2019 and 2020, respectively. The change in net cash provided by financing activities from fiscal 2019 to fiscal 2020 was primarily the result of a decrease of $236.0 million due to the timing of client funds collected and related remittance of those funds to client employees and taxing authorities and $14.7 million in additional taxes paid related to net share settlement of equity awards, partially offset by $100 million in borrowings under our credit facility during fiscal 2020 and $35.0 million in repurchases of common shares during fiscal 2019. The change in net cash provided by financing activities from fiscal 2018 to fiscal 2019 was primarily the result of a decrease of $112.6 million due to the timing of client funds collected and related remittance of those funds to client employees and taxing authorities, $35.0 million in repurchases of common shares during fiscal 2019 and $13.7 million in additional taxes paid related to net share settlement of equity awards.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June 30, 2020:</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3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7"/>
          </w:tcPr>
          <w:p>
            <w:pPr>
              <w:ind w:left="220"/>
              <w:spacing w:after="0"/>
              <w:rPr>
                <w:sz w:val="20"/>
                <w:szCs w:val="20"/>
                <w:color w:val="auto"/>
              </w:rPr>
            </w:pPr>
            <w:r>
              <w:rPr>
                <w:rFonts w:ascii="Arial" w:cs="Arial" w:eastAsia="Arial" w:hAnsi="Arial"/>
                <w:sz w:val="13"/>
                <w:szCs w:val="13"/>
                <w:b w:val="1"/>
                <w:bCs w:val="1"/>
                <w:color w:val="auto"/>
              </w:rPr>
              <w:t>Payment Due By Fiscal Period</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4"/>
        </w:trPr>
        <w:tc>
          <w:tcPr>
            <w:tcW w:w="3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w w:val="86"/>
              </w:rPr>
              <w:t>Less than 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3"/>
              </w:rPr>
              <w:t>More than</w:t>
            </w:r>
          </w:p>
        </w:tc>
        <w:tc>
          <w:tcPr>
            <w:tcW w:w="40" w:type="dxa"/>
            <w:vAlign w:val="bottom"/>
          </w:tcPr>
          <w:p>
            <w:pPr>
              <w:spacing w:after="0"/>
              <w:rPr>
                <w:sz w:val="10"/>
                <w:szCs w:val="10"/>
                <w:color w:val="auto"/>
              </w:rPr>
            </w:pPr>
          </w:p>
        </w:tc>
      </w:tr>
      <w:tr>
        <w:trPr>
          <w:trHeight w:val="153"/>
        </w:trPr>
        <w:tc>
          <w:tcPr>
            <w:tcW w:w="3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jc w:val="right"/>
              <w:ind w:right="179"/>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59"/>
              <w:spacing w:after="0"/>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b w:val="1"/>
                <w:bCs w:val="1"/>
                <w:color w:val="auto"/>
                <w:w w:val="82"/>
              </w:rPr>
              <w:t>1-3 Years</w:t>
            </w:r>
          </w:p>
        </w:tc>
        <w:tc>
          <w:tcPr>
            <w:tcW w:w="1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3-5 Years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5 Years</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10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$ 104,334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$ 101,125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99,522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10,978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19,024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18,553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50,967</w:t>
            </w:r>
          </w:p>
        </w:tc>
        <w:tc>
          <w:tcPr>
            <w:tcW w:w="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$ 216,752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19,089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26,354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$ 120,342</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50,967</w:t>
            </w:r>
          </w:p>
        </w:tc>
        <w:tc>
          <w:tcPr>
            <w:tcW w:w="4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right="1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contractual maturity of and estimated interest payments on borrowings under our revolving credit facility. Interest was calculated using the interest rate in effect as of June 30,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and the ongoing impact of COVID-19. In the event that our sales growth or other factors do not meet our expectations, we may eliminate or curtail capital projects in order to mitigate the impact on our use of cash. Capital expenditures were $21.7 million, $11.3 million and $16.6 million for the years ended June 30, 2018, 2019 and 2020, respectively, exclusive of capitalized internal-use software costs of $15.6 million, $20.1 million, and $25.7 million for the same periods, respectively. We also spent $11.8 million and $7.5 million in fiscal 2018 and fiscal 2019, respectively, on capital expenditures for which we received reimbursement for tenant improvement allowances.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Refer to Note 2 of the Notes to the Consolidated Financial Statements included in Part II, Item 8: “Financial Statements and Supplementary Data” for a discussion of recently issued accounting standards.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As of June 30, 2020, we had cash and cash equivalents of $250.9 million, total corporate investments of $37.2 million and funds held for clients of $1,327.3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commercial paper, corporate bonds, asset-backed securities and U.S. treasury securities which were classified as available-for-sale securities as of</w:t>
      </w:r>
    </w:p>
    <w:p>
      <w:pPr>
        <w:spacing w:after="0" w:line="2" w:lineRule="exact"/>
        <w:rPr>
          <w:sz w:val="20"/>
          <w:szCs w:val="20"/>
          <w:color w:val="auto"/>
        </w:rPr>
      </w:pPr>
    </w:p>
    <w:p>
      <w:pPr>
        <w:ind w:left="60" w:right="279"/>
        <w:spacing w:after="0" w:line="255" w:lineRule="auto"/>
        <w:rPr>
          <w:sz w:val="20"/>
          <w:szCs w:val="20"/>
          <w:color w:val="auto"/>
        </w:rPr>
      </w:pPr>
      <w:r>
        <w:rPr>
          <w:rFonts w:ascii="Arial" w:cs="Arial" w:eastAsia="Arial" w:hAnsi="Arial"/>
          <w:sz w:val="18"/>
          <w:szCs w:val="18"/>
          <w:color w:val="auto"/>
        </w:rPr>
        <w:t>June 30, 2020.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9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95" w:lineRule="exact"/>
        <w:rPr>
          <w:sz w:val="20"/>
          <w:szCs w:val="20"/>
          <w:color w:val="auto"/>
        </w:rPr>
      </w:pPr>
    </w:p>
    <w:p>
      <w:pPr>
        <w:ind w:left="60" w:right="419" w:firstLine="648"/>
        <w:spacing w:after="0" w:line="257"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100-basis point change in interest rates would have had an immaterial effect on the market value of our available-for-sale securities as of June 30, 2020. Fluctuations in the value of our available-for-sale securities caused by changes in interest rates are recorded in other comprehensive income and are only realized if we sell the underlying securities.</w:t>
      </w:r>
    </w:p>
    <w:p>
      <w:pPr>
        <w:spacing w:after="0" w:line="188"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212529"/>
        </w:rPr>
        <w:t xml:space="preserve">Additionally, as described in </w:t>
      </w:r>
      <w:r>
        <w:rPr>
          <w:rFonts w:ascii="Arial" w:cs="Arial" w:eastAsia="Arial" w:hAnsi="Arial"/>
          <w:sz w:val="16"/>
          <w:szCs w:val="16"/>
          <w:color w:val="000000"/>
        </w:rPr>
        <w:t>Note 11 of the Notes to the Consolidated Financial Statements included in Part II,</w:t>
      </w:r>
      <w:r>
        <w:rPr>
          <w:rFonts w:ascii="Arial" w:cs="Arial" w:eastAsia="Arial" w:hAnsi="Arial"/>
          <w:sz w:val="16"/>
          <w:szCs w:val="16"/>
          <w:color w:val="212529"/>
        </w:rPr>
        <w:t xml:space="preserve"> </w:t>
      </w:r>
      <w:r>
        <w:rPr>
          <w:rFonts w:ascii="Arial" w:cs="Arial" w:eastAsia="Arial" w:hAnsi="Arial"/>
          <w:sz w:val="16"/>
          <w:szCs w:val="16"/>
          <w:color w:val="000000"/>
        </w:rPr>
        <w:t>Item 8: “Financial Statements and Supplementary Data”</w:t>
      </w:r>
      <w:r>
        <w:rPr>
          <w:rFonts w:ascii="Arial" w:cs="Arial" w:eastAsia="Arial" w:hAnsi="Arial"/>
          <w:sz w:val="16"/>
          <w:szCs w:val="16"/>
          <w:color w:val="212529"/>
        </w:rPr>
        <w:t>, we entered into a credit agreement that provides for a revolving</w:t>
      </w:r>
      <w:r>
        <w:rPr>
          <w:rFonts w:ascii="Arial" w:cs="Arial" w:eastAsia="Arial" w:hAnsi="Arial"/>
          <w:sz w:val="16"/>
          <w:szCs w:val="16"/>
          <w:color w:val="000000"/>
        </w:rPr>
        <w:t xml:space="preserve"> </w:t>
      </w:r>
      <w:r>
        <w:rPr>
          <w:rFonts w:ascii="Arial" w:cs="Arial" w:eastAsia="Arial" w:hAnsi="Arial"/>
          <w:sz w:val="16"/>
          <w:szCs w:val="16"/>
          <w:color w:val="212529"/>
        </w:rPr>
        <w:t>credit facility (“credit facility”) in the aggregate amount of $250.0 million, which may be increased up to $375.0 million. Borrowings under the credit facility generally bear interest at a rate based upon the London Interbank Offered Rate (“LIBOR”) (or a replacement rate for LIBOR) or, at our sole option, an adjusted base rate plus an applicable margin based on our then-applicable net senior secured leverage ratio. As of June 30, 2020, we had $100.0 million in borrowings outstanding under the credit facility. Because interest rates applicable to the credit facility are variable, we are exposed to market risk from changes in the underlying index rates, which affects our interest expense. A hypothetical increase of 100 basis points in interest rates would not have had a significant impact on our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consolidated financial statements and accompanying notes set forth on pages F-1 through F-33 of this Annual Report on Form 10-K.</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June 30, 2020, the end of the period covered by this Annual Report on Form 10-K. Based upon such evaluation, our Chief Executive Officer and Chief Financial Officer have concluded that our disclosure controls and procedures were effective as of such date.</w:t>
      </w:r>
    </w:p>
    <w:p>
      <w:pPr>
        <w:spacing w:after="0" w:line="171"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Management’s Report on Internal Control Over Financial Reporting and Attestation Report of the Registered Public Accounting Firm</w:t>
      </w:r>
    </w:p>
    <w:p>
      <w:pPr>
        <w:spacing w:after="0" w:line="170"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Our management, including our Chief Executive Officer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2" w:lineRule="exact"/>
        <w:rPr>
          <w:sz w:val="20"/>
          <w:szCs w:val="20"/>
          <w:color w:val="auto"/>
        </w:rPr>
      </w:pPr>
    </w:p>
    <w:p>
      <w:pPr>
        <w:ind w:left="60" w:right="79" w:hanging="10"/>
        <w:spacing w:after="0" w:line="252" w:lineRule="auto"/>
        <w:tabs>
          <w:tab w:leader="none" w:pos="2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4"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as of June 30, 2020, based on the framework in Internal Control—Integrated Framework issued by the Committee of Sponsoring Organizations of the Treadway Commission (COSO) (2013 framework). Based on this evaluation under the Internal Control—Integrated Framework our Chief Executive Officer and Chief Financial Officer have concluded that our internal control over financial reporting was effective as of June 30, 2020.</w:t>
      </w:r>
    </w:p>
    <w:p>
      <w:pPr>
        <w:spacing w:after="0" w:line="178"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Our independent registered public accounting firm, which has audited our financial statements, has also audited the effectiveness of our internal control over financial reporting as of June 30, 2020, as stated in their report, which is included in Item 15(a)(1) of this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changes in our internal control over financial reporting during the fiscal quarter ended</w:t>
      </w:r>
    </w:p>
    <w:p>
      <w:pPr>
        <w:spacing w:after="0" w:line="23"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June 30, 2020, that have materially affected, or are reasonably likely to materially affect, our internal control over financial reporting. Effective July 1, 2019, we adopted Accounting Standard Codification Topic 842, Leases. Changes were made to the relevant business processes and the related control activities in order to monitor and maintain appropriate controls over financial reporting.</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10, will be included in our Proxy Statement relating to our 2021 annual meeting of stockholders to be filed with the SEC within 120 days after the end of our fiscal year ended June 30, 2020,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11, will be included in our Proxy Statement relating to our 2021 annual meeting of stockholders to be filed with the SEC within 120 days after the end of our fiscal year ended June 30, 2020,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2"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12, will be included in our Proxy Statement relating to our 2021 annual meeting of stockholders to be filed with the SEC within 120 days after the end of our fiscal year ended June 30, 2020,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13, will be included in our Proxy Statement relating to our 2021 annual meeting of stockholders to be filed with the SEC within 120 days after the end of our fiscal year ended June 30, 2020,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Information required by Part III, Item 14, will be included in our Proxy Statement relating to our 2021 annual meeting of stockholders to be filed with the SEC within 120 days after the end of our fiscal year ended June 30, 2020,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Documents Filed with Report</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00" w:type="dxa"/>
            <w:vAlign w:val="bottom"/>
            <w:gridSpan w:val="2"/>
          </w:tcPr>
          <w:p>
            <w:pPr>
              <w:ind w:left="120"/>
              <w:spacing w:after="0"/>
              <w:rPr>
                <w:sz w:val="20"/>
                <w:szCs w:val="20"/>
                <w:color w:val="auto"/>
              </w:rPr>
            </w:pPr>
            <w:r>
              <w:rPr>
                <w:rFonts w:ascii="Arial" w:cs="Arial" w:eastAsia="Arial" w:hAnsi="Arial"/>
                <w:sz w:val="18"/>
                <w:szCs w:val="18"/>
                <w:color w:val="auto"/>
              </w:rPr>
              <w:t>(1)</w:t>
            </w:r>
          </w:p>
        </w:tc>
        <w:tc>
          <w:tcPr>
            <w:tcW w:w="7740" w:type="dxa"/>
            <w:vAlign w:val="bottom"/>
            <w:gridSpan w:val="2"/>
          </w:tcPr>
          <w:p>
            <w:pPr>
              <w:ind w:left="20"/>
              <w:spacing w:after="0"/>
              <w:rPr>
                <w:sz w:val="20"/>
                <w:szCs w:val="20"/>
                <w:color w:val="auto"/>
              </w:rPr>
            </w:pPr>
            <w:r>
              <w:rPr>
                <w:rFonts w:ascii="Arial" w:cs="Arial" w:eastAsia="Arial" w:hAnsi="Arial"/>
                <w:sz w:val="18"/>
                <w:szCs w:val="18"/>
                <w:i w:val="1"/>
                <w:iCs w:val="1"/>
                <w:color w:val="auto"/>
              </w:rPr>
              <w:t>Financial Statements.</w:t>
            </w:r>
          </w:p>
        </w:tc>
        <w:tc>
          <w:tcPr>
            <w:tcW w:w="400" w:type="dxa"/>
            <w:vAlign w:val="bottom"/>
          </w:tcPr>
          <w:p>
            <w:pPr>
              <w:spacing w:after="0"/>
              <w:rPr>
                <w:sz w:val="20"/>
                <w:szCs w:val="20"/>
                <w:color w:val="auto"/>
              </w:rPr>
            </w:pPr>
          </w:p>
        </w:tc>
      </w:tr>
      <w:tr>
        <w:trPr>
          <w:trHeight w:val="432"/>
        </w:trPr>
        <w:tc>
          <w:tcPr>
            <w:tcW w:w="824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8"/>
              </w:rPr>
              <w:t>F-2</w:t>
            </w:r>
          </w:p>
        </w:tc>
      </w:tr>
      <w:tr>
        <w:trPr>
          <w:trHeight w:val="432"/>
        </w:trPr>
        <w:tc>
          <w:tcPr>
            <w:tcW w:w="8240" w:type="dxa"/>
            <w:vAlign w:val="bottom"/>
            <w:gridSpan w:val="4"/>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Balance Sheets as of June 30, 2019 and 2020</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8"/>
              </w:rPr>
              <w:t>F-5</w:t>
            </w:r>
          </w:p>
        </w:tc>
      </w:tr>
      <w:tr>
        <w:trPr>
          <w:trHeight w:val="392"/>
        </w:trPr>
        <w:tc>
          <w:tcPr>
            <w:tcW w:w="8240" w:type="dxa"/>
            <w:vAlign w:val="bottom"/>
            <w:gridSpan w:val="4"/>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Consolidated Statements of Operations and Comprehensive Income for the years ended June 30, 2018, 2019 and</w:t>
              </w:r>
            </w:hyperlink>
          </w:p>
        </w:tc>
        <w:tc>
          <w:tcPr>
            <w:tcW w:w="400" w:type="dxa"/>
            <w:vAlign w:val="bottom"/>
          </w:tcPr>
          <w:p>
            <w:pPr>
              <w:spacing w:after="0"/>
              <w:rPr>
                <w:sz w:val="24"/>
                <w:szCs w:val="24"/>
                <w:color w:val="auto"/>
              </w:rPr>
            </w:pPr>
          </w:p>
        </w:tc>
      </w:tr>
      <w:tr>
        <w:trPr>
          <w:trHeight w:val="196"/>
        </w:trPr>
        <w:tc>
          <w:tcPr>
            <w:tcW w:w="500" w:type="dxa"/>
            <w:vAlign w:val="bottom"/>
            <w:tcBorders>
              <w:top w:val="single" w:sz="8" w:color="0000EE"/>
            </w:tcBorders>
            <w:gridSpan w:val="2"/>
          </w:tcPr>
          <w:p>
            <w:pPr>
              <w:ind w:left="140"/>
              <w:spacing w:after="0" w:line="196" w:lineRule="exact"/>
              <w:rPr>
                <w:rFonts w:ascii="Arial" w:cs="Arial" w:eastAsia="Arial" w:hAnsi="Arial"/>
                <w:sz w:val="18"/>
                <w:szCs w:val="18"/>
                <w:color w:val="0000EE"/>
                <w:w w:val="84"/>
              </w:rPr>
            </w:pPr>
            <w:hyperlink w:anchor="page71">
              <w:r>
                <w:rPr>
                  <w:rFonts w:ascii="Arial" w:cs="Arial" w:eastAsia="Arial" w:hAnsi="Arial"/>
                  <w:sz w:val="18"/>
                  <w:szCs w:val="18"/>
                  <w:color w:val="0000EE"/>
                  <w:w w:val="84"/>
                </w:rPr>
                <w:t>2020</w:t>
              </w:r>
            </w:hyperlink>
          </w:p>
        </w:tc>
        <w:tc>
          <w:tcPr>
            <w:tcW w:w="76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8240" w:type="dxa"/>
            <w:vAlign w:val="bottom"/>
            <w:gridSpan w:val="4"/>
          </w:tcPr>
          <w:p>
            <w:pPr>
              <w:spacing w:after="0"/>
              <w:rPr>
                <w:rFonts w:ascii="Arial" w:cs="Arial" w:eastAsia="Arial" w:hAnsi="Arial"/>
                <w:sz w:val="18"/>
                <w:szCs w:val="18"/>
                <w:u w:val="single" w:color="auto"/>
                <w:color w:val="0000EE"/>
                <w:w w:val="91"/>
              </w:rPr>
            </w:pPr>
            <w:hyperlink w:anchor="page72">
              <w:r>
                <w:rPr>
                  <w:rFonts w:ascii="Arial" w:cs="Arial" w:eastAsia="Arial" w:hAnsi="Arial"/>
                  <w:sz w:val="18"/>
                  <w:szCs w:val="18"/>
                  <w:u w:val="single" w:color="auto"/>
                  <w:color w:val="0000EE"/>
                  <w:w w:val="91"/>
                </w:rPr>
                <w:t>Consolidated Statements of Changes in Stockholders’ Equity for the years ended June 30, 2018, 2019 and 2020</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8"/>
              </w:rPr>
              <w:t>F-7</w:t>
            </w:r>
          </w:p>
        </w:tc>
      </w:tr>
      <w:tr>
        <w:trPr>
          <w:trHeight w:val="432"/>
        </w:trPr>
        <w:tc>
          <w:tcPr>
            <w:tcW w:w="8240" w:type="dxa"/>
            <w:vAlign w:val="bottom"/>
            <w:gridSpan w:val="4"/>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Statements of Cash Flows for the years ended June 30, 2018, 2019 and 2020</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8"/>
              </w:rPr>
              <w:t>F-8</w:t>
            </w:r>
          </w:p>
        </w:tc>
      </w:tr>
      <w:tr>
        <w:trPr>
          <w:trHeight w:val="432"/>
        </w:trPr>
        <w:tc>
          <w:tcPr>
            <w:tcW w:w="824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Notes to the Consolidated Financial Statements</w:t>
              </w:r>
            </w:hyperlink>
          </w:p>
        </w:tc>
        <w:tc>
          <w:tcPr>
            <w:tcW w:w="400" w:type="dxa"/>
            <w:vAlign w:val="bottom"/>
          </w:tcPr>
          <w:p>
            <w:pPr>
              <w:ind w:left="140"/>
              <w:spacing w:after="0"/>
              <w:rPr>
                <w:sz w:val="20"/>
                <w:szCs w:val="20"/>
                <w:color w:val="auto"/>
              </w:rPr>
            </w:pPr>
            <w:r>
              <w:rPr>
                <w:rFonts w:ascii="Arial" w:cs="Arial" w:eastAsia="Arial" w:hAnsi="Arial"/>
                <w:sz w:val="18"/>
                <w:szCs w:val="18"/>
                <w:color w:val="auto"/>
                <w:w w:val="88"/>
              </w:rPr>
              <w:t>F-9</w:t>
            </w:r>
          </w:p>
        </w:tc>
      </w:tr>
      <w:tr>
        <w:trPr>
          <w:trHeight w:val="432"/>
        </w:trPr>
        <w:tc>
          <w:tcPr>
            <w:tcW w:w="500" w:type="dxa"/>
            <w:vAlign w:val="bottom"/>
            <w:gridSpan w:val="2"/>
          </w:tcPr>
          <w:p>
            <w:pPr>
              <w:ind w:left="120"/>
              <w:spacing w:after="0"/>
              <w:rPr>
                <w:sz w:val="20"/>
                <w:szCs w:val="20"/>
                <w:color w:val="auto"/>
              </w:rPr>
            </w:pPr>
            <w:r>
              <w:rPr>
                <w:rFonts w:ascii="Arial" w:cs="Arial" w:eastAsia="Arial" w:hAnsi="Arial"/>
                <w:sz w:val="18"/>
                <w:szCs w:val="18"/>
                <w:color w:val="auto"/>
              </w:rPr>
              <w:t>(2)</w:t>
            </w:r>
          </w:p>
        </w:tc>
        <w:tc>
          <w:tcPr>
            <w:tcW w:w="7740" w:type="dxa"/>
            <w:vAlign w:val="bottom"/>
            <w:gridSpan w:val="2"/>
          </w:tcPr>
          <w:p>
            <w:pPr>
              <w:ind w:left="20"/>
              <w:spacing w:after="0"/>
              <w:rPr>
                <w:sz w:val="20"/>
                <w:szCs w:val="20"/>
                <w:color w:val="auto"/>
              </w:rPr>
            </w:pPr>
            <w:r>
              <w:rPr>
                <w:rFonts w:ascii="Arial" w:cs="Arial" w:eastAsia="Arial" w:hAnsi="Arial"/>
                <w:sz w:val="18"/>
                <w:szCs w:val="18"/>
                <w:i w:val="1"/>
                <w:iCs w:val="1"/>
                <w:color w:val="auto"/>
              </w:rPr>
              <w:t>Exhibits.</w:t>
            </w:r>
          </w:p>
        </w:tc>
        <w:tc>
          <w:tcPr>
            <w:tcW w:w="400" w:type="dxa"/>
            <w:vAlign w:val="bottom"/>
          </w:tcPr>
          <w:p>
            <w:pPr>
              <w:spacing w:after="0"/>
              <w:rPr>
                <w:sz w:val="24"/>
                <w:szCs w:val="24"/>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required by this Item is set forth on the Exhibit Index immediately following this page.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680" w:type="dxa"/>
            <w:vAlign w:val="bottom"/>
          </w:tcPr>
          <w:p>
            <w:pPr>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4540" w:type="dxa"/>
            <w:vAlign w:val="bottom"/>
          </w:tcPr>
          <w:p>
            <w:pPr>
              <w:ind w:left="1660"/>
              <w:spacing w:after="0" w:line="142" w:lineRule="exact"/>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96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2"/>
                <w:szCs w:val="12"/>
                <w:color w:val="auto"/>
              </w:rPr>
            </w:pP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12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20"/>
        </w:trPr>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2.1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r>
        <w:rPr>
          <w:rFonts w:ascii="Arial" w:cs="Arial" w:eastAsia="Arial" w:hAnsi="Arial"/>
          <w:sz w:val="32"/>
          <w:szCs w:val="32"/>
          <w:color w:val="auto"/>
          <w:vertAlign w:val="superscript"/>
        </w:rPr>
        <w: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10.2.1</w:t>
      </w:r>
      <w:r>
        <w:rPr>
          <w:rFonts w:ascii="Arial" w:cs="Arial" w:eastAsia="Arial" w:hAnsi="Arial"/>
          <w:sz w:val="24"/>
          <w:szCs w:val="24"/>
          <w:color w:val="auto"/>
          <w:vertAlign w:val="superscript"/>
        </w:rPr>
        <w:t>†</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10.2.2</w:t>
      </w:r>
      <w:r>
        <w:rPr>
          <w:rFonts w:ascii="Arial" w:cs="Arial" w:eastAsia="Arial" w:hAnsi="Arial"/>
          <w:sz w:val="24"/>
          <w:szCs w:val="24"/>
          <w:color w:val="auto"/>
          <w:vertAlign w:val="superscript"/>
        </w:rPr>
        <w:t>†</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r>
        <w:rPr>
          <w:rFonts w:ascii="Arial" w:cs="Arial" w:eastAsia="Arial" w:hAnsi="Arial"/>
          <w:sz w:val="32"/>
          <w:szCs w:val="32"/>
          <w:color w:val="auto"/>
          <w:vertAlign w:val="superscript"/>
        </w:rPr>
        <w: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640" w:type="dxa"/>
            <w:vAlign w:val="bottom"/>
            <w:gridSpan w:val="10"/>
          </w:tcPr>
          <w:p>
            <w:pPr>
              <w:spacing w:after="0"/>
              <w:rPr>
                <w:rFonts w:ascii="Arial" w:cs="Arial" w:eastAsia="Arial" w:hAnsi="Arial"/>
                <w:sz w:val="16"/>
                <w:szCs w:val="16"/>
                <w:u w:val="single" w:color="auto"/>
                <w:color w:val="0000EE"/>
              </w:rPr>
            </w:pPr>
            <w:hyperlink r:id="rId78">
              <w:r>
                <w:rPr>
                  <w:rFonts w:ascii="Arial" w:cs="Arial" w:eastAsia="Arial" w:hAnsi="Arial"/>
                  <w:sz w:val="16"/>
                  <w:szCs w:val="16"/>
                  <w:u w:val="single" w:color="auto"/>
                  <w:color w:val="0000EE"/>
                </w:rPr>
                <w:t>Share Exchange Agreement, dated November 7, 2013.</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398"/>
        </w:trPr>
        <w:tc>
          <w:tcPr>
            <w:tcW w:w="4640" w:type="dxa"/>
            <w:vAlign w:val="bottom"/>
            <w:gridSpan w:val="10"/>
          </w:tcPr>
          <w:p>
            <w:pPr>
              <w:spacing w:after="0"/>
              <w:rPr>
                <w:rFonts w:ascii="Arial" w:cs="Arial" w:eastAsia="Arial" w:hAnsi="Arial"/>
                <w:sz w:val="16"/>
                <w:szCs w:val="16"/>
                <w:color w:val="0000EE"/>
              </w:rPr>
            </w:pPr>
            <w:hyperlink r:id="rId79">
              <w:r>
                <w:rPr>
                  <w:rFonts w:ascii="Arial" w:cs="Arial" w:eastAsia="Arial" w:hAnsi="Arial"/>
                  <w:sz w:val="16"/>
                  <w:szCs w:val="16"/>
                  <w:color w:val="0000EE"/>
                </w:rPr>
                <w:t>First Amended and Restated Certificate of Incorporation of the</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96"/>
        </w:trPr>
        <w:tc>
          <w:tcPr>
            <w:tcW w:w="70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7"/>
              </w:rPr>
            </w:pPr>
            <w:hyperlink r:id="rId79">
              <w:r>
                <w:rPr>
                  <w:rFonts w:ascii="Arial" w:cs="Arial" w:eastAsia="Arial" w:hAnsi="Arial"/>
                  <w:sz w:val="16"/>
                  <w:szCs w:val="16"/>
                  <w:color w:val="0000EE"/>
                  <w:w w:val="87"/>
                </w:rPr>
                <w:t>Registrant.</w:t>
              </w:r>
            </w:hyperlink>
          </w:p>
        </w:tc>
        <w:tc>
          <w:tcPr>
            <w:tcW w:w="3360" w:type="dxa"/>
            <w:vAlign w:val="bottom"/>
            <w:tcBorders>
              <w:top w:val="single" w:sz="8" w:color="0000EE"/>
            </w:tcBorders>
            <w:gridSpan w:val="2"/>
          </w:tcPr>
          <w:p>
            <w:pPr>
              <w:spacing w:after="0"/>
              <w:rPr>
                <w:sz w:val="17"/>
                <w:szCs w:val="17"/>
                <w:color w:val="auto"/>
              </w:rPr>
            </w:pPr>
          </w:p>
        </w:tc>
        <w:tc>
          <w:tcPr>
            <w:tcW w:w="58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47"/>
        </w:trPr>
        <w:tc>
          <w:tcPr>
            <w:tcW w:w="4640" w:type="dxa"/>
            <w:vAlign w:val="bottom"/>
            <w:gridSpan w:val="10"/>
          </w:tcPr>
          <w:p>
            <w:pPr>
              <w:spacing w:after="0"/>
              <w:rPr>
                <w:rFonts w:ascii="Arial" w:cs="Arial" w:eastAsia="Arial" w:hAnsi="Arial"/>
                <w:sz w:val="16"/>
                <w:szCs w:val="16"/>
                <w:color w:val="0000EE"/>
              </w:rPr>
            </w:pPr>
            <w:hyperlink r:id="rId80">
              <w:r>
                <w:rPr>
                  <w:rFonts w:ascii="Arial" w:cs="Arial" w:eastAsia="Arial" w:hAnsi="Arial"/>
                  <w:sz w:val="16"/>
                  <w:szCs w:val="16"/>
                  <w:u w:val="single" w:color="auto"/>
                  <w:color w:val="0000EE"/>
                </w:rPr>
                <w:t>Amended and Restated By-Laws of the Registrant</w:t>
              </w:r>
              <w:r>
                <w:rPr>
                  <w:rFonts w:ascii="Arial" w:cs="Arial" w:eastAsia="Arial" w:hAnsi="Arial"/>
                  <w:sz w:val="16"/>
                  <w:szCs w:val="16"/>
                  <w:color w:val="0000EE"/>
                </w:rPr>
                <w:t>.</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August 11, 2017</w:t>
            </w:r>
          </w:p>
        </w:tc>
      </w:tr>
      <w:tr>
        <w:trPr>
          <w:trHeight w:val="397"/>
        </w:trPr>
        <w:tc>
          <w:tcPr>
            <w:tcW w:w="4640" w:type="dxa"/>
            <w:vAlign w:val="bottom"/>
            <w:gridSpan w:val="10"/>
          </w:tcPr>
          <w:p>
            <w:pPr>
              <w:spacing w:after="0"/>
              <w:rPr>
                <w:rFonts w:ascii="Arial" w:cs="Arial" w:eastAsia="Arial" w:hAnsi="Arial"/>
                <w:sz w:val="16"/>
                <w:szCs w:val="16"/>
                <w:color w:val="0000EE"/>
                <w:w w:val="96"/>
              </w:rPr>
            </w:pPr>
            <w:hyperlink r:id="rId81">
              <w:r>
                <w:rPr>
                  <w:rFonts w:ascii="Arial" w:cs="Arial" w:eastAsia="Arial" w:hAnsi="Arial"/>
                  <w:sz w:val="16"/>
                  <w:szCs w:val="16"/>
                  <w:color w:val="0000EE"/>
                  <w:w w:val="96"/>
                </w:rPr>
                <w:t>Amended and Restated Investor Rights Agreement, dated June 29,</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96"/>
        </w:trPr>
        <w:tc>
          <w:tcPr>
            <w:tcW w:w="360" w:type="dxa"/>
            <w:vAlign w:val="bottom"/>
            <w:tcBorders>
              <w:top w:val="single" w:sz="8" w:color="0000EE"/>
              <w:bottom w:val="single" w:sz="8" w:color="0000EE"/>
            </w:tcBorders>
          </w:tcPr>
          <w:p>
            <w:pPr>
              <w:spacing w:after="0"/>
              <w:rPr>
                <w:rFonts w:ascii="Arial" w:cs="Arial" w:eastAsia="Arial" w:hAnsi="Arial"/>
                <w:sz w:val="16"/>
                <w:szCs w:val="16"/>
                <w:color w:val="0000EE"/>
                <w:w w:val="84"/>
              </w:rPr>
            </w:pPr>
            <w:hyperlink r:id="rId81">
              <w:r>
                <w:rPr>
                  <w:rFonts w:ascii="Arial" w:cs="Arial" w:eastAsia="Arial" w:hAnsi="Arial"/>
                  <w:sz w:val="16"/>
                  <w:szCs w:val="16"/>
                  <w:color w:val="0000EE"/>
                  <w:w w:val="84"/>
                </w:rPr>
                <w:t>2012.</w:t>
              </w:r>
            </w:hyperlink>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47"/>
        </w:trPr>
        <w:tc>
          <w:tcPr>
            <w:tcW w:w="4640" w:type="dxa"/>
            <w:vAlign w:val="bottom"/>
            <w:gridSpan w:val="10"/>
          </w:tcPr>
          <w:p>
            <w:pPr>
              <w:spacing w:after="0"/>
              <w:rPr>
                <w:rFonts w:ascii="Arial" w:cs="Arial" w:eastAsia="Arial" w:hAnsi="Arial"/>
                <w:sz w:val="16"/>
                <w:szCs w:val="16"/>
                <w:u w:val="single" w:color="auto"/>
                <w:color w:val="0000EE"/>
              </w:rPr>
            </w:pPr>
            <w:hyperlink r:id="rId82">
              <w:r>
                <w:rPr>
                  <w:rFonts w:ascii="Arial" w:cs="Arial" w:eastAsia="Arial" w:hAnsi="Arial"/>
                  <w:sz w:val="16"/>
                  <w:szCs w:val="16"/>
                  <w:u w:val="single" w:color="auto"/>
                  <w:color w:val="0000EE"/>
                </w:rPr>
                <w:t>Form of Indemnification Agreement for directors and officers.</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432"/>
        </w:trPr>
        <w:tc>
          <w:tcPr>
            <w:tcW w:w="4640" w:type="dxa"/>
            <w:vAlign w:val="bottom"/>
            <w:gridSpan w:val="10"/>
          </w:tcPr>
          <w:p>
            <w:pPr>
              <w:spacing w:after="0"/>
              <w:rPr>
                <w:rFonts w:ascii="Arial" w:cs="Arial" w:eastAsia="Arial" w:hAnsi="Arial"/>
                <w:sz w:val="16"/>
                <w:szCs w:val="16"/>
                <w:u w:val="single" w:color="auto"/>
                <w:color w:val="0000EE"/>
              </w:rPr>
            </w:pPr>
            <w:hyperlink r:id="rId83">
              <w:r>
                <w:rPr>
                  <w:rFonts w:ascii="Arial" w:cs="Arial" w:eastAsia="Arial" w:hAnsi="Arial"/>
                  <w:sz w:val="16"/>
                  <w:szCs w:val="16"/>
                  <w:u w:val="single" w:color="auto"/>
                  <w:color w:val="0000EE"/>
                </w:rPr>
                <w:t>2008 Equity Incentive Plan and forms of agreement thereunder.</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465"/>
        </w:trPr>
        <w:tc>
          <w:tcPr>
            <w:tcW w:w="4640" w:type="dxa"/>
            <w:vAlign w:val="bottom"/>
            <w:gridSpan w:val="10"/>
          </w:tcPr>
          <w:p>
            <w:pPr>
              <w:spacing w:after="0"/>
              <w:rPr>
                <w:rFonts w:ascii="Arial" w:cs="Arial" w:eastAsia="Arial" w:hAnsi="Arial"/>
                <w:sz w:val="16"/>
                <w:szCs w:val="16"/>
                <w:color w:val="0000EE"/>
                <w:w w:val="96"/>
              </w:rPr>
            </w:pPr>
            <w:hyperlink r:id="rId84">
              <w:r>
                <w:rPr>
                  <w:rFonts w:ascii="Arial" w:cs="Arial" w:eastAsia="Arial" w:hAnsi="Arial"/>
                  <w:sz w:val="16"/>
                  <w:szCs w:val="16"/>
                  <w:color w:val="0000EE"/>
                  <w:w w:val="96"/>
                </w:rPr>
                <w:t>First Amendment to the 2008 Equity Incentive Plan, dated August 5,</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10.3.1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96"/>
        </w:trPr>
        <w:tc>
          <w:tcPr>
            <w:tcW w:w="360" w:type="dxa"/>
            <w:vAlign w:val="bottom"/>
            <w:tcBorders>
              <w:top w:val="single" w:sz="8" w:color="0000EE"/>
              <w:bottom w:val="single" w:sz="8" w:color="0000EE"/>
            </w:tcBorders>
          </w:tcPr>
          <w:p>
            <w:pPr>
              <w:spacing w:after="0"/>
              <w:rPr>
                <w:rFonts w:ascii="Arial" w:cs="Arial" w:eastAsia="Arial" w:hAnsi="Arial"/>
                <w:sz w:val="16"/>
                <w:szCs w:val="16"/>
                <w:color w:val="0000EE"/>
                <w:w w:val="84"/>
              </w:rPr>
            </w:pPr>
            <w:hyperlink r:id="rId84">
              <w:r>
                <w:rPr>
                  <w:rFonts w:ascii="Arial" w:cs="Arial" w:eastAsia="Arial" w:hAnsi="Arial"/>
                  <w:sz w:val="16"/>
                  <w:szCs w:val="16"/>
                  <w:color w:val="0000EE"/>
                  <w:w w:val="84"/>
                </w:rPr>
                <w:t>2010.</w:t>
              </w:r>
            </w:hyperlink>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4640" w:type="dxa"/>
            <w:vAlign w:val="bottom"/>
            <w:gridSpan w:val="10"/>
          </w:tcPr>
          <w:p>
            <w:pPr>
              <w:spacing w:after="0"/>
              <w:rPr>
                <w:rFonts w:ascii="Arial" w:cs="Arial" w:eastAsia="Arial" w:hAnsi="Arial"/>
                <w:sz w:val="16"/>
                <w:szCs w:val="16"/>
                <w:color w:val="0000EE"/>
                <w:w w:val="92"/>
              </w:rPr>
            </w:pPr>
            <w:hyperlink r:id="rId85">
              <w:r>
                <w:rPr>
                  <w:rFonts w:ascii="Arial" w:cs="Arial" w:eastAsia="Arial" w:hAnsi="Arial"/>
                  <w:sz w:val="16"/>
                  <w:szCs w:val="16"/>
                  <w:color w:val="0000EE"/>
                  <w:w w:val="92"/>
                </w:rPr>
                <w:t>Second Amendment to the 2008 Equity Incentive Plan, dated June 29,</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10.3.2</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96"/>
        </w:trPr>
        <w:tc>
          <w:tcPr>
            <w:tcW w:w="360" w:type="dxa"/>
            <w:vAlign w:val="bottom"/>
            <w:tcBorders>
              <w:top w:val="single" w:sz="8" w:color="0000EE"/>
              <w:bottom w:val="single" w:sz="8" w:color="0000EE"/>
            </w:tcBorders>
          </w:tcPr>
          <w:p>
            <w:pPr>
              <w:spacing w:after="0"/>
              <w:rPr>
                <w:rFonts w:ascii="Arial" w:cs="Arial" w:eastAsia="Arial" w:hAnsi="Arial"/>
                <w:sz w:val="16"/>
                <w:szCs w:val="16"/>
                <w:color w:val="0000EE"/>
                <w:w w:val="84"/>
              </w:rPr>
            </w:pPr>
            <w:hyperlink r:id="rId85">
              <w:r>
                <w:rPr>
                  <w:rFonts w:ascii="Arial" w:cs="Arial" w:eastAsia="Arial" w:hAnsi="Arial"/>
                  <w:sz w:val="16"/>
                  <w:szCs w:val="16"/>
                  <w:color w:val="0000EE"/>
                  <w:w w:val="84"/>
                </w:rPr>
                <w:t>2012.</w:t>
              </w:r>
            </w:hyperlink>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46"/>
        </w:trPr>
        <w:tc>
          <w:tcPr>
            <w:tcW w:w="4640" w:type="dxa"/>
            <w:vAlign w:val="bottom"/>
            <w:gridSpan w:val="10"/>
          </w:tcPr>
          <w:p>
            <w:pPr>
              <w:spacing w:after="0"/>
              <w:rPr>
                <w:rFonts w:ascii="Arial" w:cs="Arial" w:eastAsia="Arial" w:hAnsi="Arial"/>
                <w:sz w:val="16"/>
                <w:szCs w:val="16"/>
                <w:u w:val="single" w:color="auto"/>
                <w:color w:val="0000EE"/>
              </w:rPr>
            </w:pPr>
            <w:hyperlink r:id="rId86">
              <w:r>
                <w:rPr>
                  <w:rFonts w:ascii="Arial" w:cs="Arial" w:eastAsia="Arial" w:hAnsi="Arial"/>
                  <w:sz w:val="16"/>
                  <w:szCs w:val="16"/>
                  <w:u w:val="single" w:color="auto"/>
                  <w:color w:val="0000EE"/>
                </w:rPr>
                <w:t>2014 Equity Incentive Plan and forms of agreement thereunder.</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465"/>
        </w:trPr>
        <w:tc>
          <w:tcPr>
            <w:tcW w:w="4640" w:type="dxa"/>
            <w:vAlign w:val="bottom"/>
            <w:gridSpan w:val="10"/>
          </w:tcPr>
          <w:p>
            <w:pPr>
              <w:spacing w:after="0"/>
              <w:rPr>
                <w:rFonts w:ascii="Arial" w:cs="Arial" w:eastAsia="Arial" w:hAnsi="Arial"/>
                <w:sz w:val="16"/>
                <w:szCs w:val="16"/>
                <w:color w:val="0000EE"/>
              </w:rPr>
            </w:pPr>
            <w:hyperlink r:id="rId87">
              <w:r>
                <w:rPr>
                  <w:rFonts w:ascii="Arial" w:cs="Arial" w:eastAsia="Arial" w:hAnsi="Arial"/>
                  <w:sz w:val="16"/>
                  <w:szCs w:val="16"/>
                  <w:color w:val="0000EE"/>
                </w:rPr>
                <w:t>Third Amended and Restated Executive Employment Agreement</w:t>
              </w:r>
            </w:hyperlink>
          </w:p>
        </w:tc>
        <w:tc>
          <w:tcPr>
            <w:tcW w:w="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96"/>
        </w:trPr>
        <w:tc>
          <w:tcPr>
            <w:tcW w:w="420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0"/>
              </w:rPr>
            </w:pPr>
            <w:hyperlink r:id="rId87">
              <w:r>
                <w:rPr>
                  <w:rFonts w:ascii="Arial" w:cs="Arial" w:eastAsia="Arial" w:hAnsi="Arial"/>
                  <w:sz w:val="16"/>
                  <w:szCs w:val="16"/>
                  <w:color w:val="0000EE"/>
                  <w:w w:val="90"/>
                </w:rPr>
                <w:t>between Paylocity Corporation and Steven R. Beauchamp, dated</w:t>
              </w:r>
            </w:hyperlink>
          </w:p>
        </w:tc>
        <w:tc>
          <w:tcPr>
            <w:tcW w:w="20" w:type="dxa"/>
            <w:vAlign w:val="bottom"/>
            <w:tcBorders>
              <w:top w:val="single" w:sz="8" w:color="0000EE"/>
            </w:tcBorders>
          </w:tcPr>
          <w:p>
            <w:pPr>
              <w:spacing w:after="0"/>
              <w:rPr>
                <w:sz w:val="17"/>
                <w:szCs w:val="17"/>
                <w:color w:val="auto"/>
              </w:rPr>
            </w:pPr>
          </w:p>
        </w:tc>
        <w:tc>
          <w:tcPr>
            <w:tcW w:w="42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4640" w:type="dxa"/>
            <w:vAlign w:val="bottom"/>
            <w:gridSpan w:val="10"/>
          </w:tcPr>
          <w:p>
            <w:pPr>
              <w:spacing w:after="0"/>
              <w:rPr>
                <w:rFonts w:ascii="Arial" w:cs="Arial" w:eastAsia="Arial" w:hAnsi="Arial"/>
                <w:sz w:val="16"/>
                <w:szCs w:val="16"/>
                <w:color w:val="0000EE"/>
              </w:rPr>
            </w:pPr>
            <w:hyperlink r:id="rId87">
              <w:r>
                <w:rPr>
                  <w:rFonts w:ascii="Arial" w:cs="Arial" w:eastAsia="Arial" w:hAnsi="Arial"/>
                  <w:sz w:val="16"/>
                  <w:szCs w:val="16"/>
                  <w:color w:val="0000EE"/>
                </w:rPr>
                <w:t>February 7, 2014.</w:t>
              </w:r>
            </w:hyperlink>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0" w:space="300"/>
            <w:col w:w="8219"/>
          </w:cols>
          <w:pgMar w:left="1440" w:top="517" w:right="1440" w:bottom="1440" w:gutter="0" w:footer="0" w:header="0"/>
          <w:type w:val="continuous"/>
        </w:sectPr>
      </w:pP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80" w:type="dxa"/>
            <w:vAlign w:val="bottom"/>
            <w:vMerge w:val="restart"/>
          </w:tcPr>
          <w:p>
            <w:pPr>
              <w:spacing w:after="0"/>
              <w:rPr>
                <w:sz w:val="20"/>
                <w:szCs w:val="20"/>
                <w:color w:val="auto"/>
              </w:rPr>
            </w:pPr>
            <w:r>
              <w:rPr>
                <w:rFonts w:ascii="Arial" w:cs="Arial" w:eastAsia="Arial" w:hAnsi="Arial"/>
                <w:sz w:val="16"/>
                <w:szCs w:val="16"/>
                <w:color w:val="auto"/>
              </w:rPr>
              <w:t>10.5</w:t>
            </w:r>
            <w:r>
              <w:rPr>
                <w:rFonts w:ascii="Arial" w:cs="Arial" w:eastAsia="Arial" w:hAnsi="Arial"/>
                <w:sz w:val="32"/>
                <w:szCs w:val="32"/>
                <w:color w:val="auto"/>
                <w:vertAlign w:val="superscript"/>
              </w:rPr>
              <w:t>†</w:t>
            </w:r>
          </w:p>
        </w:tc>
        <w:tc>
          <w:tcPr>
            <w:tcW w:w="4360" w:type="dxa"/>
            <w:vAlign w:val="bottom"/>
            <w:tcBorders>
              <w:bottom w:val="single" w:sz="8" w:color="0000EE"/>
            </w:tcBorders>
            <w:gridSpan w:val="9"/>
          </w:tcPr>
          <w:p>
            <w:pPr>
              <w:spacing w:after="0"/>
              <w:rPr>
                <w:rFonts w:ascii="Arial" w:cs="Arial" w:eastAsia="Arial" w:hAnsi="Arial"/>
                <w:sz w:val="16"/>
                <w:szCs w:val="16"/>
                <w:color w:val="0000EE"/>
                <w:w w:val="91"/>
              </w:rPr>
            </w:pPr>
            <w:hyperlink r:id="rId88">
              <w:r>
                <w:rPr>
                  <w:rFonts w:ascii="Arial" w:cs="Arial" w:eastAsia="Arial" w:hAnsi="Arial"/>
                  <w:sz w:val="16"/>
                  <w:szCs w:val="16"/>
                  <w:color w:val="0000EE"/>
                  <w:w w:val="91"/>
                </w:rPr>
                <w:t>Second Amended and Restated Executive Employment Agreement</w:t>
              </w:r>
            </w:hyperlink>
          </w:p>
        </w:tc>
        <w:tc>
          <w:tcPr>
            <w:tcW w:w="18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vMerge w:val="restart"/>
          </w:tcPr>
          <w:p>
            <w:pPr>
              <w:jc w:val="right"/>
              <w:ind w:right="79"/>
              <w:spacing w:after="0"/>
              <w:rPr>
                <w:sz w:val="20"/>
                <w:szCs w:val="20"/>
                <w:color w:val="auto"/>
              </w:rPr>
            </w:pPr>
            <w:r>
              <w:rPr>
                <w:rFonts w:ascii="Arial" w:cs="Arial" w:eastAsia="Arial" w:hAnsi="Arial"/>
                <w:sz w:val="16"/>
                <w:szCs w:val="16"/>
                <w:color w:val="auto"/>
              </w:rPr>
              <w:t>10.7</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1"/>
              </w:rPr>
              <w:t>February 14, 2014</w:t>
            </w:r>
          </w:p>
        </w:tc>
        <w:tc>
          <w:tcPr>
            <w:tcW w:w="0" w:type="dxa"/>
            <w:vAlign w:val="bottom"/>
          </w:tcPr>
          <w:p>
            <w:pPr>
              <w:spacing w:after="0"/>
              <w:rPr>
                <w:sz w:val="1"/>
                <w:szCs w:val="1"/>
                <w:color w:val="auto"/>
              </w:rPr>
            </w:pPr>
          </w:p>
        </w:tc>
      </w:tr>
      <w:tr>
        <w:trPr>
          <w:trHeight w:val="196"/>
        </w:trPr>
        <w:tc>
          <w:tcPr>
            <w:tcW w:w="780" w:type="dxa"/>
            <w:vAlign w:val="bottom"/>
            <w:vMerge w:val="continue"/>
          </w:tcPr>
          <w:p>
            <w:pPr>
              <w:spacing w:after="0"/>
              <w:rPr>
                <w:sz w:val="17"/>
                <w:szCs w:val="17"/>
                <w:color w:val="auto"/>
              </w:rPr>
            </w:pPr>
          </w:p>
        </w:tc>
        <w:tc>
          <w:tcPr>
            <w:tcW w:w="4540" w:type="dxa"/>
            <w:vAlign w:val="bottom"/>
            <w:gridSpan w:val="10"/>
          </w:tcPr>
          <w:p>
            <w:pPr>
              <w:spacing w:after="0"/>
              <w:rPr>
                <w:rFonts w:ascii="Arial" w:cs="Arial" w:eastAsia="Arial" w:hAnsi="Arial"/>
                <w:sz w:val="16"/>
                <w:szCs w:val="16"/>
                <w:color w:val="0000EE"/>
              </w:rPr>
            </w:pPr>
            <w:hyperlink r:id="rId88">
              <w:r>
                <w:rPr>
                  <w:rFonts w:ascii="Arial" w:cs="Arial" w:eastAsia="Arial" w:hAnsi="Arial"/>
                  <w:sz w:val="16"/>
                  <w:szCs w:val="16"/>
                  <w:color w:val="0000EE"/>
                </w:rPr>
                <w:t>between Paylocity Corporation and Michael R. Haske, dated</w:t>
              </w:r>
            </w:hyperlink>
          </w:p>
        </w:tc>
        <w:tc>
          <w:tcPr>
            <w:tcW w:w="7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920" w:type="dxa"/>
            <w:vAlign w:val="bottom"/>
            <w:tcBorders>
              <w:top w:val="single" w:sz="8" w:color="0000EE"/>
            </w:tcBorders>
            <w:gridSpan w:val="5"/>
          </w:tcPr>
          <w:p>
            <w:pPr>
              <w:spacing w:after="0"/>
              <w:rPr>
                <w:rFonts w:ascii="Arial" w:cs="Arial" w:eastAsia="Arial" w:hAnsi="Arial"/>
                <w:sz w:val="16"/>
                <w:szCs w:val="16"/>
                <w:color w:val="0000EE"/>
              </w:rPr>
            </w:pPr>
            <w:hyperlink r:id="rId88">
              <w:r>
                <w:rPr>
                  <w:rFonts w:ascii="Arial" w:cs="Arial" w:eastAsia="Arial" w:hAnsi="Arial"/>
                  <w:sz w:val="16"/>
                  <w:szCs w:val="16"/>
                  <w:color w:val="0000EE"/>
                </w:rPr>
                <w:t>February 7, 2014.</w:t>
              </w:r>
            </w:hyperlink>
          </w:p>
        </w:tc>
        <w:tc>
          <w:tcPr>
            <w:tcW w:w="62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6"/>
                <w:szCs w:val="16"/>
                <w:color w:val="auto"/>
              </w:rPr>
              <w:t>10.6</w:t>
            </w:r>
          </w:p>
        </w:tc>
        <w:tc>
          <w:tcPr>
            <w:tcW w:w="4340" w:type="dxa"/>
            <w:vAlign w:val="bottom"/>
            <w:tcBorders>
              <w:bottom w:val="single" w:sz="8" w:color="0000EE"/>
            </w:tcBorders>
            <w:gridSpan w:val="8"/>
          </w:tcPr>
          <w:p>
            <w:pPr>
              <w:spacing w:after="0"/>
              <w:rPr>
                <w:rFonts w:ascii="Arial" w:cs="Arial" w:eastAsia="Arial" w:hAnsi="Arial"/>
                <w:sz w:val="16"/>
                <w:szCs w:val="16"/>
                <w:color w:val="0000EE"/>
                <w:w w:val="93"/>
              </w:rPr>
            </w:pPr>
            <w:hyperlink r:id="rId89">
              <w:r>
                <w:rPr>
                  <w:rFonts w:ascii="Arial" w:cs="Arial" w:eastAsia="Arial" w:hAnsi="Arial"/>
                  <w:sz w:val="16"/>
                  <w:szCs w:val="16"/>
                  <w:color w:val="0000EE"/>
                  <w:w w:val="93"/>
                </w:rPr>
                <w:t>Office Lease between 3850 Wilke LLC and Paylocity Corporation,</w:t>
              </w:r>
            </w:hyperlink>
          </w:p>
        </w:tc>
        <w:tc>
          <w:tcPr>
            <w:tcW w:w="200" w:type="dxa"/>
            <w:vAlign w:val="bottom"/>
            <w:gridSpan w:val="2"/>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10.8</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rPr>
                <w:rFonts w:ascii="Arial" w:cs="Arial" w:eastAsia="Arial" w:hAnsi="Arial"/>
                <w:sz w:val="16"/>
                <w:szCs w:val="16"/>
                <w:color w:val="0000EE"/>
                <w:w w:val="88"/>
              </w:rPr>
            </w:pPr>
            <w:hyperlink r:id="rId89">
              <w:r>
                <w:rPr>
                  <w:rFonts w:ascii="Arial" w:cs="Arial" w:eastAsia="Arial" w:hAnsi="Arial"/>
                  <w:sz w:val="16"/>
                  <w:szCs w:val="16"/>
                  <w:color w:val="0000EE"/>
                  <w:w w:val="88"/>
                </w:rPr>
                <w:t>dated January 12, 2007.</w:t>
              </w:r>
            </w:hyperlink>
          </w:p>
        </w:tc>
        <w:tc>
          <w:tcPr>
            <w:tcW w:w="300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780" w:type="dxa"/>
            <w:vAlign w:val="bottom"/>
          </w:tcPr>
          <w:p>
            <w:pPr>
              <w:spacing w:after="0"/>
              <w:rPr>
                <w:sz w:val="20"/>
                <w:szCs w:val="20"/>
                <w:color w:val="auto"/>
              </w:rPr>
            </w:pPr>
            <w:r>
              <w:rPr>
                <w:rFonts w:ascii="Arial" w:cs="Arial" w:eastAsia="Arial" w:hAnsi="Arial"/>
                <w:sz w:val="16"/>
                <w:szCs w:val="16"/>
                <w:color w:val="auto"/>
              </w:rPr>
              <w:t>10.7.1</w:t>
            </w:r>
          </w:p>
        </w:tc>
        <w:tc>
          <w:tcPr>
            <w:tcW w:w="4540" w:type="dxa"/>
            <w:vAlign w:val="bottom"/>
            <w:gridSpan w:val="10"/>
          </w:tcPr>
          <w:p>
            <w:pPr>
              <w:spacing w:after="0"/>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Amendment to Office Lease, dated January 5, 2011.</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10.8.1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c>
          <w:tcPr>
            <w:tcW w:w="0" w:type="dxa"/>
            <w:vAlign w:val="bottom"/>
          </w:tcPr>
          <w:p>
            <w:pPr>
              <w:spacing w:after="0"/>
              <w:rPr>
                <w:sz w:val="1"/>
                <w:szCs w:val="1"/>
                <w:color w:val="auto"/>
              </w:rPr>
            </w:pPr>
          </w:p>
        </w:tc>
      </w:tr>
      <w:tr>
        <w:trPr>
          <w:trHeight w:val="452"/>
        </w:trPr>
        <w:tc>
          <w:tcPr>
            <w:tcW w:w="780" w:type="dxa"/>
            <w:vAlign w:val="bottom"/>
          </w:tcPr>
          <w:p>
            <w:pPr>
              <w:spacing w:after="0"/>
              <w:rPr>
                <w:sz w:val="20"/>
                <w:szCs w:val="20"/>
                <w:color w:val="auto"/>
              </w:rPr>
            </w:pPr>
            <w:r>
              <w:rPr>
                <w:rFonts w:ascii="Arial" w:cs="Arial" w:eastAsia="Arial" w:hAnsi="Arial"/>
                <w:sz w:val="16"/>
                <w:szCs w:val="16"/>
                <w:color w:val="auto"/>
              </w:rPr>
              <w:t>10.7.2</w:t>
            </w:r>
          </w:p>
        </w:tc>
        <w:tc>
          <w:tcPr>
            <w:tcW w:w="4540" w:type="dxa"/>
            <w:vAlign w:val="bottom"/>
            <w:gridSpan w:val="10"/>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Amendment to Office Lease, dated May 6, 2013.</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10.8.2</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6"/>
                <w:szCs w:val="16"/>
                <w:color w:val="auto"/>
              </w:rPr>
              <w:t>10.7.3</w:t>
            </w:r>
          </w:p>
        </w:tc>
        <w:tc>
          <w:tcPr>
            <w:tcW w:w="4540" w:type="dxa"/>
            <w:vAlign w:val="bottom"/>
            <w:gridSpan w:val="10"/>
          </w:tcPr>
          <w:p>
            <w:pPr>
              <w:spacing w:after="0"/>
              <w:rPr>
                <w:rFonts w:ascii="Arial" w:cs="Arial" w:eastAsia="Arial" w:hAnsi="Arial"/>
                <w:sz w:val="16"/>
                <w:szCs w:val="16"/>
                <w:color w:val="0000EE"/>
                <w:w w:val="96"/>
              </w:rPr>
            </w:pPr>
            <w:hyperlink r:id="rId92">
              <w:r>
                <w:rPr>
                  <w:rFonts w:ascii="Arial" w:cs="Arial" w:eastAsia="Arial" w:hAnsi="Arial"/>
                  <w:sz w:val="16"/>
                  <w:szCs w:val="16"/>
                  <w:color w:val="0000EE"/>
                  <w:w w:val="96"/>
                </w:rPr>
                <w:t>Multi-Tenant Office Lease Agreement, dated June 1, 2016, by and</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June 2, 2016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1"/>
              </w:rPr>
            </w:pPr>
            <w:hyperlink r:id="rId92">
              <w:r>
                <w:rPr>
                  <w:rFonts w:ascii="Arial" w:cs="Arial" w:eastAsia="Arial" w:hAnsi="Arial"/>
                  <w:sz w:val="16"/>
                  <w:szCs w:val="16"/>
                  <w:color w:val="0000EE"/>
                  <w:w w:val="91"/>
                </w:rPr>
                <w:t>between Paylocity Corporation and RPAI Schaumburg American</w:t>
              </w:r>
            </w:hyperlink>
          </w:p>
        </w:tc>
        <w:tc>
          <w:tcPr>
            <w:tcW w:w="60" w:type="dxa"/>
            <w:vAlign w:val="bottom"/>
            <w:tcBorders>
              <w:top w:val="single" w:sz="8" w:color="0000EE"/>
            </w:tcBorders>
          </w:tcPr>
          <w:p>
            <w:pPr>
              <w:spacing w:after="0"/>
              <w:rPr>
                <w:sz w:val="17"/>
                <w:szCs w:val="17"/>
                <w:color w:val="auto"/>
              </w:rPr>
            </w:pPr>
          </w:p>
        </w:tc>
        <w:tc>
          <w:tcPr>
            <w:tcW w:w="2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540" w:type="dxa"/>
            <w:vAlign w:val="bottom"/>
            <w:gridSpan w:val="10"/>
          </w:tcPr>
          <w:p>
            <w:pPr>
              <w:spacing w:after="0"/>
              <w:rPr>
                <w:rFonts w:ascii="Arial" w:cs="Arial" w:eastAsia="Arial" w:hAnsi="Arial"/>
                <w:sz w:val="16"/>
                <w:szCs w:val="16"/>
                <w:color w:val="0000EE"/>
              </w:rPr>
            </w:pPr>
            <w:hyperlink r:id="rId92">
              <w:r>
                <w:rPr>
                  <w:rFonts w:ascii="Arial" w:cs="Arial" w:eastAsia="Arial" w:hAnsi="Arial"/>
                  <w:sz w:val="16"/>
                  <w:szCs w:val="16"/>
                  <w:color w:val="0000EE"/>
                </w:rPr>
                <w:t>Lane, L.L.C.</w:t>
              </w:r>
            </w:hyperlink>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780" w:type="dxa"/>
            <w:vAlign w:val="bottom"/>
          </w:tcPr>
          <w:p>
            <w:pPr>
              <w:spacing w:after="0"/>
              <w:rPr>
                <w:sz w:val="20"/>
                <w:szCs w:val="20"/>
                <w:color w:val="auto"/>
              </w:rPr>
            </w:pPr>
            <w:r>
              <w:rPr>
                <w:rFonts w:ascii="Arial" w:cs="Arial" w:eastAsia="Arial" w:hAnsi="Arial"/>
                <w:sz w:val="16"/>
                <w:szCs w:val="16"/>
                <w:color w:val="auto"/>
              </w:rPr>
              <w:t>10.8</w:t>
            </w:r>
            <w:r>
              <w:rPr>
                <w:rFonts w:ascii="Arial" w:cs="Arial" w:eastAsia="Arial" w:hAnsi="Arial"/>
                <w:sz w:val="32"/>
                <w:szCs w:val="32"/>
                <w:color w:val="auto"/>
                <w:vertAlign w:val="superscript"/>
              </w:rPr>
              <w:t>†</w:t>
            </w:r>
          </w:p>
        </w:tc>
        <w:tc>
          <w:tcPr>
            <w:tcW w:w="4540" w:type="dxa"/>
            <w:vAlign w:val="bottom"/>
            <w:gridSpan w:val="10"/>
          </w:tcPr>
          <w:p>
            <w:pPr>
              <w:spacing w:after="0"/>
              <w:rPr>
                <w:rFonts w:ascii="Arial" w:cs="Arial" w:eastAsia="Arial" w:hAnsi="Arial"/>
                <w:sz w:val="16"/>
                <w:szCs w:val="16"/>
                <w:u w:val="single" w:color="auto"/>
                <w:color w:val="0000EE"/>
              </w:rPr>
            </w:pPr>
            <w:hyperlink r:id="rId93">
              <w:r>
                <w:rPr>
                  <w:rFonts w:ascii="Arial" w:cs="Arial" w:eastAsia="Arial" w:hAnsi="Arial"/>
                  <w:sz w:val="16"/>
                  <w:szCs w:val="16"/>
                  <w:u w:val="single" w:color="auto"/>
                  <w:color w:val="0000EE"/>
                </w:rPr>
                <w:t>2014 Employee Stock Purchase Plan.</w:t>
              </w:r>
            </w:hyperlink>
          </w:p>
        </w:tc>
        <w:tc>
          <w:tcPr>
            <w:tcW w:w="7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c>
          <w:tcPr>
            <w:tcW w:w="0" w:type="dxa"/>
            <w:vAlign w:val="bottom"/>
          </w:tcPr>
          <w:p>
            <w:pPr>
              <w:spacing w:after="0"/>
              <w:rPr>
                <w:sz w:val="1"/>
                <w:szCs w:val="1"/>
                <w:color w:val="auto"/>
              </w:rPr>
            </w:pPr>
          </w:p>
        </w:tc>
      </w:tr>
      <w:tr>
        <w:trPr>
          <w:trHeight w:val="248"/>
        </w:trPr>
        <w:tc>
          <w:tcPr>
            <w:tcW w:w="780" w:type="dxa"/>
            <w:vAlign w:val="bottom"/>
          </w:tcPr>
          <w:p>
            <w:pPr>
              <w:spacing w:after="0"/>
              <w:rPr>
                <w:sz w:val="20"/>
                <w:szCs w:val="20"/>
                <w:color w:val="auto"/>
              </w:rPr>
            </w:pPr>
            <w:r>
              <w:rPr>
                <w:rFonts w:ascii="Arial" w:cs="Arial" w:eastAsia="Arial" w:hAnsi="Arial"/>
                <w:sz w:val="16"/>
                <w:szCs w:val="16"/>
                <w:color w:val="auto"/>
              </w:rPr>
              <w:t>10.10†</w:t>
            </w:r>
          </w:p>
        </w:tc>
        <w:tc>
          <w:tcPr>
            <w:tcW w:w="4340" w:type="dxa"/>
            <w:vAlign w:val="bottom"/>
            <w:tcBorders>
              <w:bottom w:val="single" w:sz="8" w:color="0000EE"/>
            </w:tcBorders>
            <w:gridSpan w:val="8"/>
          </w:tcPr>
          <w:p>
            <w:pPr>
              <w:spacing w:after="0"/>
              <w:rPr>
                <w:rFonts w:ascii="Arial" w:cs="Arial" w:eastAsia="Arial" w:hAnsi="Arial"/>
                <w:sz w:val="16"/>
                <w:szCs w:val="16"/>
                <w:color w:val="0000EE"/>
                <w:w w:val="92"/>
              </w:rPr>
            </w:pPr>
            <w:hyperlink r:id="rId94">
              <w:r>
                <w:rPr>
                  <w:rFonts w:ascii="Arial" w:cs="Arial" w:eastAsia="Arial" w:hAnsi="Arial"/>
                  <w:sz w:val="16"/>
                  <w:szCs w:val="16"/>
                  <w:color w:val="0000EE"/>
                  <w:w w:val="92"/>
                </w:rPr>
                <w:t>Executive Employment Agreement between Paylocity Corporation</w:t>
              </w:r>
            </w:hyperlink>
          </w:p>
        </w:tc>
        <w:tc>
          <w:tcPr>
            <w:tcW w:w="200" w:type="dxa"/>
            <w:vAlign w:val="bottom"/>
            <w:gridSpan w:val="2"/>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02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August 12, 2016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rPr>
                <w:rFonts w:ascii="Arial" w:cs="Arial" w:eastAsia="Arial" w:hAnsi="Arial"/>
                <w:sz w:val="16"/>
                <w:szCs w:val="16"/>
                <w:color w:val="0000EE"/>
                <w:w w:val="91"/>
              </w:rPr>
            </w:pPr>
            <w:hyperlink r:id="rId94">
              <w:r>
                <w:rPr>
                  <w:rFonts w:ascii="Arial" w:cs="Arial" w:eastAsia="Arial" w:hAnsi="Arial"/>
                  <w:sz w:val="16"/>
                  <w:szCs w:val="16"/>
                  <w:color w:val="0000EE"/>
                  <w:w w:val="91"/>
                </w:rPr>
                <w:t>and Mark S. Kinsey, dated May 1, 2015.</w:t>
              </w:r>
            </w:hyperlink>
          </w:p>
        </w:tc>
        <w:tc>
          <w:tcPr>
            <w:tcW w:w="19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700" w:type="dxa"/>
            <w:vAlign w:val="bottom"/>
          </w:tcPr>
          <w:p>
            <w:pPr>
              <w:spacing w:after="0" w:line="142"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80" w:type="dxa"/>
            <w:vAlign w:val="bottom"/>
            <w:gridSpan w:val="13"/>
          </w:tcPr>
          <w:p>
            <w:pPr>
              <w:ind w:left="420"/>
              <w:spacing w:after="0" w:line="142" w:lineRule="exact"/>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960" w:type="dxa"/>
            <w:vAlign w:val="bottom"/>
          </w:tcPr>
          <w:p>
            <w:pPr>
              <w:jc w:val="right"/>
              <w:ind w:right="203"/>
              <w:spacing w:after="0" w:line="142" w:lineRule="exact"/>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2"/>
                <w:szCs w:val="12"/>
                <w:color w:val="auto"/>
              </w:rPr>
            </w:pPr>
          </w:p>
        </w:tc>
        <w:tc>
          <w:tcPr>
            <w:tcW w:w="5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Exhibit</w:t>
            </w: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r>
      <w:tr>
        <w:trPr>
          <w:trHeight w:val="385"/>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24"/>
                <w:szCs w:val="24"/>
                <w:color w:val="auto"/>
              </w:rPr>
            </w:pPr>
          </w:p>
        </w:tc>
        <w:tc>
          <w:tcPr>
            <w:tcW w:w="4360" w:type="dxa"/>
            <w:vAlign w:val="bottom"/>
            <w:tcBorders>
              <w:top w:val="single" w:sz="8" w:color="auto"/>
              <w:bottom w:val="single" w:sz="8" w:color="0000EE"/>
            </w:tcBorders>
            <w:gridSpan w:val="14"/>
          </w:tcPr>
          <w:p>
            <w:pPr>
              <w:spacing w:after="0"/>
              <w:rPr>
                <w:rFonts w:ascii="Arial" w:cs="Arial" w:eastAsia="Arial" w:hAnsi="Arial"/>
                <w:sz w:val="16"/>
                <w:szCs w:val="16"/>
                <w:color w:val="0000EE"/>
                <w:w w:val="92"/>
              </w:rPr>
            </w:pPr>
            <w:hyperlink r:id="rId96">
              <w:r>
                <w:rPr>
                  <w:rFonts w:ascii="Arial" w:cs="Arial" w:eastAsia="Arial" w:hAnsi="Arial"/>
                  <w:sz w:val="16"/>
                  <w:szCs w:val="16"/>
                  <w:color w:val="0000EE"/>
                  <w:w w:val="92"/>
                </w:rPr>
                <w:t>Executive Employment Agreement between Paylocity Corporation</w:t>
              </w:r>
            </w:hyperlink>
          </w:p>
        </w:tc>
        <w:tc>
          <w:tcPr>
            <w:tcW w:w="180" w:type="dxa"/>
            <w:vAlign w:val="bottom"/>
            <w:tcBorders>
              <w:top w:val="single" w:sz="8" w:color="auto"/>
            </w:tcBorders>
            <w:gridSpan w:val="4"/>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24"/>
                <w:szCs w:val="24"/>
                <w:color w:val="auto"/>
              </w:rPr>
            </w:pPr>
          </w:p>
        </w:tc>
        <w:tc>
          <w:tcPr>
            <w:tcW w:w="9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001-36348</w:t>
            </w:r>
          </w:p>
        </w:tc>
        <w:tc>
          <w:tcPr>
            <w:tcW w:w="80" w:type="dxa"/>
            <w:vAlign w:val="bottom"/>
          </w:tcPr>
          <w:p>
            <w:pPr>
              <w:spacing w:after="0"/>
              <w:rPr>
                <w:sz w:val="24"/>
                <w:szCs w:val="2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4"/>
                <w:szCs w:val="24"/>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August 9, 2016</w:t>
            </w: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rPr>
                <w:rFonts w:ascii="Arial" w:cs="Arial" w:eastAsia="Arial" w:hAnsi="Arial"/>
                <w:sz w:val="16"/>
                <w:szCs w:val="16"/>
                <w:color w:val="0000EE"/>
                <w:w w:val="90"/>
              </w:rPr>
            </w:pPr>
            <w:hyperlink r:id="rId96">
              <w:r>
                <w:rPr>
                  <w:rFonts w:ascii="Arial" w:cs="Arial" w:eastAsia="Arial" w:hAnsi="Arial"/>
                  <w:sz w:val="16"/>
                  <w:szCs w:val="16"/>
                  <w:color w:val="0000EE"/>
                  <w:w w:val="90"/>
                </w:rPr>
                <w:t>and Edward W. Gaty, dated August 8, 2016.</w:t>
              </w:r>
            </w:hyperlink>
          </w:p>
        </w:tc>
        <w:tc>
          <w:tcPr>
            <w:tcW w:w="178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780" w:type="dxa"/>
            <w:vAlign w:val="bottom"/>
            <w:gridSpan w:val="2"/>
          </w:tcPr>
          <w:p>
            <w:pPr>
              <w:spacing w:after="0"/>
              <w:rPr>
                <w:sz w:val="20"/>
                <w:szCs w:val="20"/>
                <w:color w:val="auto"/>
              </w:rPr>
            </w:pPr>
            <w:r>
              <w:rPr>
                <w:rFonts w:ascii="Arial" w:cs="Arial" w:eastAsia="Arial" w:hAnsi="Arial"/>
                <w:sz w:val="16"/>
                <w:szCs w:val="16"/>
                <w:color w:val="auto"/>
              </w:rPr>
              <w:t>10.12†</w:t>
            </w:r>
          </w:p>
        </w:tc>
        <w:tc>
          <w:tcPr>
            <w:tcW w:w="4360" w:type="dxa"/>
            <w:vAlign w:val="bottom"/>
            <w:tcBorders>
              <w:bottom w:val="single" w:sz="8" w:color="0000EE"/>
            </w:tcBorders>
            <w:gridSpan w:val="14"/>
          </w:tcPr>
          <w:p>
            <w:pPr>
              <w:spacing w:after="0"/>
              <w:rPr>
                <w:rFonts w:ascii="Arial" w:cs="Arial" w:eastAsia="Arial" w:hAnsi="Arial"/>
                <w:sz w:val="16"/>
                <w:szCs w:val="16"/>
                <w:color w:val="0000EE"/>
                <w:w w:val="92"/>
              </w:rPr>
            </w:pPr>
            <w:hyperlink r:id="rId97">
              <w:r>
                <w:rPr>
                  <w:rFonts w:ascii="Arial" w:cs="Arial" w:eastAsia="Arial" w:hAnsi="Arial"/>
                  <w:sz w:val="16"/>
                  <w:szCs w:val="16"/>
                  <w:color w:val="0000EE"/>
                  <w:w w:val="92"/>
                </w:rPr>
                <w:t>Executive Employment Agreement between Paylocity Corporation</w:t>
              </w:r>
            </w:hyperlink>
          </w:p>
        </w:tc>
        <w:tc>
          <w:tcPr>
            <w:tcW w:w="280" w:type="dxa"/>
            <w:vAlign w:val="bottom"/>
            <w:gridSpan w:val="5"/>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001-36348</w:t>
            </w: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November 3, 2017</w:t>
            </w: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0" w:type="dxa"/>
            <w:vAlign w:val="bottom"/>
            <w:tcBorders>
              <w:bottom w:val="single" w:sz="8" w:color="0000EE"/>
            </w:tcBorders>
            <w:gridSpan w:val="8"/>
          </w:tcPr>
          <w:p>
            <w:pPr>
              <w:spacing w:after="0"/>
              <w:rPr>
                <w:rFonts w:ascii="Arial" w:cs="Arial" w:eastAsia="Arial" w:hAnsi="Arial"/>
                <w:sz w:val="16"/>
                <w:szCs w:val="16"/>
                <w:color w:val="0000EE"/>
                <w:w w:val="90"/>
              </w:rPr>
            </w:pPr>
            <w:hyperlink r:id="rId97">
              <w:r>
                <w:rPr>
                  <w:rFonts w:ascii="Arial" w:cs="Arial" w:eastAsia="Arial" w:hAnsi="Arial"/>
                  <w:sz w:val="16"/>
                  <w:szCs w:val="16"/>
                  <w:color w:val="0000EE"/>
                  <w:w w:val="90"/>
                </w:rPr>
                <w:t>and Toby J. Williams, dated September 18, 2017.</w:t>
              </w:r>
            </w:hyperlink>
          </w:p>
        </w:tc>
        <w:tc>
          <w:tcPr>
            <w:tcW w:w="144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73"/>
        </w:trPr>
        <w:tc>
          <w:tcPr>
            <w:tcW w:w="700" w:type="dxa"/>
            <w:vAlign w:val="bottom"/>
          </w:tcPr>
          <w:p>
            <w:pPr>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24"/>
                <w:szCs w:val="24"/>
                <w:color w:val="auto"/>
              </w:rPr>
            </w:pPr>
          </w:p>
        </w:tc>
        <w:tc>
          <w:tcPr>
            <w:tcW w:w="4640" w:type="dxa"/>
            <w:vAlign w:val="bottom"/>
            <w:gridSpan w:val="19"/>
          </w:tcPr>
          <w:p>
            <w:pPr>
              <w:spacing w:after="0"/>
              <w:rPr>
                <w:rFonts w:ascii="Arial" w:cs="Arial" w:eastAsia="Arial" w:hAnsi="Arial"/>
                <w:sz w:val="16"/>
                <w:szCs w:val="16"/>
                <w:u w:val="single" w:color="auto"/>
                <w:color w:val="0000EE"/>
              </w:rPr>
            </w:pPr>
            <w:hyperlink r:id="rId98">
              <w:r>
                <w:rPr>
                  <w:rFonts w:ascii="Arial" w:cs="Arial" w:eastAsia="Arial" w:hAnsi="Arial"/>
                  <w:sz w:val="16"/>
                  <w:szCs w:val="16"/>
                  <w:u w:val="single" w:color="auto"/>
                  <w:color w:val="0000EE"/>
                </w:rPr>
                <w:t>Code of Business Conduct and Ethics.</w:t>
              </w:r>
            </w:hyperlink>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10-K</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001-36348</w:t>
            </w: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August 22, 2014</w:t>
            </w:r>
          </w:p>
        </w:tc>
      </w:tr>
      <w:tr>
        <w:trPr>
          <w:trHeight w:val="432"/>
        </w:trPr>
        <w:tc>
          <w:tcPr>
            <w:tcW w:w="700" w:type="dxa"/>
            <w:vAlign w:val="bottom"/>
          </w:tcPr>
          <w:p>
            <w:pPr>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24"/>
                <w:szCs w:val="24"/>
                <w:color w:val="auto"/>
              </w:rPr>
            </w:pPr>
          </w:p>
        </w:tc>
        <w:tc>
          <w:tcPr>
            <w:tcW w:w="4640" w:type="dxa"/>
            <w:vAlign w:val="bottom"/>
            <w:gridSpan w:val="19"/>
          </w:tcPr>
          <w:p>
            <w:pPr>
              <w:spacing w:after="0"/>
              <w:rPr>
                <w:rFonts w:ascii="Arial" w:cs="Arial" w:eastAsia="Arial" w:hAnsi="Arial"/>
                <w:sz w:val="16"/>
                <w:szCs w:val="16"/>
                <w:color w:val="0000EE"/>
              </w:rPr>
            </w:pPr>
            <w:hyperlink w:anchor="page99">
              <w:r>
                <w:rPr>
                  <w:rFonts w:ascii="Arial" w:cs="Arial" w:eastAsia="Arial" w:hAnsi="Arial"/>
                  <w:sz w:val="16"/>
                  <w:szCs w:val="16"/>
                  <w:u w:val="single" w:color="auto"/>
                  <w:color w:val="0000EE"/>
                </w:rPr>
                <w:t>List of Subsidiaries of the Registrant</w:t>
              </w:r>
              <w:r>
                <w:rPr>
                  <w:rFonts w:ascii="Arial" w:cs="Arial" w:eastAsia="Arial" w:hAnsi="Arial"/>
                  <w:sz w:val="16"/>
                  <w:szCs w:val="16"/>
                  <w:color w:val="0000EE"/>
                </w:rPr>
                <w:t>.</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7"/>
        </w:trPr>
        <w:tc>
          <w:tcPr>
            <w:tcW w:w="700" w:type="dxa"/>
            <w:vAlign w:val="bottom"/>
          </w:tcPr>
          <w:p>
            <w:pPr>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24"/>
                <w:szCs w:val="24"/>
                <w:color w:val="auto"/>
              </w:rPr>
            </w:pPr>
          </w:p>
        </w:tc>
        <w:tc>
          <w:tcPr>
            <w:tcW w:w="4400" w:type="dxa"/>
            <w:vAlign w:val="bottom"/>
            <w:tcBorders>
              <w:bottom w:val="single" w:sz="8" w:color="0000EE"/>
            </w:tcBorders>
            <w:gridSpan w:val="16"/>
          </w:tcPr>
          <w:p>
            <w:pPr>
              <w:spacing w:after="0"/>
              <w:rPr>
                <w:rFonts w:ascii="Arial" w:cs="Arial" w:eastAsia="Arial" w:hAnsi="Arial"/>
                <w:sz w:val="16"/>
                <w:szCs w:val="16"/>
                <w:color w:val="0000EE"/>
                <w:w w:val="92"/>
              </w:rPr>
            </w:pPr>
            <w:hyperlink w:anchor="page100">
              <w:r>
                <w:rPr>
                  <w:rFonts w:ascii="Arial" w:cs="Arial" w:eastAsia="Arial" w:hAnsi="Arial"/>
                  <w:sz w:val="16"/>
                  <w:szCs w:val="16"/>
                  <w:color w:val="0000EE"/>
                  <w:w w:val="92"/>
                </w:rPr>
                <w:t>Consent of KPMG LLP, Independent Registered Public Accounting</w:t>
              </w:r>
            </w:hyperlink>
          </w:p>
        </w:tc>
        <w:tc>
          <w:tcPr>
            <w:tcW w:w="2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19"/>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Firm.</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6"/>
                <w:szCs w:val="16"/>
                <w:color w:val="0000EE"/>
                <w:w w:val="92"/>
              </w:rPr>
            </w:pPr>
            <w:hyperlink w:anchor="page65">
              <w:r>
                <w:rPr>
                  <w:rFonts w:ascii="Arial" w:cs="Arial" w:eastAsia="Arial" w:hAnsi="Arial"/>
                  <w:sz w:val="16"/>
                  <w:szCs w:val="16"/>
                  <w:color w:val="0000EE"/>
                  <w:w w:val="92"/>
                </w:rPr>
                <w:t xml:space="preserve">Power of Attorney (see page </w:t>
              </w:r>
              <w:r>
                <w:rPr>
                  <w:rFonts w:ascii="Arial" w:cs="Arial" w:eastAsia="Arial" w:hAnsi="Arial"/>
                  <w:sz w:val="16"/>
                  <w:szCs w:val="16"/>
                  <w:color w:val="000000"/>
                  <w:w w:val="92"/>
                </w:rPr>
                <w:t>63</w:t>
              </w:r>
              <w:r>
                <w:rPr>
                  <w:rFonts w:ascii="Arial" w:cs="Arial" w:eastAsia="Arial" w:hAnsi="Arial"/>
                  <w:sz w:val="16"/>
                  <w:szCs w:val="16"/>
                  <w:color w:val="0000EE"/>
                  <w:w w:val="92"/>
                </w:rPr>
                <w:t xml:space="preserve"> to this Annual Report on Form 10-</w:t>
              </w:r>
            </w:hyperlink>
          </w:p>
        </w:tc>
        <w:tc>
          <w:tcPr>
            <w:tcW w:w="28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0000EE"/>
            </w:tcBorders>
          </w:tcPr>
          <w:p>
            <w:pPr>
              <w:spacing w:after="0"/>
              <w:rPr>
                <w:rFonts w:ascii="Arial" w:cs="Arial" w:eastAsia="Arial" w:hAnsi="Arial"/>
                <w:sz w:val="16"/>
                <w:szCs w:val="16"/>
                <w:color w:val="0000EE"/>
                <w:w w:val="97"/>
              </w:rPr>
            </w:pPr>
            <w:hyperlink w:anchor="page65">
              <w:r>
                <w:rPr>
                  <w:rFonts w:ascii="Arial" w:cs="Arial" w:eastAsia="Arial" w:hAnsi="Arial"/>
                  <w:sz w:val="16"/>
                  <w:szCs w:val="16"/>
                  <w:color w:val="0000EE"/>
                  <w:w w:val="97"/>
                </w:rPr>
                <w:t>K).</w:t>
              </w:r>
            </w:hyperlink>
          </w:p>
        </w:tc>
        <w:tc>
          <w:tcPr>
            <w:tcW w:w="442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4"/>
                <w:szCs w:val="24"/>
                <w:color w:val="auto"/>
              </w:rPr>
            </w:pPr>
          </w:p>
        </w:tc>
        <w:tc>
          <w:tcPr>
            <w:tcW w:w="3900" w:type="dxa"/>
            <w:vAlign w:val="bottom"/>
            <w:tcBorders>
              <w:bottom w:val="single" w:sz="8" w:color="0000EE"/>
            </w:tcBorders>
            <w:gridSpan w:val="9"/>
          </w:tcPr>
          <w:p>
            <w:pPr>
              <w:spacing w:after="0"/>
              <w:rPr>
                <w:rFonts w:ascii="Arial" w:cs="Arial" w:eastAsia="Arial" w:hAnsi="Arial"/>
                <w:sz w:val="16"/>
                <w:szCs w:val="16"/>
                <w:color w:val="0000EE"/>
                <w:w w:val="94"/>
              </w:rPr>
            </w:pPr>
            <w:hyperlink w:anchor="page101">
              <w:r>
                <w:rPr>
                  <w:rFonts w:ascii="Arial" w:cs="Arial" w:eastAsia="Arial" w:hAnsi="Arial"/>
                  <w:sz w:val="16"/>
                  <w:szCs w:val="16"/>
                  <w:color w:val="0000EE"/>
                  <w:w w:val="94"/>
                </w:rPr>
                <w:t>Certification of Principal Executive Officer Required Under</w:t>
              </w:r>
            </w:hyperlink>
          </w:p>
        </w:tc>
        <w:tc>
          <w:tcPr>
            <w:tcW w:w="7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0000EE"/>
            </w:tcBorders>
            <w:gridSpan w:val="11"/>
          </w:tcPr>
          <w:p>
            <w:pPr>
              <w:spacing w:after="0"/>
              <w:rPr>
                <w:rFonts w:ascii="Arial" w:cs="Arial" w:eastAsia="Arial" w:hAnsi="Arial"/>
                <w:sz w:val="16"/>
                <w:szCs w:val="16"/>
                <w:color w:val="0000EE"/>
                <w:w w:val="91"/>
              </w:rPr>
            </w:pPr>
            <w:hyperlink w:anchor="page101">
              <w:r>
                <w:rPr>
                  <w:rFonts w:ascii="Arial" w:cs="Arial" w:eastAsia="Arial" w:hAnsi="Arial"/>
                  <w:sz w:val="16"/>
                  <w:szCs w:val="16"/>
                  <w:color w:val="0000EE"/>
                  <w:w w:val="91"/>
                </w:rPr>
                <w:t>Rule 13a-14(a) and 15d-14(a) of the Securities Exchange Act of</w:t>
              </w:r>
            </w:hyperlink>
          </w:p>
        </w:tc>
        <w:tc>
          <w:tcPr>
            <w:tcW w:w="48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87"/>
              </w:rPr>
            </w:pPr>
            <w:hyperlink w:anchor="page101">
              <w:r>
                <w:rPr>
                  <w:rFonts w:ascii="Arial" w:cs="Arial" w:eastAsia="Arial" w:hAnsi="Arial"/>
                  <w:sz w:val="16"/>
                  <w:szCs w:val="16"/>
                  <w:color w:val="0000EE"/>
                  <w:w w:val="87"/>
                </w:rPr>
                <w:t>1934, as amended.</w:t>
              </w:r>
            </w:hyperlink>
          </w:p>
        </w:tc>
        <w:tc>
          <w:tcPr>
            <w:tcW w:w="342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4"/>
                <w:szCs w:val="24"/>
                <w:color w:val="auto"/>
              </w:rPr>
            </w:pPr>
          </w:p>
        </w:tc>
        <w:tc>
          <w:tcPr>
            <w:tcW w:w="4540" w:type="dxa"/>
            <w:vAlign w:val="bottom"/>
            <w:tcBorders>
              <w:bottom w:val="single" w:sz="8" w:color="0000EE"/>
            </w:tcBorders>
            <w:gridSpan w:val="18"/>
          </w:tcPr>
          <w:p>
            <w:pPr>
              <w:spacing w:after="0"/>
              <w:rPr>
                <w:rFonts w:ascii="Arial" w:cs="Arial" w:eastAsia="Arial" w:hAnsi="Arial"/>
                <w:sz w:val="16"/>
                <w:szCs w:val="16"/>
                <w:color w:val="0000EE"/>
                <w:w w:val="94"/>
              </w:rPr>
            </w:pPr>
            <w:hyperlink w:anchor="page102">
              <w:r>
                <w:rPr>
                  <w:rFonts w:ascii="Arial" w:cs="Arial" w:eastAsia="Arial" w:hAnsi="Arial"/>
                  <w:sz w:val="16"/>
                  <w:szCs w:val="16"/>
                  <w:color w:val="0000EE"/>
                  <w:w w:val="94"/>
                </w:rPr>
                <w:t>Certification of Principal Financial Officer Required Under Rule 13a-</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19"/>
          </w:tcPr>
          <w:p>
            <w:pPr>
              <w:spacing w:after="0"/>
              <w:rPr>
                <w:rFonts w:ascii="Arial" w:cs="Arial" w:eastAsia="Arial" w:hAnsi="Arial"/>
                <w:sz w:val="16"/>
                <w:szCs w:val="16"/>
                <w:color w:val="0000EE"/>
              </w:rPr>
            </w:pPr>
            <w:hyperlink w:anchor="page102">
              <w:r>
                <w:rPr>
                  <w:rFonts w:ascii="Arial" w:cs="Arial" w:eastAsia="Arial" w:hAnsi="Arial"/>
                  <w:sz w:val="16"/>
                  <w:szCs w:val="16"/>
                  <w:color w:val="0000EE"/>
                </w:rPr>
                <w:t>14(a) and 15d-14(a) of the Securities Exchange Act of 1934, as</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7"/>
              </w:rPr>
            </w:pPr>
            <w:hyperlink w:anchor="page102">
              <w:r>
                <w:rPr>
                  <w:rFonts w:ascii="Arial" w:cs="Arial" w:eastAsia="Arial" w:hAnsi="Arial"/>
                  <w:sz w:val="16"/>
                  <w:szCs w:val="16"/>
                  <w:color w:val="0000EE"/>
                  <w:w w:val="87"/>
                </w:rPr>
                <w:t>amended.</w:t>
              </w:r>
            </w:hyperlink>
          </w:p>
        </w:tc>
        <w:tc>
          <w:tcPr>
            <w:tcW w:w="3460" w:type="dxa"/>
            <w:vAlign w:val="bottom"/>
            <w:tcBorders>
              <w:top w:val="single" w:sz="8" w:color="0000EE"/>
            </w:tcBorders>
            <w:gridSpan w:val="7"/>
          </w:tcPr>
          <w:p>
            <w:pPr>
              <w:spacing w:after="0"/>
              <w:rPr>
                <w:sz w:val="17"/>
                <w:szCs w:val="17"/>
                <w:color w:val="auto"/>
              </w:rPr>
            </w:pPr>
          </w:p>
        </w:tc>
        <w:tc>
          <w:tcPr>
            <w:tcW w:w="54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4"/>
                <w:szCs w:val="24"/>
                <w:color w:val="auto"/>
              </w:rPr>
            </w:pPr>
          </w:p>
        </w:tc>
        <w:tc>
          <w:tcPr>
            <w:tcW w:w="4340" w:type="dxa"/>
            <w:vAlign w:val="bottom"/>
            <w:tcBorders>
              <w:bottom w:val="single" w:sz="8" w:color="0000EE"/>
            </w:tcBorders>
            <w:gridSpan w:val="13"/>
          </w:tcPr>
          <w:p>
            <w:pPr>
              <w:spacing w:after="0"/>
              <w:rPr>
                <w:rFonts w:ascii="Arial" w:cs="Arial" w:eastAsia="Arial" w:hAnsi="Arial"/>
                <w:sz w:val="16"/>
                <w:szCs w:val="16"/>
                <w:color w:val="0000EE"/>
                <w:w w:val="93"/>
              </w:rPr>
            </w:pPr>
            <w:hyperlink w:anchor="page103">
              <w:r>
                <w:rPr>
                  <w:rFonts w:ascii="Arial" w:cs="Arial" w:eastAsia="Arial" w:hAnsi="Arial"/>
                  <w:sz w:val="16"/>
                  <w:szCs w:val="16"/>
                  <w:color w:val="0000EE"/>
                  <w:w w:val="93"/>
                </w:rPr>
                <w:t>Certification of Chief Executive Officer Under Rule 13a-14(a) and</w:t>
              </w:r>
            </w:hyperlink>
          </w:p>
        </w:tc>
        <w:tc>
          <w:tcPr>
            <w:tcW w:w="30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19"/>
          </w:tcPr>
          <w:p>
            <w:pPr>
              <w:spacing w:after="0"/>
              <w:rPr>
                <w:rFonts w:ascii="Arial" w:cs="Arial" w:eastAsia="Arial" w:hAnsi="Arial"/>
                <w:sz w:val="16"/>
                <w:szCs w:val="16"/>
                <w:color w:val="0000EE"/>
                <w:w w:val="95"/>
              </w:rPr>
            </w:pPr>
            <w:hyperlink w:anchor="page103">
              <w:r>
                <w:rPr>
                  <w:rFonts w:ascii="Arial" w:cs="Arial" w:eastAsia="Arial" w:hAnsi="Arial"/>
                  <w:sz w:val="16"/>
                  <w:szCs w:val="16"/>
                  <w:color w:val="0000EE"/>
                  <w:w w:val="95"/>
                </w:rPr>
                <w:t>15d-14(a) of the Securities Exchange Act of 1934, as amended, and</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19"/>
          </w:tcPr>
          <w:p>
            <w:pPr>
              <w:spacing w:after="0"/>
              <w:rPr>
                <w:rFonts w:ascii="Arial" w:cs="Arial" w:eastAsia="Arial" w:hAnsi="Arial"/>
                <w:sz w:val="16"/>
                <w:szCs w:val="16"/>
                <w:color w:val="0000EE"/>
                <w:w w:val="91"/>
              </w:rPr>
            </w:pPr>
            <w:hyperlink w:anchor="page103">
              <w:r>
                <w:rPr>
                  <w:rFonts w:ascii="Arial" w:cs="Arial" w:eastAsia="Arial" w:hAnsi="Arial"/>
                  <w:sz w:val="16"/>
                  <w:szCs w:val="16"/>
                  <w:color w:val="0000EE"/>
                  <w:w w:val="91"/>
                </w:rPr>
                <w:t>18 U.S.C. §1350 as adopted pursuant to Section 906 of The Sarbanes-</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4"/>
              </w:rPr>
            </w:pPr>
            <w:hyperlink w:anchor="page103">
              <w:r>
                <w:rPr>
                  <w:rFonts w:ascii="Arial" w:cs="Arial" w:eastAsia="Arial" w:hAnsi="Arial"/>
                  <w:sz w:val="16"/>
                  <w:szCs w:val="16"/>
                  <w:color w:val="0000EE"/>
                  <w:w w:val="94"/>
                </w:rPr>
                <w:t>Oxley Act of 2002.</w:t>
              </w:r>
            </w:hyperlink>
          </w:p>
        </w:tc>
        <w:tc>
          <w:tcPr>
            <w:tcW w:w="328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4"/>
                <w:szCs w:val="24"/>
                <w:color w:val="auto"/>
              </w:rPr>
            </w:pPr>
          </w:p>
        </w:tc>
        <w:tc>
          <w:tcPr>
            <w:tcW w:w="4640" w:type="dxa"/>
            <w:vAlign w:val="bottom"/>
            <w:gridSpan w:val="19"/>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Certification of Chief Financial Officer Required Under Rule 13a-</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00" w:type="dxa"/>
            <w:vAlign w:val="bottom"/>
            <w:tcBorders>
              <w:top w:val="single" w:sz="8" w:color="0000EE"/>
            </w:tcBorders>
            <w:gridSpan w:val="12"/>
          </w:tcPr>
          <w:p>
            <w:pPr>
              <w:spacing w:after="0"/>
              <w:rPr>
                <w:rFonts w:ascii="Arial" w:cs="Arial" w:eastAsia="Arial" w:hAnsi="Arial"/>
                <w:sz w:val="16"/>
                <w:szCs w:val="16"/>
                <w:color w:val="0000EE"/>
                <w:w w:val="95"/>
              </w:rPr>
            </w:pPr>
            <w:hyperlink w:anchor="page104">
              <w:r>
                <w:rPr>
                  <w:rFonts w:ascii="Arial" w:cs="Arial" w:eastAsia="Arial" w:hAnsi="Arial"/>
                  <w:sz w:val="16"/>
                  <w:szCs w:val="16"/>
                  <w:color w:val="0000EE"/>
                  <w:w w:val="95"/>
                </w:rPr>
                <w:t>14(a) and 15d-14(a) of the Securities Exchange Act of 1934, as</w:t>
              </w:r>
            </w:hyperlink>
          </w:p>
        </w:tc>
        <w:tc>
          <w:tcPr>
            <w:tcW w:w="34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tcBorders>
              <w:bottom w:val="single" w:sz="8" w:color="0000EE"/>
            </w:tcBorders>
            <w:gridSpan w:val="17"/>
          </w:tcPr>
          <w:p>
            <w:pPr>
              <w:spacing w:after="0"/>
              <w:rPr>
                <w:rFonts w:ascii="Arial" w:cs="Arial" w:eastAsia="Arial" w:hAnsi="Arial"/>
                <w:sz w:val="16"/>
                <w:szCs w:val="16"/>
                <w:color w:val="0000EE"/>
                <w:w w:val="90"/>
              </w:rPr>
            </w:pPr>
            <w:hyperlink w:anchor="page104">
              <w:r>
                <w:rPr>
                  <w:rFonts w:ascii="Arial" w:cs="Arial" w:eastAsia="Arial" w:hAnsi="Arial"/>
                  <w:sz w:val="16"/>
                  <w:szCs w:val="16"/>
                  <w:color w:val="0000EE"/>
                  <w:w w:val="90"/>
                </w:rPr>
                <w:t>amended, and 18 U.S.C. §1350 as adopted pursuant to Section 906 of</w:t>
              </w:r>
            </w:hyperlink>
          </w:p>
        </w:tc>
        <w:tc>
          <w:tcPr>
            <w:tcW w:w="1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gridSpan w:val="19"/>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The Sarbanes-Oxley Act of 2002.</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780" w:type="dxa"/>
            <w:vAlign w:val="bottom"/>
            <w:gridSpan w:val="2"/>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246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47"/>
        </w:trPr>
        <w:tc>
          <w:tcPr>
            <w:tcW w:w="7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4640" w:type="dxa"/>
            <w:vAlign w:val="bottom"/>
            <w:gridSpan w:val="19"/>
          </w:tcPr>
          <w:p>
            <w:pPr>
              <w:spacing w:after="0"/>
              <w:rPr>
                <w:sz w:val="20"/>
                <w:szCs w:val="20"/>
                <w:color w:val="auto"/>
              </w:rPr>
            </w:pPr>
            <w:r>
              <w:rPr>
                <w:rFonts w:ascii="Arial" w:cs="Arial" w:eastAsia="Arial" w:hAnsi="Arial"/>
                <w:sz w:val="16"/>
                <w:szCs w:val="16"/>
                <w:color w:val="auto"/>
                <w:w w:val="99"/>
              </w:rPr>
              <w:t>Inline XBRL Instance Document (the instance document does not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gridSpan w:val="19"/>
          </w:tcPr>
          <w:p>
            <w:pPr>
              <w:spacing w:after="0"/>
              <w:rPr>
                <w:sz w:val="20"/>
                <w:szCs w:val="20"/>
                <w:color w:val="auto"/>
              </w:rPr>
            </w:pPr>
            <w:r>
              <w:rPr>
                <w:rFonts w:ascii="Arial" w:cs="Arial" w:eastAsia="Arial" w:hAnsi="Arial"/>
                <w:sz w:val="16"/>
                <w:szCs w:val="16"/>
                <w:color w:val="auto"/>
              </w:rPr>
              <w:t>appear in the Interactive Data File because its XBRL tags 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gridSpan w:val="19"/>
          </w:tcPr>
          <w:p>
            <w:pPr>
              <w:spacing w:after="0"/>
              <w:rPr>
                <w:sz w:val="20"/>
                <w:szCs w:val="20"/>
                <w:color w:val="auto"/>
              </w:rPr>
            </w:pPr>
            <w:r>
              <w:rPr>
                <w:rFonts w:ascii="Arial" w:cs="Arial" w:eastAsia="Arial" w:hAnsi="Arial"/>
                <w:sz w:val="16"/>
                <w:szCs w:val="16"/>
                <w:color w:val="auto"/>
              </w:rPr>
              <w:t>embedded within the Inline XBRL document).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4640" w:type="dxa"/>
            <w:vAlign w:val="bottom"/>
            <w:gridSpan w:val="19"/>
          </w:tcPr>
          <w:p>
            <w:pPr>
              <w:spacing w:after="0"/>
              <w:rPr>
                <w:sz w:val="20"/>
                <w:szCs w:val="20"/>
                <w:color w:val="auto"/>
              </w:rPr>
            </w:pPr>
            <w:r>
              <w:rPr>
                <w:rFonts w:ascii="Arial" w:cs="Arial" w:eastAsia="Arial" w:hAnsi="Arial"/>
                <w:sz w:val="16"/>
                <w:szCs w:val="16"/>
                <w:color w:val="auto"/>
              </w:rPr>
              <w:t>Inline XBRL Taxonomy Extension Schema.</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4640" w:type="dxa"/>
            <w:vAlign w:val="bottom"/>
            <w:gridSpan w:val="1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4640" w:type="dxa"/>
            <w:vAlign w:val="bottom"/>
            <w:gridSpan w:val="19"/>
          </w:tcPr>
          <w:p>
            <w:pPr>
              <w:spacing w:after="0"/>
              <w:rPr>
                <w:sz w:val="20"/>
                <w:szCs w:val="20"/>
                <w:color w:val="auto"/>
              </w:rPr>
            </w:pPr>
            <w:r>
              <w:rPr>
                <w:rFonts w:ascii="Arial" w:cs="Arial" w:eastAsia="Arial" w:hAnsi="Arial"/>
                <w:sz w:val="16"/>
                <w:szCs w:val="16"/>
                <w:color w:val="auto"/>
              </w:rPr>
              <w:t>Inline XBRL Taxonomy Extension Label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4640" w:type="dxa"/>
            <w:vAlign w:val="bottom"/>
            <w:gridSpan w:val="19"/>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101.DEF*  Inline XBRL Taxonomy Extension Definition Linkbase.</w:t>
      </w:r>
    </w:p>
    <w:p>
      <w:pPr>
        <w:spacing w:after="0" w:line="248" w:lineRule="exact"/>
        <w:rPr>
          <w:sz w:val="20"/>
          <w:szCs w:val="20"/>
          <w:color w:val="auto"/>
        </w:rPr>
      </w:pPr>
    </w:p>
    <w:p>
      <w:pPr>
        <w:ind w:left="800" w:right="3979" w:hanging="779"/>
        <w:spacing w:after="0" w:line="310" w:lineRule="auto"/>
        <w:tabs>
          <w:tab w:leader="none" w:pos="7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38735</wp:posOffset>
            </wp:positionV>
            <wp:extent cx="1414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5" w:lineRule="exact"/>
        <w:rPr>
          <w:sz w:val="20"/>
          <w:szCs w:val="20"/>
          <w:color w:val="auto"/>
        </w:rPr>
      </w:pPr>
    </w:p>
    <w:p>
      <w:pPr>
        <w:ind w:left="60" w:right="4439" w:hanging="10"/>
        <w:spacing w:after="0" w:line="258" w:lineRule="auto"/>
        <w:tabs>
          <w:tab w:leader="none" w:pos="3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line="1"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PAYLOCITY HOLDING CORPORATION</w:t>
      </w:r>
    </w:p>
    <w:p>
      <w:pPr>
        <w:spacing w:after="0" w:line="283"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23495</wp:posOffset>
            </wp:positionV>
            <wp:extent cx="259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Steven R. Beauchamp</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Chief Executive Officer (Principal Executive Officer)</w:t>
      </w:r>
    </w:p>
    <w:p>
      <w:pPr>
        <w:spacing w:after="0" w:line="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Each person whose individual signature appears below hereby authorizes and appoints Steven R. Beauchamp and Toby J. Williams,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65" w:lineRule="exact"/>
        <w:rPr>
          <w:sz w:val="20"/>
          <w:szCs w:val="20"/>
          <w:color w:val="auto"/>
        </w:rPr>
      </w:pPr>
    </w:p>
    <w:p>
      <w:pPr>
        <w:ind w:left="60" w:right="299"/>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tbl>
      <w:tblPr>
        <w:tblLayout w:type="fixed"/>
        <w:tblInd w:w="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66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Signature</w:t>
            </w:r>
          </w:p>
        </w:tc>
        <w:tc>
          <w:tcPr>
            <w:tcW w:w="180" w:type="dxa"/>
            <w:vAlign w:val="bottom"/>
          </w:tcPr>
          <w:p>
            <w:pPr>
              <w:spacing w:after="0"/>
              <w:rPr>
                <w:sz w:val="15"/>
                <w:szCs w:val="15"/>
                <w:color w:val="auto"/>
              </w:rPr>
            </w:pPr>
          </w:p>
        </w:tc>
        <w:tc>
          <w:tcPr>
            <w:tcW w:w="3620" w:type="dxa"/>
            <w:vAlign w:val="bottom"/>
            <w:tcBorders>
              <w:bottom w:val="single" w:sz="8" w:color="auto"/>
            </w:tcBorders>
          </w:tcPr>
          <w:p>
            <w:pPr>
              <w:ind w:left="1680"/>
              <w:spacing w:after="0"/>
              <w:rPr>
                <w:sz w:val="20"/>
                <w:szCs w:val="20"/>
                <w:color w:val="auto"/>
              </w:rPr>
            </w:pPr>
            <w:r>
              <w:rPr>
                <w:rFonts w:ascii="Arial" w:cs="Arial" w:eastAsia="Arial" w:hAnsi="Arial"/>
                <w:sz w:val="13"/>
                <w:szCs w:val="13"/>
                <w:b w:val="1"/>
                <w:bCs w:val="1"/>
                <w:color w:val="auto"/>
              </w:rPr>
              <w:t>Title</w:t>
            </w:r>
          </w:p>
        </w:tc>
        <w:tc>
          <w:tcPr>
            <w:tcW w:w="14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20" w:type="dxa"/>
            <w:vAlign w:val="bottom"/>
            <w:tcBorders>
              <w:bottom w:val="single" w:sz="8" w:color="auto"/>
            </w:tcBorders>
          </w:tcPr>
          <w:p>
            <w:pPr>
              <w:spacing w:after="0"/>
              <w:rPr>
                <w:sz w:val="15"/>
                <w:szCs w:val="15"/>
                <w:color w:val="auto"/>
              </w:rPr>
            </w:pPr>
          </w:p>
        </w:tc>
      </w:tr>
      <w:tr>
        <w:trPr>
          <w:trHeight w:val="35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 (Principal Executive</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R. Beauchamp</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Officer) and 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1"/>
                <w:szCs w:val="2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Steven R. Beauchamp</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(Principal Financial</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Toby J. Williams</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Officer)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1"/>
                <w:szCs w:val="2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Toby J. Williams</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Chief Accounting Officer (Principal Accounting</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Cappotelli</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Officer)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1"/>
                <w:szCs w:val="2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Andrew Cappotelli</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I. Sarowitz</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Chairman of the Board of Directors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4"/>
                <w:szCs w:val="24"/>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Steven I. Sarowitz</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Virginia G. Breen</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4"/>
                <w:szCs w:val="24"/>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Virginia G. Breen</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Ellen Carnahan</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4"/>
                <w:szCs w:val="24"/>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Ellen Carnahan</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T. Diehl</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4"/>
                <w:szCs w:val="24"/>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Jeffrey T. Diehl</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Robin L. Pederson</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4"/>
                <w:szCs w:val="24"/>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Robin L. Pederson</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Andres D. Reiner</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4"/>
                <w:szCs w:val="24"/>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Andres D. Reiner</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Kenneth B. Robinson</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4"/>
                <w:szCs w:val="24"/>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Kenneth B. Robinson</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V. Waters, III</w:t>
            </w: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August 7, 2020</w:t>
            </w:r>
          </w:p>
        </w:tc>
        <w:tc>
          <w:tcPr>
            <w:tcW w:w="20" w:type="dxa"/>
            <w:vAlign w:val="bottom"/>
          </w:tcPr>
          <w:p>
            <w:pPr>
              <w:spacing w:after="0"/>
              <w:rPr>
                <w:sz w:val="24"/>
                <w:szCs w:val="24"/>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i w:val="1"/>
                <w:iCs w:val="1"/>
                <w:color w:val="auto"/>
              </w:rPr>
              <w:t>Ronald V. Waters, III</w:t>
            </w: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90"/>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00" w:type="dxa"/>
            <w:vAlign w:val="bottom"/>
            <w:gridSpan w:val="2"/>
          </w:tcPr>
          <w:p>
            <w:pPr>
              <w:ind w:left="17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16"/>
        </w:trPr>
        <w:tc>
          <w:tcPr>
            <w:tcW w:w="850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00" w:type="dxa"/>
            <w:vAlign w:val="bottom"/>
          </w:tcPr>
          <w:p>
            <w:pPr>
              <w:spacing w:after="0"/>
              <w:rPr>
                <w:sz w:val="18"/>
                <w:szCs w:val="18"/>
                <w:color w:val="auto"/>
              </w:rPr>
            </w:pPr>
          </w:p>
        </w:tc>
      </w:tr>
      <w:tr>
        <w:trPr>
          <w:trHeight w:val="257"/>
        </w:trPr>
        <w:tc>
          <w:tcPr>
            <w:tcW w:w="85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85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Balance Sheets as of June 30, 2019 and 2020</w:t>
              </w:r>
            </w:hyperlink>
          </w:p>
        </w:tc>
        <w:tc>
          <w:tcPr>
            <w:tcW w:w="400" w:type="dxa"/>
            <w:vAlign w:val="bottom"/>
          </w:tcPr>
          <w:p>
            <w:pPr>
              <w:jc w:val="center"/>
              <w:spacing w:after="0"/>
              <w:rPr>
                <w:sz w:val="20"/>
                <w:szCs w:val="20"/>
                <w:color w:val="auto"/>
              </w:rPr>
            </w:pPr>
            <w:r>
              <w:rPr>
                <w:rFonts w:ascii="Arial" w:cs="Arial" w:eastAsia="Arial" w:hAnsi="Arial"/>
                <w:sz w:val="18"/>
                <w:szCs w:val="18"/>
                <w:color w:val="auto"/>
                <w:w w:val="88"/>
              </w:rPr>
              <w:t>F-5</w:t>
            </w:r>
          </w:p>
        </w:tc>
      </w:tr>
    </w:tbl>
    <w:p>
      <w:pPr>
        <w:spacing w:after="0" w:line="13" w:lineRule="exact"/>
        <w:rPr>
          <w:sz w:val="20"/>
          <w:szCs w:val="20"/>
          <w:color w:val="auto"/>
        </w:rPr>
      </w:pPr>
    </w:p>
    <w:p>
      <w:pPr>
        <w:ind w:left="60"/>
        <w:spacing w:after="0"/>
        <w:rPr>
          <w:rFonts w:ascii="Arial" w:cs="Arial" w:eastAsia="Arial" w:hAnsi="Arial"/>
          <w:sz w:val="16"/>
          <w:szCs w:val="16"/>
          <w:color w:val="0000EE"/>
        </w:rPr>
      </w:pPr>
      <w:hyperlink w:anchor="page71">
        <w:r>
          <w:rPr>
            <w:rFonts w:ascii="Arial" w:cs="Arial" w:eastAsia="Arial" w:hAnsi="Arial"/>
            <w:sz w:val="16"/>
            <w:szCs w:val="16"/>
            <w:u w:val="single" w:color="auto"/>
            <w:color w:val="0000EE"/>
          </w:rPr>
          <w:t>Consolidated Statements of Operations and Comprehensive Income for the years ended June 30, 2018, 2019 and 2020</w:t>
        </w:r>
        <w:r>
          <w:rPr>
            <w:rFonts w:ascii="Arial" w:cs="Arial" w:eastAsia="Arial" w:hAnsi="Arial"/>
            <w:sz w:val="16"/>
            <w:szCs w:val="16"/>
            <w:color w:val="0000EE"/>
          </w:rPr>
          <w:t xml:space="preserve"> </w:t>
        </w:r>
      </w:hyperlink>
      <w:r>
        <w:rPr>
          <w:rFonts w:ascii="Arial" w:cs="Arial" w:eastAsia="Arial" w:hAnsi="Arial"/>
          <w:sz w:val="16"/>
          <w:szCs w:val="16"/>
          <w:color w:val="000000"/>
        </w:rPr>
        <w:t>F-6</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320" w:type="dxa"/>
            <w:vAlign w:val="bottom"/>
          </w:tcPr>
          <w:p>
            <w:pPr>
              <w:ind w:left="20"/>
              <w:spacing w:after="0"/>
              <w:rPr>
                <w:rFonts w:ascii="Arial" w:cs="Arial" w:eastAsia="Arial" w:hAnsi="Arial"/>
                <w:sz w:val="18"/>
                <w:szCs w:val="18"/>
                <w:u w:val="single" w:color="auto"/>
                <w:color w:val="0000EE"/>
                <w:w w:val="92"/>
              </w:rPr>
            </w:pPr>
            <w:hyperlink w:anchor="page72">
              <w:r>
                <w:rPr>
                  <w:rFonts w:ascii="Arial" w:cs="Arial" w:eastAsia="Arial" w:hAnsi="Arial"/>
                  <w:sz w:val="18"/>
                  <w:szCs w:val="18"/>
                  <w:u w:val="single" w:color="auto"/>
                  <w:color w:val="0000EE"/>
                  <w:w w:val="92"/>
                </w:rPr>
                <w:t>Consolidated Statements of Changes in Stockholders’ Equity for the years ended June 30, 2018, 2019 and 2020</w:t>
              </w:r>
            </w:hyperlink>
          </w:p>
        </w:tc>
        <w:tc>
          <w:tcPr>
            <w:tcW w:w="600" w:type="dxa"/>
            <w:vAlign w:val="bottom"/>
          </w:tcPr>
          <w:p>
            <w:pPr>
              <w:ind w:left="280"/>
              <w:spacing w:after="0"/>
              <w:rPr>
                <w:sz w:val="20"/>
                <w:szCs w:val="20"/>
                <w:color w:val="auto"/>
              </w:rPr>
            </w:pPr>
            <w:r>
              <w:rPr>
                <w:rFonts w:ascii="Arial" w:cs="Arial" w:eastAsia="Arial" w:hAnsi="Arial"/>
                <w:sz w:val="18"/>
                <w:szCs w:val="18"/>
                <w:color w:val="auto"/>
              </w:rPr>
              <w:t>F-7</w:t>
            </w:r>
          </w:p>
        </w:tc>
      </w:tr>
      <w:tr>
        <w:trPr>
          <w:trHeight w:val="243"/>
        </w:trPr>
        <w:tc>
          <w:tcPr>
            <w:tcW w:w="8320" w:type="dxa"/>
            <w:vAlign w:val="bottom"/>
          </w:tcPr>
          <w:p>
            <w:pPr>
              <w:ind w:left="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Statements of Cash Flows for the years ended June 30, 2018, 2019 and 2020</w:t>
              </w:r>
            </w:hyperlink>
          </w:p>
        </w:tc>
        <w:tc>
          <w:tcPr>
            <w:tcW w:w="600" w:type="dxa"/>
            <w:vAlign w:val="bottom"/>
          </w:tcPr>
          <w:p>
            <w:pPr>
              <w:ind w:left="280"/>
              <w:spacing w:after="0"/>
              <w:rPr>
                <w:sz w:val="20"/>
                <w:szCs w:val="20"/>
                <w:color w:val="auto"/>
              </w:rPr>
            </w:pPr>
            <w:r>
              <w:rPr>
                <w:rFonts w:ascii="Arial" w:cs="Arial" w:eastAsia="Arial" w:hAnsi="Arial"/>
                <w:sz w:val="18"/>
                <w:szCs w:val="18"/>
                <w:color w:val="auto"/>
              </w:rPr>
              <w:t>F-8</w:t>
            </w:r>
          </w:p>
        </w:tc>
      </w:tr>
      <w:tr>
        <w:trPr>
          <w:trHeight w:val="243"/>
        </w:trPr>
        <w:tc>
          <w:tcPr>
            <w:tcW w:w="8320" w:type="dxa"/>
            <w:vAlign w:val="bottom"/>
          </w:tcPr>
          <w:p>
            <w:pPr>
              <w:ind w:left="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Notes to the Consolidated Financial Statements</w:t>
              </w:r>
            </w:hyperlink>
          </w:p>
        </w:tc>
        <w:tc>
          <w:tcPr>
            <w:tcW w:w="600" w:type="dxa"/>
            <w:vAlign w:val="bottom"/>
          </w:tcPr>
          <w:p>
            <w:pPr>
              <w:ind w:left="280"/>
              <w:spacing w:after="0"/>
              <w:rPr>
                <w:sz w:val="20"/>
                <w:szCs w:val="20"/>
                <w:color w:val="auto"/>
              </w:rPr>
            </w:pPr>
            <w:r>
              <w:rPr>
                <w:rFonts w:ascii="Arial" w:cs="Arial" w:eastAsia="Arial" w:hAnsi="Arial"/>
                <w:sz w:val="18"/>
                <w:szCs w:val="18"/>
                <w:color w:val="auto"/>
              </w:rPr>
              <w:t>F-9</w:t>
            </w:r>
          </w:p>
        </w:tc>
      </w:tr>
      <w:tr>
        <w:trPr>
          <w:trHeight w:val="891"/>
        </w:trPr>
        <w:tc>
          <w:tcPr>
            <w:tcW w:w="8320" w:type="dxa"/>
            <w:vAlign w:val="bottom"/>
          </w:tcPr>
          <w:p>
            <w:pPr>
              <w:ind w:left="4340"/>
              <w:spacing w:after="0"/>
              <w:rPr>
                <w:sz w:val="20"/>
                <w:szCs w:val="20"/>
                <w:color w:val="auto"/>
              </w:rPr>
            </w:pPr>
            <w:r>
              <w:rPr>
                <w:rFonts w:ascii="Arial" w:cs="Arial" w:eastAsia="Arial" w:hAnsi="Arial"/>
                <w:sz w:val="18"/>
                <w:szCs w:val="18"/>
                <w:color w:val="auto"/>
              </w:rPr>
              <w:t>F-1</w:t>
            </w:r>
          </w:p>
        </w:tc>
        <w:tc>
          <w:tcPr>
            <w:tcW w:w="600" w:type="dxa"/>
            <w:vAlign w:val="bottom"/>
          </w:tcPr>
          <w:p>
            <w:pPr>
              <w:spacing w:after="0"/>
              <w:rPr>
                <w:sz w:val="24"/>
                <w:szCs w:val="24"/>
                <w:color w:val="auto"/>
              </w:rPr>
            </w:pPr>
          </w:p>
        </w:tc>
      </w:tr>
      <w:tr>
        <w:trPr>
          <w:trHeight w:val="561"/>
        </w:trPr>
        <w:tc>
          <w:tcPr>
            <w:tcW w:w="8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Paylocity Holding Corporation: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90"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 xml:space="preserve">We have audited the accompanying consolidated balance sheets of Paylocity Holding Corporation and subsidiaries (the Company) as of June 30, 2020 and 2019, the related consolidated statements of operations and comprehensive income, changes in stockholders’ equity, and cash flows for each of the years in the three-year period ended June 30, 2020, and the related notes (collectively, the consolidated financial statements). We also have audited the Company’s internal control over financial reporting as of June 30, 2020,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w:t>
      </w:r>
    </w:p>
    <w:p>
      <w:pPr>
        <w:spacing w:after="0" w:line="137"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June 30, 2020 and 2019, and the results of its operations and its cash flows for each of the years in the three-year period ended June 30, 2020, in conformity with U.S. generally accepted accounting principles. Also in our opinion, the Company maintained, in all material respects, effective internal control over financial reporting as of June 30,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Principles</w:t>
      </w:r>
    </w:p>
    <w:p>
      <w:pPr>
        <w:spacing w:after="0" w:line="104"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leases for the year ended June 30, 2020 due to the adoption of Accounting Standard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effective July 1, 2019</w:t>
      </w:r>
      <w:r>
        <w:rPr>
          <w:rFonts w:ascii="Arial" w:cs="Arial" w:eastAsia="Arial" w:hAnsi="Arial"/>
          <w:sz w:val="18"/>
          <w:szCs w:val="18"/>
          <w:i w:val="1"/>
          <w:iCs w:val="1"/>
          <w:color w:val="auto"/>
        </w:rPr>
        <w:t>.</w:t>
      </w:r>
    </w:p>
    <w:p>
      <w:pPr>
        <w:spacing w:after="0" w:line="184"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revenues and related costs for the year ended June 30, 2019 due to the adoption of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effective July 1, 2018.</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Opinions</w:t>
      </w:r>
    </w:p>
    <w:p>
      <w:pPr>
        <w:spacing w:after="0" w:line="90"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and Attestation Report of the Registered Public Accounting Firm.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such other procedures as we considered necessary in the circumstances. We believe that our audits provide a reasonable basis for our opinions.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Capitalized internal-use software development costs</w:t>
      </w:r>
    </w:p>
    <w:p>
      <w:pPr>
        <w:spacing w:after="0" w:line="225"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As discussed in Notes 2(g) and 7 to the consolidated financial statements, the Company capitalizes certain internal-use software costs related to new products as well as existing products when those costs will result in significant additional functionality. The Company’s capitalized internal-use software asset, net of accumulated amortization, was $37 million as of June 30, 2020. The Company capitalized $28 million of internal-use software costs during the year ended June 30, 2020.</w:t>
      </w:r>
    </w:p>
    <w:p>
      <w:pPr>
        <w:spacing w:after="0" w:line="157"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color w:val="auto"/>
        </w:rPr>
        <w:t>We identified the determination of capitalized internal-use software development costs as a critical audit matter because of the degree of subjectivity involved in assessing which projects met the capitalization criteria.</w:t>
      </w:r>
    </w:p>
    <w:p>
      <w:pPr>
        <w:spacing w:after="0" w:line="146"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an internal control related to the critical audit matter. This control related to the determination of which software development projects met the capitalization criteria. For a selection of current year capitalized software costs, we evaluated the Company’s determination to capitalize the costs by reading the Company’s analysis and discussing the objective and status of the projects with IT department management. We also assessed a</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sample of the Company’s capitalized costs by confirming the nature of the activities performed with individual software developers.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ind w:left="46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132,476</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250,851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investments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contract costs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 before funds held for clients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Funds held for clients</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1,394,469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1,327,304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1,596,189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1,663,154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Capitalized internal-use software,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1,803,941</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1,985,648</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3,954</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rPr>
              <w:t>Total current liabilities before client fund obligations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Client fund obligations</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1,394,469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1,327,304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1,456,048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1,408,940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Deferred rent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1,495,977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1,592,740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tcPr>
          <w:p>
            <w:pPr>
              <w:ind w:left="200"/>
              <w:spacing w:after="0" w:line="201" w:lineRule="exact"/>
              <w:rPr>
                <w:sz w:val="20"/>
                <w:szCs w:val="20"/>
                <w:color w:val="auto"/>
              </w:rPr>
            </w:pPr>
            <w:r>
              <w:rPr>
                <w:rFonts w:ascii="Arial" w:cs="Arial" w:eastAsia="Arial" w:hAnsi="Arial"/>
                <w:sz w:val="18"/>
                <w:szCs w:val="18"/>
                <w:color w:val="auto"/>
                <w:w w:val="89"/>
              </w:rPr>
              <w:t>Preferred stock, $0.001 par value, 5,000 authorized, no shares issued and outstanding at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June 30, 2019 and June 30, 2020</w:t>
            </w: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$0.001 par value, 155,000 shares authorized at June 30, 2019 and</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June 30, 2020; 53,075 shares issued and outstanding at June 30, 2019 and 53,792 shares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and outstanding at June 30, 2020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207,982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stockholders’ equity</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1,803,941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1,985,648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516890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PAYLOCITY HOLDING CORPORATION Consolidated Statements of Operations and Comprehensive Income (in thousands, except per share data)</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8"/>
          </w:tcPr>
          <w:p>
            <w:pPr>
              <w:ind w:left="440"/>
              <w:spacing w:after="0"/>
              <w:rPr>
                <w:sz w:val="20"/>
                <w:szCs w:val="20"/>
                <w:color w:val="auto"/>
              </w:rPr>
            </w:pPr>
            <w:r>
              <w:rPr>
                <w:rFonts w:ascii="Arial" w:cs="Arial" w:eastAsia="Arial" w:hAnsi="Arial"/>
                <w:sz w:val="14"/>
                <w:szCs w:val="14"/>
                <w:b w:val="1"/>
                <w:bCs w:val="1"/>
                <w:color w:val="auto"/>
              </w:rPr>
              <w:t>For the Years Ended June 30,</w:t>
            </w:r>
          </w:p>
        </w:tc>
        <w:tc>
          <w:tcPr>
            <w:tcW w:w="0" w:type="dxa"/>
            <w:vAlign w:val="bottom"/>
          </w:tcPr>
          <w:p>
            <w:pPr>
              <w:spacing w:after="0"/>
              <w:rPr>
                <w:sz w:val="1"/>
                <w:szCs w:val="1"/>
                <w:color w:val="auto"/>
              </w:rPr>
            </w:pPr>
          </w:p>
        </w:tc>
      </w:tr>
      <w:tr>
        <w:trPr>
          <w:trHeight w:val="142"/>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Recurring and other revenue</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368,434</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447,752</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377,527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467,633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149,197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153,851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182,010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228,330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313,782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212,381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257,558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313,148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(losses) on securities, net of tax</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Basic</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0.74</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shares used in computing net income per share: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52,425</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52,914</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53,547</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54,887</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55,414</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55,807</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PAYLOCITY HOLDING CORPORATION Consolidated Statements of Changes in Stockholders’ Equity (in thousands)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2"/>
              </w:rPr>
              <w:t>Stockholders' Equity</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211"/>
        </w:trPr>
        <w:tc>
          <w:tcPr>
            <w:tcW w:w="3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8"/>
                <w:szCs w:val="18"/>
                <w:color w:val="auto"/>
              </w:rPr>
            </w:pPr>
          </w:p>
        </w:tc>
        <w:tc>
          <w:tcPr>
            <w:tcW w:w="800" w:type="dxa"/>
            <w:vAlign w:val="bottom"/>
          </w:tcPr>
          <w:p>
            <w:pPr>
              <w:jc w:val="center"/>
              <w:ind w:right="131"/>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Total</w:t>
            </w:r>
          </w:p>
        </w:tc>
      </w:tr>
      <w:tr>
        <w:trPr>
          <w:trHeight w:val="201"/>
        </w:trPr>
        <w:tc>
          <w:tcPr>
            <w:tcW w:w="3560" w:type="dxa"/>
            <w:vAlign w:val="bottom"/>
          </w:tcPr>
          <w:p>
            <w:pPr>
              <w:spacing w:after="0"/>
              <w:rPr>
                <w:sz w:val="17"/>
                <w:szCs w:val="17"/>
                <w:color w:val="auto"/>
              </w:rPr>
            </w:pPr>
          </w:p>
        </w:tc>
        <w:tc>
          <w:tcPr>
            <w:tcW w:w="12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r>
      <w:tr>
        <w:trPr>
          <w:trHeight w:val="196"/>
        </w:trPr>
        <w:tc>
          <w:tcPr>
            <w:tcW w:w="3560" w:type="dxa"/>
            <w:vAlign w:val="bottom"/>
          </w:tcPr>
          <w:p>
            <w:pPr>
              <w:spacing w:after="0"/>
              <w:rPr>
                <w:sz w:val="17"/>
                <w:szCs w:val="17"/>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w w:val="98"/>
              </w:rPr>
              <w:t>Shares</w:t>
            </w:r>
          </w:p>
        </w:tc>
        <w:tc>
          <w:tcPr>
            <w:tcW w:w="66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Equity</w:t>
            </w: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51,738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$ 192,837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147,613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32,378</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price related to equity awards</w:t>
            </w:r>
          </w:p>
        </w:tc>
        <w:tc>
          <w:tcPr>
            <w:tcW w:w="58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(17,932)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(17,932)</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securities, net of tax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38,598</w:t>
            </w: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52,758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$ 219,588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212,824</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Cumulative effect of change in accounting</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policy (adoption of Topic 606)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52,672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52,672</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58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4,882</w:t>
            </w: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stock purchase plan</w:t>
            </w: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5,982</w:t>
            </w: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price related to equity awards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Repurchases of common shares</w:t>
            </w:r>
          </w:p>
        </w:tc>
        <w:tc>
          <w:tcPr>
            <w:tcW w:w="580" w:type="dxa"/>
            <w:vAlign w:val="bottom"/>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(34,991)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(34,991)</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securities, net of tax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53,823</w:t>
            </w: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53,075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$ 207,982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307,964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49,890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49,890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spacing w:after="0"/>
              <w:rPr>
                <w:sz w:val="20"/>
                <w:szCs w:val="20"/>
                <w:color w:val="auto"/>
              </w:rPr>
            </w:pPr>
            <w:r>
              <w:rPr>
                <w:rFonts w:ascii="Arial" w:cs="Arial" w:eastAsia="Arial" w:hAnsi="Arial"/>
                <w:sz w:val="18"/>
                <w:szCs w:val="18"/>
                <w:color w:val="auto"/>
              </w:rPr>
              <w:t>735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price related to equity awards</w:t>
            </w:r>
          </w:p>
        </w:tc>
        <w:tc>
          <w:tcPr>
            <w:tcW w:w="58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(41,944)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(41,944)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securities, net of tax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16"/>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64,455</w:t>
            </w:r>
          </w:p>
        </w:tc>
      </w:tr>
      <w:tr>
        <w:trPr>
          <w:trHeight w:val="209"/>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2020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53,792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$ 227,907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164,272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392,908</w:t>
            </w:r>
          </w:p>
        </w:tc>
      </w:tr>
      <w:tr>
        <w:trPr>
          <w:trHeight w:val="20"/>
        </w:trPr>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8"/>
          </w:tcPr>
          <w:p>
            <w:pPr>
              <w:jc w:val="right"/>
              <w:ind w:right="700"/>
              <w:spacing w:after="0"/>
              <w:rPr>
                <w:sz w:val="20"/>
                <w:szCs w:val="20"/>
                <w:color w:val="auto"/>
              </w:rPr>
            </w:pPr>
            <w:r>
              <w:rPr>
                <w:rFonts w:ascii="Arial" w:cs="Arial" w:eastAsia="Arial" w:hAnsi="Arial"/>
                <w:sz w:val="13"/>
                <w:szCs w:val="13"/>
                <w:b w:val="1"/>
                <w:bCs w:val="1"/>
                <w:color w:val="auto"/>
              </w:rPr>
              <w:t>For the Years Ended June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Cash flows from operating activities: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20"/>
              <w:spacing w:after="0" w:line="162" w:lineRule="exact"/>
              <w:rPr>
                <w:sz w:val="20"/>
                <w:szCs w:val="20"/>
                <w:color w:val="auto"/>
              </w:rPr>
            </w:pPr>
            <w:r>
              <w:rPr>
                <w:rFonts w:ascii="Arial" w:cs="Arial" w:eastAsia="Arial" w:hAnsi="Arial"/>
                <w:sz w:val="15"/>
                <w:szCs w:val="15"/>
                <w:color w:val="auto"/>
              </w:rPr>
              <w:t>Net income</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38,598</w:t>
            </w:r>
          </w:p>
        </w:tc>
        <w:tc>
          <w:tcPr>
            <w:tcW w:w="180" w:type="dxa"/>
            <w:vAlign w:val="bottom"/>
          </w:tcPr>
          <w:p>
            <w:pPr>
              <w:spacing w:after="0"/>
              <w:rPr>
                <w:sz w:val="14"/>
                <w:szCs w:val="14"/>
                <w:color w:val="auto"/>
              </w:rPr>
            </w:pP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53,823</w:t>
            </w:r>
          </w:p>
        </w:tc>
        <w:tc>
          <w:tcPr>
            <w:tcW w:w="1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64,455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340"/>
              <w:spacing w:after="0" w:line="162" w:lineRule="exact"/>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30,354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38,765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47,493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Depreciation and amortization expense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30,202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34,564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37,913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340"/>
              <w:spacing w:after="0" w:line="162" w:lineRule="exact"/>
              <w:rPr>
                <w:sz w:val="20"/>
                <w:szCs w:val="20"/>
                <w:color w:val="auto"/>
              </w:rPr>
            </w:pPr>
            <w:r>
              <w:rPr>
                <w:rFonts w:ascii="Arial" w:cs="Arial" w:eastAsia="Arial" w:hAnsi="Arial"/>
                <w:sz w:val="15"/>
                <w:szCs w:val="15"/>
                <w:color w:val="auto"/>
              </w:rPr>
              <w:t>Deferred income tax expense (benefit)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(21,870)</w:t>
            </w: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4,134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2,754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Provision for doubtful accounts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340"/>
              <w:spacing w:after="0" w:line="162" w:lineRule="exact"/>
              <w:rPr>
                <w:sz w:val="20"/>
                <w:szCs w:val="20"/>
                <w:color w:val="auto"/>
              </w:rPr>
            </w:pPr>
            <w:r>
              <w:rPr>
                <w:rFonts w:ascii="Arial" w:cs="Arial" w:eastAsia="Arial" w:hAnsi="Arial"/>
                <w:sz w:val="15"/>
                <w:szCs w:val="15"/>
                <w:color w:val="auto"/>
                <w:w w:val="95"/>
              </w:rPr>
              <w:t>Net accretion of discounts and amortization of premiums on available-for-sale securities</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(443)</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(2,230)</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(1,836)</w:t>
            </w: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Net realized losses on sales of available-for-sale securities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900" w:type="dxa"/>
            <w:vAlign w:val="bottom"/>
          </w:tcPr>
          <w:p>
            <w:pPr>
              <w:ind w:left="340"/>
              <w:spacing w:after="0" w:line="162" w:lineRule="exact"/>
              <w:rPr>
                <w:sz w:val="20"/>
                <w:szCs w:val="20"/>
                <w:color w:val="auto"/>
              </w:rPr>
            </w:pPr>
            <w:r>
              <w:rPr>
                <w:rFonts w:ascii="Arial" w:cs="Arial" w:eastAsia="Arial" w:hAnsi="Arial"/>
                <w:sz w:val="15"/>
                <w:szCs w:val="15"/>
                <w:color w:val="auto"/>
              </w:rPr>
              <w:t>Amortization of debt issuance costs</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Loss on disposal of equipment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34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rPr>
              <w:t>Accounts receivable</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(1,494)</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(1,188)</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162"/>
        </w:trPr>
        <w:tc>
          <w:tcPr>
            <w:tcW w:w="5900" w:type="dxa"/>
            <w:vAlign w:val="bottom"/>
          </w:tcPr>
          <w:p>
            <w:pPr>
              <w:ind w:left="440"/>
              <w:spacing w:after="0" w:line="162" w:lineRule="exact"/>
              <w:rPr>
                <w:sz w:val="20"/>
                <w:szCs w:val="20"/>
                <w:color w:val="auto"/>
              </w:rPr>
            </w:pPr>
            <w:r>
              <w:rPr>
                <w:rFonts w:ascii="Arial" w:cs="Arial" w:eastAsia="Arial" w:hAnsi="Arial"/>
                <w:sz w:val="15"/>
                <w:szCs w:val="15"/>
                <w:color w:val="auto"/>
              </w:rPr>
              <w:t>Deferred contract costs</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(34,992)</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(54,944)</w:t>
            </w: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rPr>
              <w:t>Prepaid expenses and other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(2,141)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62"/>
        </w:trPr>
        <w:tc>
          <w:tcPr>
            <w:tcW w:w="5900" w:type="dxa"/>
            <w:vAlign w:val="bottom"/>
          </w:tcPr>
          <w:p>
            <w:pPr>
              <w:ind w:left="440"/>
              <w:spacing w:after="0" w:line="162" w:lineRule="exact"/>
              <w:rPr>
                <w:sz w:val="20"/>
                <w:szCs w:val="20"/>
                <w:color w:val="auto"/>
              </w:rPr>
            </w:pPr>
            <w:r>
              <w:rPr>
                <w:rFonts w:ascii="Arial" w:cs="Arial" w:eastAsia="Arial" w:hAnsi="Arial"/>
                <w:sz w:val="15"/>
                <w:szCs w:val="15"/>
                <w:color w:val="auto"/>
              </w:rPr>
              <w:t>Accounts payable</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740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(75)</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(806)</w:t>
            </w: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rPr>
              <w:t>Accrued expenses and other</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11,641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13,625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17,696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440"/>
              <w:spacing w:after="0" w:line="162" w:lineRule="exact"/>
              <w:rPr>
                <w:sz w:val="20"/>
                <w:szCs w:val="20"/>
                <w:color w:val="auto"/>
              </w:rPr>
            </w:pPr>
            <w:r>
              <w:rPr>
                <w:rFonts w:ascii="Arial" w:cs="Arial" w:eastAsia="Arial" w:hAnsi="Arial"/>
                <w:sz w:val="15"/>
                <w:szCs w:val="15"/>
                <w:color w:val="auto"/>
              </w:rPr>
              <w:t>Tenant improvement allowance</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11,754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7,480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5900" w:type="dxa"/>
            <w:vAlign w:val="bottom"/>
            <w:tcBorders>
              <w:top w:val="single" w:sz="8" w:color="CCEEFF"/>
            </w:tcBorders>
            <w:shd w:val="clear" w:color="auto" w:fill="CCEEFF"/>
          </w:tcPr>
          <w:p>
            <w:pPr>
              <w:ind w:left="66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97,866</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115,032</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112,655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0"/>
              <w:spacing w:after="0" w:line="162" w:lineRule="exact"/>
              <w:rPr>
                <w:sz w:val="20"/>
                <w:szCs w:val="20"/>
                <w:color w:val="auto"/>
              </w:rPr>
            </w:pPr>
            <w:r>
              <w:rPr>
                <w:rFonts w:ascii="Arial" w:cs="Arial" w:eastAsia="Arial" w:hAnsi="Arial"/>
                <w:sz w:val="15"/>
                <w:szCs w:val="15"/>
                <w:color w:val="auto"/>
              </w:rPr>
              <w:t>Cash flows from investing activities: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Purchases of available-for-sale securities and other</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(196,597)</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(250,685)</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(400,343)</w:t>
            </w:r>
          </w:p>
        </w:tc>
        <w:tc>
          <w:tcPr>
            <w:tcW w:w="0" w:type="dxa"/>
            <w:vAlign w:val="bottom"/>
          </w:tcPr>
          <w:p>
            <w:pPr>
              <w:spacing w:after="0"/>
              <w:rPr>
                <w:sz w:val="1"/>
                <w:szCs w:val="1"/>
                <w:color w:val="auto"/>
              </w:rPr>
            </w:pPr>
          </w:p>
        </w:tc>
      </w:tr>
      <w:tr>
        <w:trPr>
          <w:trHeight w:val="162"/>
        </w:trPr>
        <w:tc>
          <w:tcPr>
            <w:tcW w:w="5900" w:type="dxa"/>
            <w:vAlign w:val="bottom"/>
          </w:tcPr>
          <w:p>
            <w:pPr>
              <w:ind w:left="220"/>
              <w:spacing w:after="0" w:line="162" w:lineRule="exact"/>
              <w:rPr>
                <w:sz w:val="20"/>
                <w:szCs w:val="20"/>
                <w:color w:val="auto"/>
              </w:rPr>
            </w:pPr>
            <w:r>
              <w:rPr>
                <w:rFonts w:ascii="Arial" w:cs="Arial" w:eastAsia="Arial" w:hAnsi="Arial"/>
                <w:sz w:val="15"/>
                <w:szCs w:val="15"/>
                <w:color w:val="auto"/>
              </w:rPr>
              <w:t>Proceeds from sales and maturities of available-for-sale securities</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73,044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246,243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410,593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Capitalized internal-use software costs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(15,638)</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(20,142)</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(25,715)</w:t>
            </w:r>
          </w:p>
        </w:tc>
        <w:tc>
          <w:tcPr>
            <w:tcW w:w="0" w:type="dxa"/>
            <w:vAlign w:val="bottom"/>
          </w:tcPr>
          <w:p>
            <w:pPr>
              <w:spacing w:after="0"/>
              <w:rPr>
                <w:sz w:val="1"/>
                <w:szCs w:val="1"/>
                <w:color w:val="auto"/>
              </w:rPr>
            </w:pPr>
          </w:p>
        </w:tc>
      </w:tr>
      <w:tr>
        <w:trPr>
          <w:trHeight w:val="162"/>
        </w:trPr>
        <w:tc>
          <w:tcPr>
            <w:tcW w:w="5900" w:type="dxa"/>
            <w:vAlign w:val="bottom"/>
          </w:tcPr>
          <w:p>
            <w:pPr>
              <w:ind w:left="220"/>
              <w:spacing w:after="0" w:line="162" w:lineRule="exact"/>
              <w:rPr>
                <w:sz w:val="20"/>
                <w:szCs w:val="20"/>
                <w:color w:val="auto"/>
              </w:rPr>
            </w:pPr>
            <w:r>
              <w:rPr>
                <w:rFonts w:ascii="Arial" w:cs="Arial" w:eastAsia="Arial" w:hAnsi="Arial"/>
                <w:sz w:val="15"/>
                <w:szCs w:val="15"/>
                <w:color w:val="auto"/>
              </w:rPr>
              <w:t>Purchases of property and equipment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(21,676)</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(11,280)</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(16,578)</w:t>
            </w: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Lease allowances used for tenant improvements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(11,754)</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(7,480)</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900" w:type="dxa"/>
            <w:vAlign w:val="bottom"/>
          </w:tcPr>
          <w:p>
            <w:pPr>
              <w:ind w:left="220"/>
              <w:spacing w:after="0" w:line="162" w:lineRule="exact"/>
              <w:rPr>
                <w:sz w:val="20"/>
                <w:szCs w:val="20"/>
                <w:color w:val="auto"/>
              </w:rPr>
            </w:pPr>
            <w:r>
              <w:rPr>
                <w:rFonts w:ascii="Arial" w:cs="Arial" w:eastAsia="Arial" w:hAnsi="Arial"/>
                <w:sz w:val="15"/>
                <w:szCs w:val="15"/>
                <w:color w:val="auto"/>
              </w:rPr>
              <w:t>Acquisition of business, net of cash acquired</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(6,658)</w:t>
            </w:r>
          </w:p>
        </w:tc>
        <w:tc>
          <w:tcPr>
            <w:tcW w:w="160" w:type="dxa"/>
            <w:vAlign w:val="bottom"/>
          </w:tcPr>
          <w:p>
            <w:pPr>
              <w:spacing w:after="0"/>
              <w:rPr>
                <w:sz w:val="14"/>
                <w:szCs w:val="14"/>
                <w:color w:val="auto"/>
              </w:rPr>
            </w:pPr>
          </w:p>
        </w:tc>
        <w:tc>
          <w:tcPr>
            <w:tcW w:w="9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(16,714)</w:t>
            </w:r>
          </w:p>
        </w:tc>
        <w:tc>
          <w:tcPr>
            <w:tcW w:w="0" w:type="dxa"/>
            <w:vAlign w:val="bottom"/>
          </w:tcPr>
          <w:p>
            <w:pPr>
              <w:spacing w:after="0"/>
              <w:rPr>
                <w:sz w:val="1"/>
                <w:szCs w:val="1"/>
                <w:color w:val="auto"/>
              </w:rPr>
            </w:pPr>
          </w:p>
        </w:tc>
      </w:tr>
      <w:tr>
        <w:trPr>
          <w:trHeight w:val="155"/>
        </w:trPr>
        <w:tc>
          <w:tcPr>
            <w:tcW w:w="5900" w:type="dxa"/>
            <w:vAlign w:val="bottom"/>
            <w:tcBorders>
              <w:top w:val="single" w:sz="8" w:color="CCEEFF"/>
            </w:tcBorders>
            <w:shd w:val="clear" w:color="auto" w:fill="CCEEFF"/>
          </w:tcPr>
          <w:p>
            <w:pPr>
              <w:ind w:left="660"/>
              <w:spacing w:after="0" w:line="156" w:lineRule="exact"/>
              <w:rPr>
                <w:sz w:val="20"/>
                <w:szCs w:val="20"/>
                <w:color w:val="auto"/>
              </w:rPr>
            </w:pPr>
            <w:r>
              <w:rPr>
                <w:rFonts w:ascii="Arial" w:cs="Arial" w:eastAsia="Arial" w:hAnsi="Arial"/>
                <w:sz w:val="15"/>
                <w:szCs w:val="15"/>
                <w:color w:val="auto"/>
              </w:rPr>
              <w:t>Net cash used in investing activities</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(179,279)</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(43,344)</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(48,757)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0"/>
              <w:spacing w:after="0" w:line="162" w:lineRule="exact"/>
              <w:rPr>
                <w:sz w:val="20"/>
                <w:szCs w:val="20"/>
                <w:color w:val="auto"/>
              </w:rPr>
            </w:pPr>
            <w:r>
              <w:rPr>
                <w:rFonts w:ascii="Arial" w:cs="Arial" w:eastAsia="Arial" w:hAnsi="Arial"/>
                <w:sz w:val="15"/>
                <w:szCs w:val="15"/>
                <w:color w:val="auto"/>
              </w:rPr>
              <w:t>Cash flows from financing activities: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Net change in client fund obligations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281,467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168,855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(67,165)</w:t>
            </w:r>
          </w:p>
        </w:tc>
        <w:tc>
          <w:tcPr>
            <w:tcW w:w="0" w:type="dxa"/>
            <w:vAlign w:val="bottom"/>
          </w:tcPr>
          <w:p>
            <w:pPr>
              <w:spacing w:after="0"/>
              <w:rPr>
                <w:sz w:val="1"/>
                <w:szCs w:val="1"/>
                <w:color w:val="auto"/>
              </w:rPr>
            </w:pPr>
          </w:p>
        </w:tc>
      </w:tr>
      <w:tr>
        <w:trPr>
          <w:trHeight w:val="162"/>
        </w:trPr>
        <w:tc>
          <w:tcPr>
            <w:tcW w:w="5900" w:type="dxa"/>
            <w:vAlign w:val="bottom"/>
          </w:tcPr>
          <w:p>
            <w:pPr>
              <w:ind w:left="220"/>
              <w:spacing w:after="0" w:line="162" w:lineRule="exact"/>
              <w:rPr>
                <w:sz w:val="20"/>
                <w:szCs w:val="20"/>
                <w:color w:val="auto"/>
              </w:rPr>
            </w:pPr>
            <w:r>
              <w:rPr>
                <w:rFonts w:ascii="Arial" w:cs="Arial" w:eastAsia="Arial" w:hAnsi="Arial"/>
                <w:sz w:val="15"/>
                <w:szCs w:val="15"/>
                <w:color w:val="auto"/>
              </w:rPr>
              <w:t>Borrowings under credit facility</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Payment of contingent consideration</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(1,000)</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900" w:type="dxa"/>
            <w:vAlign w:val="bottom"/>
          </w:tcPr>
          <w:p>
            <w:pPr>
              <w:ind w:left="220"/>
              <w:spacing w:after="0" w:line="162" w:lineRule="exact"/>
              <w:rPr>
                <w:sz w:val="20"/>
                <w:szCs w:val="20"/>
                <w:color w:val="auto"/>
              </w:rPr>
            </w:pPr>
            <w:r>
              <w:rPr>
                <w:rFonts w:ascii="Arial" w:cs="Arial" w:eastAsia="Arial" w:hAnsi="Arial"/>
                <w:sz w:val="15"/>
                <w:szCs w:val="15"/>
                <w:color w:val="auto"/>
              </w:rPr>
              <w:t>Repurchases of common shares</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(34,991)</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Proceeds from exercise of stock options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900" w:type="dxa"/>
            <w:vAlign w:val="bottom"/>
          </w:tcPr>
          <w:p>
            <w:pPr>
              <w:ind w:left="220"/>
              <w:spacing w:after="0" w:line="162" w:lineRule="exact"/>
              <w:rPr>
                <w:sz w:val="20"/>
                <w:szCs w:val="20"/>
                <w:color w:val="auto"/>
              </w:rPr>
            </w:pPr>
            <w:r>
              <w:rPr>
                <w:rFonts w:ascii="Arial" w:cs="Arial" w:eastAsia="Arial" w:hAnsi="Arial"/>
                <w:sz w:val="15"/>
                <w:szCs w:val="15"/>
                <w:color w:val="auto"/>
              </w:rPr>
              <w:t>Proceeds from employee stock purchase plan</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4,304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5,982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8,901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Taxes paid related to net share settlement of equity awards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(10,554)</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(24,207)</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(38,943)</w:t>
            </w:r>
          </w:p>
        </w:tc>
        <w:tc>
          <w:tcPr>
            <w:tcW w:w="0" w:type="dxa"/>
            <w:vAlign w:val="bottom"/>
          </w:tcPr>
          <w:p>
            <w:pPr>
              <w:spacing w:after="0"/>
              <w:rPr>
                <w:sz w:val="1"/>
                <w:szCs w:val="1"/>
                <w:color w:val="auto"/>
              </w:rPr>
            </w:pPr>
          </w:p>
        </w:tc>
      </w:tr>
      <w:tr>
        <w:trPr>
          <w:trHeight w:val="162"/>
        </w:trPr>
        <w:tc>
          <w:tcPr>
            <w:tcW w:w="5900" w:type="dxa"/>
            <w:vAlign w:val="bottom"/>
          </w:tcPr>
          <w:p>
            <w:pPr>
              <w:ind w:left="220"/>
              <w:spacing w:after="0" w:line="162" w:lineRule="exact"/>
              <w:rPr>
                <w:sz w:val="20"/>
                <w:szCs w:val="20"/>
                <w:color w:val="auto"/>
              </w:rPr>
            </w:pPr>
            <w:r>
              <w:rPr>
                <w:rFonts w:ascii="Arial" w:cs="Arial" w:eastAsia="Arial" w:hAnsi="Arial"/>
                <w:sz w:val="15"/>
                <w:szCs w:val="15"/>
                <w:color w:val="auto"/>
              </w:rPr>
              <w:t>Payment of debt issuance costs</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156"/>
        </w:trPr>
        <w:tc>
          <w:tcPr>
            <w:tcW w:w="5900" w:type="dxa"/>
            <w:vAlign w:val="bottom"/>
            <w:tcBorders>
              <w:top w:val="single" w:sz="8" w:color="CCEEFF"/>
            </w:tcBorders>
            <w:shd w:val="clear" w:color="auto" w:fill="CCEEFF"/>
          </w:tcPr>
          <w:p>
            <w:pPr>
              <w:ind w:left="660"/>
              <w:spacing w:after="0" w:line="156" w:lineRule="exact"/>
              <w:rPr>
                <w:sz w:val="20"/>
                <w:szCs w:val="20"/>
                <w:color w:val="auto"/>
              </w:rPr>
            </w:pPr>
            <w:r>
              <w:rPr>
                <w:rFonts w:ascii="Arial" w:cs="Arial" w:eastAsia="Arial" w:hAnsi="Arial"/>
                <w:sz w:val="15"/>
                <w:szCs w:val="15"/>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275,217</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114,724</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2,092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00" w:type="dxa"/>
            <w:vAlign w:val="bottom"/>
          </w:tcPr>
          <w:p>
            <w:pPr>
              <w:ind w:left="20"/>
              <w:spacing w:after="0" w:line="156" w:lineRule="exact"/>
              <w:rPr>
                <w:sz w:val="20"/>
                <w:szCs w:val="20"/>
                <w:color w:val="auto"/>
              </w:rPr>
            </w:pPr>
            <w:r>
              <w:rPr>
                <w:rFonts w:ascii="Arial" w:cs="Arial" w:eastAsia="Arial" w:hAnsi="Arial"/>
                <w:sz w:val="15"/>
                <w:szCs w:val="15"/>
                <w:color w:val="auto"/>
                <w:w w:val="97"/>
              </w:rPr>
              <w:t>Net change in cash, cash equivalents and funds held for clients' cash and cash equivalents</w:t>
            </w:r>
          </w:p>
        </w:tc>
        <w:tc>
          <w:tcPr>
            <w:tcW w:w="12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5"/>
                <w:szCs w:val="15"/>
                <w:color w:val="auto"/>
              </w:rPr>
              <w:t>193,804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rPr>
              <w:t>186,412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rPr>
              <w:t>65,990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6"/>
              </w:rPr>
              <w:t>Cash, cash equivalents and funds held for clients' cash and cash equivalents—beginning of</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w:t>
            </w: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1,045,927</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1,239,731</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1,426,143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00" w:type="dxa"/>
            <w:vAlign w:val="bottom"/>
            <w:tcBorders>
              <w:bottom w:val="single" w:sz="8" w:color="CCEEFF"/>
            </w:tcBorders>
          </w:tcPr>
          <w:p>
            <w:pPr>
              <w:ind w:left="20"/>
              <w:spacing w:after="0" w:line="156" w:lineRule="exact"/>
              <w:rPr>
                <w:sz w:val="20"/>
                <w:szCs w:val="20"/>
                <w:color w:val="auto"/>
              </w:rPr>
            </w:pPr>
            <w:r>
              <w:rPr>
                <w:rFonts w:ascii="Arial" w:cs="Arial" w:eastAsia="Arial" w:hAnsi="Arial"/>
                <w:sz w:val="15"/>
                <w:szCs w:val="15"/>
                <w:color w:val="auto"/>
                <w:w w:val="97"/>
              </w:rPr>
              <w:t>Cash, cash equivalents and funds held for clients' cash and cash equivalents—end of year</w:t>
            </w: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1,239,731</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8"/>
              </w:rPr>
              <w:t>1,426,143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8"/>
              </w:rPr>
              <w:t>1,492,133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90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Supplemental Disclosure of Non-Cash Investing and Financing Activities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900" w:type="dxa"/>
            <w:vAlign w:val="bottom"/>
          </w:tcPr>
          <w:p>
            <w:pPr>
              <w:ind w:left="220"/>
              <w:spacing w:after="0" w:line="162" w:lineRule="exact"/>
              <w:rPr>
                <w:sz w:val="20"/>
                <w:szCs w:val="20"/>
                <w:color w:val="auto"/>
              </w:rPr>
            </w:pPr>
            <w:r>
              <w:rPr>
                <w:rFonts w:ascii="Arial" w:cs="Arial" w:eastAsia="Arial" w:hAnsi="Arial"/>
                <w:sz w:val="15"/>
                <w:szCs w:val="15"/>
                <w:color w:val="auto"/>
              </w:rPr>
              <w:t>Build-out allowances received from landlords</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1,956</w:t>
            </w:r>
          </w:p>
        </w:tc>
        <w:tc>
          <w:tcPr>
            <w:tcW w:w="180" w:type="dxa"/>
            <w:vAlign w:val="bottom"/>
          </w:tcPr>
          <w:p>
            <w:pPr>
              <w:spacing w:after="0"/>
              <w:rPr>
                <w:sz w:val="17"/>
                <w:szCs w:val="17"/>
                <w:color w:val="auto"/>
              </w:rPr>
            </w:pP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1,264</w:t>
            </w:r>
          </w:p>
        </w:tc>
        <w:tc>
          <w:tcPr>
            <w:tcW w:w="180" w:type="dxa"/>
            <w:vAlign w:val="bottom"/>
          </w:tcPr>
          <w:p>
            <w:pPr>
              <w:spacing w:after="0"/>
              <w:rPr>
                <w:sz w:val="17"/>
                <w:szCs w:val="17"/>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3"/>
        </w:trPr>
        <w:tc>
          <w:tcPr>
            <w:tcW w:w="5900" w:type="dxa"/>
            <w:vAlign w:val="bottom"/>
            <w:tcBorders>
              <w:top w:val="single" w:sz="8" w:color="CCEEFF"/>
              <w:bottom w:val="single" w:sz="8" w:color="CCEEFF"/>
            </w:tcBorders>
            <w:shd w:val="clear" w:color="auto" w:fill="CCEEFF"/>
          </w:tcPr>
          <w:p>
            <w:pPr>
              <w:ind w:left="220"/>
              <w:spacing w:after="0" w:line="143" w:lineRule="exact"/>
              <w:rPr>
                <w:sz w:val="20"/>
                <w:szCs w:val="20"/>
                <w:color w:val="auto"/>
              </w:rPr>
            </w:pPr>
            <w:r>
              <w:rPr>
                <w:rFonts w:ascii="Arial" w:cs="Arial" w:eastAsia="Arial" w:hAnsi="Arial"/>
                <w:sz w:val="15"/>
                <w:szCs w:val="15"/>
                <w:color w:val="auto"/>
              </w:rPr>
              <w:t>Purchase of property and equipment and internal-use software, accrued but not paid</w:t>
            </w:r>
          </w:p>
        </w:tc>
        <w:tc>
          <w:tcPr>
            <w:tcW w:w="1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659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
              <w:spacing w:after="0" w:line="143"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4,260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164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220"/>
              <w:spacing w:after="0"/>
              <w:rPr>
                <w:sz w:val="20"/>
                <w:szCs w:val="20"/>
                <w:color w:val="auto"/>
              </w:rPr>
            </w:pPr>
            <w:r>
              <w:rPr>
                <w:rFonts w:ascii="Arial" w:cs="Arial" w:eastAsia="Arial" w:hAnsi="Arial"/>
                <w:sz w:val="15"/>
                <w:szCs w:val="15"/>
                <w:color w:val="auto"/>
              </w:rPr>
              <w:t>Liabilities assumed for acquisition</w:t>
            </w: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tcBorders>
              <w:bottom w:val="single" w:sz="8" w:color="CCEEFF"/>
            </w:tcBorders>
            <w:vMerge w:val="continue"/>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line="143"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674</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0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900" w:type="dxa"/>
            <w:vAlign w:val="bottom"/>
            <w:tcBorders>
              <w:bottom w:val="single" w:sz="8" w:color="CCEEFF"/>
            </w:tcBorders>
          </w:tcPr>
          <w:p>
            <w:pPr>
              <w:ind w:left="220"/>
              <w:spacing w:after="0" w:line="162" w:lineRule="exact"/>
              <w:rPr>
                <w:sz w:val="20"/>
                <w:szCs w:val="20"/>
                <w:color w:val="auto"/>
              </w:rPr>
            </w:pPr>
            <w:r>
              <w:rPr>
                <w:rFonts w:ascii="Arial" w:cs="Arial" w:eastAsia="Arial" w:hAnsi="Arial"/>
                <w:sz w:val="15"/>
                <w:szCs w:val="15"/>
                <w:color w:val="auto"/>
              </w:rPr>
              <w:t>Cash paid for interest</w:t>
            </w:r>
          </w:p>
        </w:tc>
        <w:tc>
          <w:tcPr>
            <w:tcW w:w="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438</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900" w:type="dxa"/>
            <w:vAlign w:val="bottom"/>
            <w:tcBorders>
              <w:bottom w:val="single" w:sz="8" w:color="CCEEFF"/>
            </w:tcBorders>
            <w:shd w:val="clear" w:color="auto" w:fill="CCEEFF"/>
          </w:tcPr>
          <w:p>
            <w:pPr>
              <w:ind w:left="220"/>
              <w:spacing w:after="0" w:line="143" w:lineRule="exact"/>
              <w:rPr>
                <w:sz w:val="20"/>
                <w:szCs w:val="20"/>
                <w:color w:val="auto"/>
              </w:rPr>
            </w:pPr>
            <w:r>
              <w:rPr>
                <w:rFonts w:ascii="Arial" w:cs="Arial" w:eastAsia="Arial" w:hAnsi="Arial"/>
                <w:sz w:val="15"/>
                <w:szCs w:val="15"/>
                <w:color w:val="auto"/>
              </w:rPr>
              <w:t>Cash paid (refunds received) for income taxes</w:t>
            </w: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(53)</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
              <w:spacing w:after="0" w:line="143"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412</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84</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line="142" w:lineRule="exact"/>
              <w:rPr>
                <w:sz w:val="20"/>
                <w:szCs w:val="20"/>
                <w:color w:val="auto"/>
              </w:rPr>
            </w:pPr>
            <w:r>
              <w:rPr>
                <w:rFonts w:ascii="Arial" w:cs="Arial" w:eastAsia="Arial" w:hAnsi="Arial"/>
                <w:sz w:val="15"/>
                <w:szCs w:val="15"/>
                <w:color w:val="auto"/>
                <w:w w:val="94"/>
              </w:rPr>
              <w:t>Reconciliation of cash, cash equivalents and funds held for clients' cash and cash equivalents</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20"/>
              <w:spacing w:after="0"/>
              <w:rPr>
                <w:sz w:val="20"/>
                <w:szCs w:val="20"/>
                <w:color w:val="auto"/>
              </w:rPr>
            </w:pPr>
            <w:r>
              <w:rPr>
                <w:rFonts w:ascii="Arial" w:cs="Arial" w:eastAsia="Arial" w:hAnsi="Arial"/>
                <w:sz w:val="15"/>
                <w:szCs w:val="15"/>
                <w:color w:val="auto"/>
              </w:rPr>
              <w:t>to the Consolidated Balance Sheets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137,193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132,476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250,851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Borders>
              <w:bottom w:val="single" w:sz="8" w:color="CCEEFF"/>
            </w:tcBorders>
          </w:tcPr>
          <w:p>
            <w:pPr>
              <w:ind w:left="20"/>
              <w:spacing w:after="0" w:line="162" w:lineRule="exact"/>
              <w:rPr>
                <w:sz w:val="20"/>
                <w:szCs w:val="20"/>
                <w:color w:val="auto"/>
              </w:rPr>
            </w:pPr>
            <w:r>
              <w:rPr>
                <w:rFonts w:ascii="Arial" w:cs="Arial" w:eastAsia="Arial" w:hAnsi="Arial"/>
                <w:sz w:val="15"/>
                <w:szCs w:val="15"/>
                <w:color w:val="auto"/>
              </w:rPr>
              <w:t>Funds held for clients' cash and cash equivalents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5"/>
              </w:rPr>
              <w:t>1,102,538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8"/>
              </w:rPr>
              <w:t>1,293,667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8"/>
              </w:rPr>
              <w:t>1,241,282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0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cash, cash equivalents and funds held for clients' cash and cash equivalents</w:t>
            </w: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1,239,731</w:t>
            </w: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8"/>
              </w:rPr>
              <w:t>1,426,143</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8"/>
              </w:rPr>
              <w:t>1,492,133</w:t>
            </w: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The Company’s comprehensive product suite delivers a unified platform that allows clients to make strategic decisions in the areas of payroll, core HR, workforce management, talent and benefits.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940" w:hanging="242"/>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accompanying consolidated financial statements of the Company have been prepared pursuant to the rules and regulations of the United States Securities and Exchange Commission (the “SEC”).</w:t>
      </w:r>
    </w:p>
    <w:p>
      <w:pPr>
        <w:spacing w:after="0" w:line="146"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including the impact from the outbreak of the novel coronavirus disease (“COVID-19”),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6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Beginning in fiscal 2020, the Company simplified the presentation of revenue and cost of revenues on its Consolidated Statements of Operations and Comprehensive Income. The line items “Recurring fees” and “Implementation services and other” have been combined into one revenue line: “Recurring and other revenue”. Likewise, the line items “Cost of revenues - recurring revenues” and “Cost of revenues - implementation services and other” have been combined into one line: “Cost of revenues”. The Company changed the presentation of revenue and cost of revenues as Implementation services and other has become a smaller component of its overall revenue mix due to the human capital management (“HCM”) suite becoming a larger part of the portfolio. Previously reported results for the years ended June 30, 2018 and 2019 have been reclassified to conform to the current presentation.</w:t>
      </w:r>
    </w:p>
    <w:p>
      <w:pPr>
        <w:spacing w:after="0" w:line="178" w:lineRule="exact"/>
        <w:rPr>
          <w:sz w:val="20"/>
          <w:szCs w:val="20"/>
          <w:color w:val="auto"/>
        </w:rPr>
      </w:pPr>
    </w:p>
    <w:p>
      <w:pPr>
        <w:ind w:left="960" w:hanging="26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 regularly maintains cash balances that exceed Federal Depository Insurance Corporation limits. No individual client represents 10% or more of total revenues. For all periods presented, 100% of total revenues were generated by clients in the United States.</w:t>
      </w:r>
    </w:p>
    <w:p>
      <w:pPr>
        <w:spacing w:after="0" w:line="184" w:lineRule="exact"/>
        <w:rPr>
          <w:sz w:val="20"/>
          <w:szCs w:val="20"/>
          <w:color w:val="auto"/>
        </w:rPr>
      </w:pPr>
    </w:p>
    <w:p>
      <w:pPr>
        <w:ind w:left="940" w:hanging="242"/>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w:t>
      </w:r>
    </w:p>
    <w:p>
      <w:pPr>
        <w:spacing w:after="0" w:line="170" w:lineRule="exact"/>
        <w:rPr>
          <w:sz w:val="20"/>
          <w:szCs w:val="20"/>
          <w:color w:val="auto"/>
        </w:rPr>
      </w:pPr>
    </w:p>
    <w:p>
      <w:pPr>
        <w:ind w:left="960" w:hanging="26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Funds Held For Clients, Corporate Investments and Client Fund Obligations</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filing services. The Company has classified Funds held for clients as a current asset since these funds are held solely for the purposes of satisfying the client fund obligations. Funds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308" w:lineRule="auto"/>
        <w:rPr>
          <w:sz w:val="20"/>
          <w:szCs w:val="20"/>
          <w:color w:val="auto"/>
        </w:rPr>
      </w:pPr>
      <w:r>
        <w:rPr>
          <w:rFonts w:ascii="Arial" w:cs="Arial" w:eastAsia="Arial" w:hAnsi="Arial"/>
          <w:sz w:val="17"/>
          <w:szCs w:val="17"/>
          <w:color w:val="auto"/>
        </w:rPr>
        <w:t>held for clients is primarily comprised of cash and cash equivalents invested in demand deposit accounts. The Company also invests a portion of its funds held for clients and corporate funds in marketable securities.</w:t>
      </w:r>
    </w:p>
    <w:p>
      <w:pPr>
        <w:spacing w:after="0" w:line="146"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 held for clients is reported as Interest income on funds held for clients and interest on Corporate investments is reported as Other income on the Consolidated Statements of Operations and Comprehensive income, respectively.</w:t>
      </w:r>
    </w:p>
    <w:p>
      <w:pPr>
        <w:spacing w:after="0" w:line="161"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The Company reviews the composition of its portfolio for any available-for-sale security that has a fair value that falls below its amortized cost. If any security fits this criterion, the Company further evaluates whether other-than-temporary impairment exists by considering whether the Company has the intent and ability to retain the security for a period of time sufficient enough to allow for anticipated fair value recovery. The Company did not record any other-than-temporary impairment charges during the years ended June 30, 2018, 2019 or 2020.</w:t>
      </w:r>
    </w:p>
    <w:p>
      <w:pPr>
        <w:spacing w:after="0" w:line="176"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Client fund obligations represent the Company’s contractual obligations to remit funds to satisfy clients’ payroll and tax payment obligations and are recorded in the accompanying balance sheets at the time that the Company obtains funds from clients. The client fund obligations represent liabilities that will be repaid within one year of the balance sheet date.</w:t>
      </w:r>
    </w:p>
    <w:p>
      <w:pPr>
        <w:spacing w:after="0" w:line="187" w:lineRule="exact"/>
        <w:rPr>
          <w:sz w:val="20"/>
          <w:szCs w:val="20"/>
          <w:color w:val="auto"/>
        </w:rPr>
      </w:pPr>
    </w:p>
    <w:p>
      <w:pPr>
        <w:ind w:left="940" w:hanging="242"/>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Accounts receivable are recorded at the invoiced amount and do not bear interest. Amounts collected on trade accounts receivable are included in Net cash provided by operating activities in the statements of cash flows. The Company maintains an allowance for doubtful accounts reflecting estimated potential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doubtful accounts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169"/>
              <w:spacing w:after="0"/>
              <w:rPr>
                <w:sz w:val="20"/>
                <w:szCs w:val="20"/>
                <w:color w:val="auto"/>
              </w:rPr>
            </w:pPr>
            <w:r>
              <w:rPr>
                <w:rFonts w:ascii="Arial" w:cs="Arial" w:eastAsia="Arial" w:hAnsi="Arial"/>
                <w:sz w:val="14"/>
                <w:szCs w:val="14"/>
                <w:b w:val="1"/>
                <w:bCs w:val="1"/>
                <w:color w:val="auto"/>
              </w:rPr>
              <w:t>For the Years Ended 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Charged to expense</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(187)</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r>
      <w:tr>
        <w:trPr>
          <w:trHeight w:val="209"/>
        </w:trPr>
        <w:tc>
          <w:tcPr>
            <w:tcW w:w="38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200" w:type="dxa"/>
            <w:vAlign w:val="bottom"/>
          </w:tcPr>
          <w:p>
            <w:pPr>
              <w:spacing w:after="0"/>
              <w:rPr>
                <w:sz w:val="18"/>
                <w:szCs w:val="18"/>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22"/>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Prepaid Expenses and Other Assets</w:t>
      </w:r>
    </w:p>
    <w:p>
      <w:pPr>
        <w:spacing w:after="0" w:line="225"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Prepaid expenses and other assets consist primarily of prepaid licensing fees, prepaid insurance premiums, deposits with vendors and time clocks available for sale or lease.</w:t>
      </w:r>
    </w:p>
    <w:p>
      <w:pPr>
        <w:spacing w:after="0" w:line="170" w:lineRule="exact"/>
        <w:rPr>
          <w:sz w:val="20"/>
          <w:szCs w:val="20"/>
          <w:color w:val="auto"/>
        </w:rPr>
      </w:pPr>
    </w:p>
    <w:p>
      <w:pPr>
        <w:ind w:left="960" w:hanging="26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Capitalized Internal-Use Software</w:t>
      </w:r>
    </w:p>
    <w:p>
      <w:pPr>
        <w:spacing w:after="0" w:line="225" w:lineRule="exact"/>
        <w:rPr>
          <w:sz w:val="20"/>
          <w:szCs w:val="20"/>
          <w:color w:val="auto"/>
        </w:rPr>
      </w:pPr>
    </w:p>
    <w:p>
      <w:pPr>
        <w:ind w:left="60" w:right="219" w:firstLine="648"/>
        <w:spacing w:after="0" w:line="290" w:lineRule="auto"/>
        <w:rPr>
          <w:sz w:val="20"/>
          <w:szCs w:val="20"/>
          <w:color w:val="auto"/>
        </w:rPr>
      </w:pPr>
      <w:r>
        <w:rPr>
          <w:rFonts w:ascii="Arial" w:cs="Arial" w:eastAsia="Arial" w:hAnsi="Arial"/>
          <w:sz w:val="16"/>
          <w:szCs w:val="16"/>
          <w:color w:val="auto"/>
        </w:rPr>
        <w:t>The Company applies Financial Accounting Standards Board (“FASB”) Accounting Standards Codification (“ASC”) Topic 350-40, Intangibles—Goodwill and Other—Internal-Use Software, to the accounting for costs of internal-use software. Internal-use software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external direct costs, such as consulting fees. Capitalized employee costs are limited to the time directly spent on such projects.</w:t>
      </w:r>
    </w:p>
    <w:p>
      <w:pPr>
        <w:spacing w:after="0" w:line="170" w:lineRule="exact"/>
        <w:rPr>
          <w:sz w:val="20"/>
          <w:szCs w:val="20"/>
          <w:color w:val="auto"/>
        </w:rPr>
      </w:pPr>
    </w:p>
    <w:p>
      <w:pPr>
        <w:ind w:left="60" w:right="159" w:firstLine="648"/>
        <w:spacing w:after="0" w:line="340" w:lineRule="auto"/>
        <w:rPr>
          <w:sz w:val="20"/>
          <w:szCs w:val="20"/>
          <w:color w:val="auto"/>
        </w:rPr>
      </w:pPr>
      <w:r>
        <w:rPr>
          <w:rFonts w:ascii="Arial" w:cs="Arial" w:eastAsia="Arial" w:hAnsi="Arial"/>
          <w:sz w:val="15"/>
          <w:szCs w:val="15"/>
          <w:color w:val="auto"/>
        </w:rPr>
        <w:t>Capitalized internal-use software costs are amortized on a straight-line basis over the estimated useful lives, generally over a 24 or 36-month period. Management evaluates the useful lives of these assets on an annual basis and tests for impairment whenever events or changes in circumstances occur that could impact the recoverability of these assets.</w:t>
      </w:r>
    </w:p>
    <w:p>
      <w:pPr>
        <w:spacing w:after="0" w:line="131" w:lineRule="exact"/>
        <w:rPr>
          <w:sz w:val="20"/>
          <w:szCs w:val="20"/>
          <w:color w:val="auto"/>
        </w:rPr>
      </w:pPr>
    </w:p>
    <w:p>
      <w:pPr>
        <w:ind w:left="960" w:hanging="26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225"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84"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66" w:lineRule="exact"/>
        <w:rPr>
          <w:sz w:val="20"/>
          <w:szCs w:val="20"/>
          <w:color w:val="auto"/>
        </w:rPr>
      </w:pPr>
    </w:p>
    <w:p>
      <w:pPr>
        <w:ind w:left="920" w:hanging="222"/>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 Net of Accumulated Amortization</w:t>
      </w:r>
    </w:p>
    <w:p>
      <w:pPr>
        <w:spacing w:after="0" w:line="158"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Intangible assets are comprised primarily of acquired client relationships, proprietary technology, trade name and non-solicitation agreements and are reported net of accumulated amortization on the Consolidated Balance Sheets. Client relationships use the straight-line method of amortization over a five to nine-year time frame from the date of acquisition, while proprietary technology and trade name use the straight-line method of amortization over a five-year period from the date of acquisition.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166" w:lineRule="exact"/>
        <w:rPr>
          <w:sz w:val="20"/>
          <w:szCs w:val="20"/>
          <w:color w:val="auto"/>
        </w:rPr>
      </w:pPr>
    </w:p>
    <w:p>
      <w:pPr>
        <w:ind w:left="920" w:hanging="222"/>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161"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The Company performs its annual impairment review of goodwill in its fiscal fourth quarter or when a triggering event occurs between annual impairment tests. No impairment was recorded in fiscal 2018, 2019 or 2020 as a result of the Company’s qualitative assessments over its single reporting segment.</w:t>
      </w:r>
    </w:p>
    <w:p>
      <w:pPr>
        <w:spacing w:after="0" w:line="184" w:lineRule="exact"/>
        <w:rPr>
          <w:sz w:val="20"/>
          <w:szCs w:val="20"/>
          <w:color w:val="auto"/>
        </w:rPr>
      </w:pPr>
    </w:p>
    <w:p>
      <w:pPr>
        <w:ind w:left="960" w:hanging="26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The Company adopted Accounting Standards Update (“ASU”) 2016-02, Leases (Topic 842) (“Topic 842”), effective July 1, 2019. The Company determines if an arrangement is a lease at inception. Operating leases are included in Operating lease right-of-use assets, Accrued expenses, and Long-term operating lease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extend or not terminate the lease when it is reasonably certain that it will exercise any such options. For the majority of its leases, the Company concluded that it is not reasonably certain that any renewal options would be exercised, and, therefore, the amounts are not recognized as part of Operating lease right-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of-use assets nor Operating lease liabilities. Leases with an initial term of 12 months or less are not recorded on the balance sheet. Lease expense is recognized on a straight-line basis over the expected lease term.</w:t>
      </w:r>
    </w:p>
    <w:p>
      <w:pPr>
        <w:spacing w:after="0" w:line="170"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finance leases.</w:t>
      </w:r>
    </w:p>
    <w:p>
      <w:pPr>
        <w:spacing w:after="0" w:line="188" w:lineRule="exact"/>
        <w:rPr>
          <w:sz w:val="20"/>
          <w:szCs w:val="20"/>
          <w:color w:val="auto"/>
        </w:rPr>
      </w:pPr>
    </w:p>
    <w:p>
      <w:pPr>
        <w:ind w:left="60" w:right="119" w:firstLine="648"/>
        <w:spacing w:after="0" w:line="316" w:lineRule="auto"/>
        <w:rPr>
          <w:sz w:val="20"/>
          <w:szCs w:val="20"/>
          <w:color w:val="auto"/>
        </w:rPr>
      </w:pPr>
      <w:r>
        <w:rPr>
          <w:rFonts w:ascii="Arial" w:cs="Arial" w:eastAsia="Arial" w:hAnsi="Arial"/>
          <w:sz w:val="15"/>
          <w:szCs w:val="15"/>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landlord, such as insurance, taxes, and common area maintenance, payments based on the usage of the asset, and rental payments adjusted periodically for inflation. Variable payments are expensed as incurred and included within variable rent expense.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lease agreements do not contain material residual value guarantees, restrictions, or covenants.</w:t>
      </w:r>
    </w:p>
    <w:p>
      <w:pPr>
        <w:spacing w:after="0" w:line="248" w:lineRule="exact"/>
        <w:rPr>
          <w:sz w:val="20"/>
          <w:szCs w:val="20"/>
          <w:color w:val="auto"/>
        </w:rPr>
      </w:pPr>
    </w:p>
    <w:p>
      <w:pPr>
        <w:ind w:left="920" w:hanging="222"/>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4"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Deferred tax assets may be reduced by a valuation allowance to the extent we determine it is more likely than not that some portion or all of the deferred tax assets will not be realized.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spacing w:after="0" w:line="16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 to Note 13 for additional information on income taxes.</w:t>
      </w:r>
    </w:p>
    <w:p>
      <w:pPr>
        <w:spacing w:after="0" w:line="225" w:lineRule="exact"/>
        <w:rPr>
          <w:sz w:val="20"/>
          <w:szCs w:val="20"/>
          <w:color w:val="auto"/>
        </w:rPr>
      </w:pPr>
    </w:p>
    <w:p>
      <w:pPr>
        <w:ind w:left="1000" w:hanging="302"/>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applies Accounting Standards Codification Topic 606, Revenue from Contracts with Customers (“Topic 606”), effective as of July 1, 2018. Topic 606 requires revenue to be recognized when an entity transfers control of goods or services to a customer in an amount that reflects the consideration to which a company also expects to be entitled to for those goods or services. To achieve this core principle, the Company recognizes revenue from contracts with customers based on the following five steps:</w:t>
      </w:r>
    </w:p>
    <w:p>
      <w:pPr>
        <w:spacing w:after="0" w:line="188" w:lineRule="exact"/>
        <w:rPr>
          <w:sz w:val="20"/>
          <w:szCs w:val="20"/>
          <w:color w:val="auto"/>
        </w:rPr>
      </w:pPr>
    </w:p>
    <w:p>
      <w:pPr>
        <w:ind w:left="1020" w:hanging="32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tabs>
          <w:tab w:leader="none" w:pos="10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Recognize revenue when or as the Company satisfies a performance obligation.</w:t>
      </w:r>
    </w:p>
    <w:p>
      <w:pPr>
        <w:spacing w:after="0" w:line="22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The Company derives its revenue from contracts predominantly from recurring and non-recurring service fees. While the majority of its agreements are generally cancellable by the client on 60 days’ notice or less, the Company began entering into term arrangements in fiscal 2018, which are generally two years in length. Recurring fees are derived from payroll, timekeeping, and HR-related cloud-based computing services as follows:</w:t>
      </w:r>
    </w:p>
    <w:p>
      <w:pPr>
        <w:spacing w:after="0" w:line="171" w:lineRule="exact"/>
        <w:rPr>
          <w:sz w:val="20"/>
          <w:szCs w:val="20"/>
          <w:color w:val="auto"/>
        </w:rPr>
      </w:pPr>
    </w:p>
    <w:p>
      <w:pPr>
        <w:ind w:left="1380" w:right="219" w:hanging="331"/>
        <w:spacing w:after="0" w:line="311" w:lineRule="auto"/>
        <w:tabs>
          <w:tab w:leader="none" w:pos="1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Payroll processing and related services, including payroll reporting and tax filing services are delivered on a weekly, biweekly, semi-monthly, or monthly basis depending upon the payroll frequency of the client and on an annual basis if a client selects W-2 preparation and processing services,</w:t>
      </w:r>
    </w:p>
    <w:p>
      <w:pPr>
        <w:spacing w:after="0" w:line="148" w:lineRule="exact"/>
        <w:rPr>
          <w:rFonts w:ascii="Arial" w:cs="Arial" w:eastAsia="Arial" w:hAnsi="Arial"/>
          <w:sz w:val="16"/>
          <w:szCs w:val="16"/>
          <w:color w:val="auto"/>
        </w:rPr>
      </w:pPr>
    </w:p>
    <w:p>
      <w:pPr>
        <w:ind w:left="1380" w:right="259" w:hanging="331"/>
        <w:spacing w:after="0" w:line="277" w:lineRule="auto"/>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Time and attendance reporting services, including time clock rentals, are delivered on a monthly basis, and</w:t>
      </w:r>
    </w:p>
    <w:p>
      <w:pPr>
        <w:spacing w:after="0" w:line="170" w:lineRule="exact"/>
        <w:rPr>
          <w:rFonts w:ascii="Arial" w:cs="Arial" w:eastAsia="Arial" w:hAnsi="Arial"/>
          <w:sz w:val="18"/>
          <w:szCs w:val="18"/>
          <w:color w:val="auto"/>
        </w:rPr>
      </w:pPr>
    </w:p>
    <w:p>
      <w:pPr>
        <w:ind w:left="1380" w:right="439" w:hanging="331"/>
        <w:spacing w:after="0" w:line="277" w:lineRule="auto"/>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Cloud-based HR software solutions, including employee administration and benefits enrollment and administration, are delivered on a monthly basis.</w:t>
      </w:r>
    </w:p>
    <w:p>
      <w:pPr>
        <w:spacing w:after="0" w:line="170" w:lineRule="exact"/>
        <w:rPr>
          <w:sz w:val="20"/>
          <w:szCs w:val="20"/>
          <w:color w:val="auto"/>
        </w:rPr>
      </w:pPr>
    </w:p>
    <w:p>
      <w:pPr>
        <w:ind w:left="60" w:right="259" w:firstLine="648"/>
        <w:spacing w:after="0" w:line="272" w:lineRule="auto"/>
        <w:rPr>
          <w:sz w:val="20"/>
          <w:szCs w:val="20"/>
          <w:color w:val="auto"/>
        </w:rPr>
      </w:pPr>
      <w:r>
        <w:rPr>
          <w:rFonts w:ascii="Arial" w:cs="Arial" w:eastAsia="Arial" w:hAnsi="Arial"/>
          <w:sz w:val="17"/>
          <w:szCs w:val="17"/>
          <w:color w:val="auto"/>
        </w:rPr>
        <w:t>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the Company recognizes the applicable recurring fees over time each month with the fee charged and collected based on a per employee per month fee.</w:t>
      </w:r>
    </w:p>
    <w:p>
      <w:pPr>
        <w:spacing w:after="0" w:line="177"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Company has certain optional performance obligations that are satisfied at a point in time including the sales of time clocks and W-2 services.</w:t>
      </w:r>
    </w:p>
    <w:p>
      <w:pPr>
        <w:spacing w:after="0" w:line="170"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57"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Sales taxes collected from clients and remitted to governmental authorities where applicable are accounted for on a net basis and therefore are excluded from revenues in the statements of operations and comprehensive income.</w:t>
      </w:r>
    </w:p>
    <w:p>
      <w:pPr>
        <w:spacing w:after="0" w:line="124" w:lineRule="exact"/>
        <w:rPr>
          <w:sz w:val="20"/>
          <w:szCs w:val="20"/>
          <w:color w:val="auto"/>
        </w:rPr>
      </w:pPr>
    </w:p>
    <w:p>
      <w:pPr>
        <w:ind w:left="60" w:right="719" w:firstLine="648"/>
        <w:spacing w:after="0" w:line="308" w:lineRule="auto"/>
        <w:rPr>
          <w:sz w:val="20"/>
          <w:szCs w:val="20"/>
          <w:color w:val="auto"/>
        </w:rPr>
      </w:pPr>
      <w:r>
        <w:rPr>
          <w:rFonts w:ascii="Arial" w:cs="Arial" w:eastAsia="Arial" w:hAnsi="Arial"/>
          <w:sz w:val="17"/>
          <w:szCs w:val="17"/>
          <w:color w:val="auto"/>
        </w:rPr>
        <w:t>Interest income collected on funds held for clients is recognized in recurring revenues when earned as the collection, holding and remittance of these funds are components of providing these services.</w:t>
      </w:r>
    </w:p>
    <w:p>
      <w:pPr>
        <w:spacing w:after="0" w:line="146" w:lineRule="exact"/>
        <w:rPr>
          <w:sz w:val="20"/>
          <w:szCs w:val="20"/>
          <w:color w:val="auto"/>
        </w:rPr>
      </w:pPr>
    </w:p>
    <w:p>
      <w:pPr>
        <w:ind w:left="960" w:hanging="26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Cost of revenues consists primarily of costs to provide payroll and HCM solutions relating to the provision of ongoing client support and implementation activities and also includes amortization of capitalized internal-use software. The Company generally expenses these costs when incurred except for costs related to the implementation of the Company’s proprietary products. These costs were previously expensed when incurred, but after the adoption of Topic 606 and ASC 340-40, such costs are capitalized and amortized over a period of 7 years.</w:t>
      </w:r>
    </w:p>
    <w:p>
      <w:pPr>
        <w:spacing w:after="0" w:line="176" w:lineRule="exact"/>
        <w:rPr>
          <w:sz w:val="20"/>
          <w:szCs w:val="20"/>
          <w:color w:val="auto"/>
        </w:rPr>
      </w:pPr>
    </w:p>
    <w:p>
      <w:pPr>
        <w:ind w:left="960" w:hanging="26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Advertising costs are expensed as incurred. Advertising costs amounted to $179, $283 and $1,023 for the years ended June 30, 2018, 2019 and 2020, respectively.</w:t>
      </w:r>
    </w:p>
    <w:p>
      <w:pPr>
        <w:spacing w:after="0" w:line="170" w:lineRule="exact"/>
        <w:rPr>
          <w:sz w:val="20"/>
          <w:szCs w:val="20"/>
          <w:color w:val="auto"/>
        </w:rPr>
      </w:pPr>
    </w:p>
    <w:p>
      <w:pPr>
        <w:ind w:left="960" w:hanging="26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requisite service period for each separately vesting portion of the award. For stock options and estimated shares purchasable under the ESPP, the Company estimates grant date fair value using the Black-Scholes option-pricing model and periodically updates the assumed forfeiture rates for actual experience over their vesting term or the term of the ESPP purchase period.</w:t>
      </w:r>
    </w:p>
    <w:p>
      <w:pPr>
        <w:spacing w:after="0" w:line="187" w:lineRule="exact"/>
        <w:rPr>
          <w:sz w:val="20"/>
          <w:szCs w:val="20"/>
          <w:color w:val="auto"/>
        </w:rPr>
      </w:pPr>
    </w:p>
    <w:p>
      <w:pPr>
        <w:ind w:left="960" w:hanging="26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439" w:firstLine="648"/>
        <w:spacing w:after="0" w:line="286"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65" w:lineRule="exact"/>
        <w:rPr>
          <w:sz w:val="20"/>
          <w:szCs w:val="20"/>
          <w:color w:val="auto"/>
        </w:rPr>
      </w:pPr>
    </w:p>
    <w:p>
      <w:pPr>
        <w:ind w:left="920" w:hanging="22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left="60" w:right="619" w:firstLine="648"/>
        <w:spacing w:after="0" w:line="263" w:lineRule="auto"/>
        <w:rPr>
          <w:sz w:val="20"/>
          <w:szCs w:val="20"/>
          <w:color w:val="auto"/>
        </w:rPr>
      </w:pPr>
      <w:r>
        <w:rPr>
          <w:rFonts w:ascii="Arial" w:cs="Arial" w:eastAsia="Arial" w:hAnsi="Arial"/>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cloud-based software solution reporting segment.</w:t>
      </w:r>
    </w:p>
    <w:p>
      <w:pPr>
        <w:spacing w:after="0" w:line="184" w:lineRule="exact"/>
        <w:rPr>
          <w:sz w:val="20"/>
          <w:szCs w:val="20"/>
          <w:color w:val="auto"/>
        </w:rPr>
      </w:pPr>
    </w:p>
    <w:p>
      <w:pPr>
        <w:ind w:left="940" w:hanging="242"/>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left="60" w:right="79" w:firstLine="648"/>
        <w:spacing w:after="0" w:line="296" w:lineRule="auto"/>
        <w:rPr>
          <w:sz w:val="20"/>
          <w:szCs w:val="20"/>
          <w:color w:val="auto"/>
        </w:rPr>
      </w:pPr>
      <w:r>
        <w:rPr>
          <w:rFonts w:ascii="Arial" w:cs="Arial" w:eastAsia="Arial" w:hAnsi="Arial"/>
          <w:sz w:val="16"/>
          <w:szCs w:val="16"/>
          <w:color w:val="auto"/>
        </w:rPr>
        <w:t>The Company adopted ASU 2014-09, Revenue from Contracts with Customers (Topic 606), including subsequent amendments and Subtopic 340-40, effective as of July 1, 2018 using the modified retrospective method of transition, which limited the application of the new standard only to contracts that were not completed as of the effective date. The adoption of Topic 606 did not have a material impact in the timing or amount of revenue recognized. However, it did have a material impact on its consolidated balance sheet due to the deferral of costs of obtaining and fulfilling a contract as detailed below.</w:t>
      </w:r>
    </w:p>
    <w:p>
      <w:pPr>
        <w:spacing w:after="0" w:line="161"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Under the legacy revenue standard through fiscal 2018, the Company accounted for implementation and recurring services each as a separate unit of account. The Company was able to establish standalone value for implementation services as supported by the activity of third-party resellers and other vendors that performed certain implementation services. The Company observed that third party implementation activity had continued to decrease over time and at the same time, the Company had invested in proprietary modules and processes that impact implementation activities. The Company determined that from July 1, 2018 forward it no longer had a sufficient basis to establish standalone value of implementations for its proprietary products due to the culmination of the changes to the Company’s modules and processes that eliminated the ability of third parties to perform implementation services. Similarly, the Company determined that these implementation services are not a separate performance obligation under Topic 606 for contracts entered into after July 1, 2018 and the associated implementation fees are treated as nonrefundable upfront fees which are deferred and amortized over a period of time instead of recognized upon completion. The Company recognized $2,191, net of deferred taxes, of contract assets for implementation fees related to open contracts as of July 1, 2018, which began when the Company was still able to establish standalone value for implementation activities. This adjustment was recorded through retained earnings (accumulated deficit) in the statement of changes in stockholder’s equity upon adoption on July 1, 2018.</w:t>
      </w:r>
    </w:p>
    <w:p>
      <w:pPr>
        <w:spacing w:after="0" w:line="182"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In addition, the Company is required to defer costs of obtaining and fulfilling a new contract and amortize them over the expected period of benefit, which it has determined to be 7 years. The Company recognized the cumulative effect related to the deferral of the costs of obtaining new contracts of $50,481, net of deferred taxes, which was recorded through retained earnings (accumulated deficit) in the statement of changes in stockholder’s equity upon adoption on July 1, 2018.</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The cumulative effect of the changes made to the July 1, 2018 balance sheet due to the adoption of Topic 606 were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Adjustments</w:t>
            </w:r>
          </w:p>
        </w:tc>
        <w:tc>
          <w:tcPr>
            <w:tcW w:w="860" w:type="dxa"/>
            <w:vAlign w:val="bottom"/>
          </w:tcPr>
          <w:p>
            <w:pPr>
              <w:jc w:val="right"/>
              <w:ind w:right="15"/>
              <w:spacing w:after="0"/>
              <w:rPr>
                <w:sz w:val="20"/>
                <w:szCs w:val="20"/>
                <w:color w:val="auto"/>
              </w:rPr>
            </w:pPr>
            <w:r>
              <w:rPr>
                <w:rFonts w:ascii="Arial" w:cs="Arial" w:eastAsia="Arial" w:hAnsi="Arial"/>
                <w:sz w:val="14"/>
                <w:szCs w:val="14"/>
                <w:color w:val="auto"/>
              </w:rPr>
              <w:t>Balances at</w:t>
            </w:r>
          </w:p>
        </w:tc>
      </w:tr>
      <w:tr>
        <w:trPr>
          <w:trHeight w:val="167"/>
        </w:trPr>
        <w:tc>
          <w:tcPr>
            <w:tcW w:w="60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June 30, 2018</w:t>
            </w:r>
          </w:p>
        </w:tc>
        <w:tc>
          <w:tcPr>
            <w:tcW w:w="1040" w:type="dxa"/>
            <w:vAlign w:val="bottom"/>
            <w:gridSpan w:val="3"/>
          </w:tcPr>
          <w:p>
            <w:pPr>
              <w:ind w:left="20"/>
              <w:spacing w:after="0"/>
              <w:rPr>
                <w:sz w:val="20"/>
                <w:szCs w:val="20"/>
                <w:color w:val="auto"/>
              </w:rPr>
            </w:pPr>
            <w:r>
              <w:rPr>
                <w:rFonts w:ascii="Arial" w:cs="Arial" w:eastAsia="Arial" w:hAnsi="Arial"/>
                <w:sz w:val="14"/>
                <w:szCs w:val="14"/>
                <w:color w:val="auto"/>
                <w:w w:val="95"/>
              </w:rPr>
              <w:t>due to Topic 606</w:t>
            </w:r>
          </w:p>
        </w:tc>
        <w:tc>
          <w:tcPr>
            <w:tcW w:w="860" w:type="dxa"/>
            <w:vAlign w:val="bottom"/>
          </w:tcPr>
          <w:p>
            <w:pPr>
              <w:jc w:val="right"/>
              <w:spacing w:after="0"/>
              <w:rPr>
                <w:sz w:val="20"/>
                <w:szCs w:val="20"/>
                <w:color w:val="auto"/>
              </w:rPr>
            </w:pPr>
            <w:r>
              <w:rPr>
                <w:rFonts w:ascii="Arial" w:cs="Arial" w:eastAsia="Arial" w:hAnsi="Arial"/>
                <w:sz w:val="14"/>
                <w:szCs w:val="14"/>
                <w:color w:val="auto"/>
              </w:rPr>
              <w:t>July 1, 2018</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14,783</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1,730</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12,978</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contract costs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Long-term prepaid expenses and 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(18,391)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52,672</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45,994</w:t>
            </w:r>
          </w:p>
        </w:tc>
      </w:tr>
    </w:tbl>
    <w:p>
      <w:pPr>
        <w:spacing w:after="0" w:line="202"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consolidated statements of operations and comprehensive income: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Year Ended June 30, 2019</w:t>
            </w:r>
          </w:p>
        </w:tc>
      </w:tr>
      <w:tr>
        <w:trPr>
          <w:trHeight w:val="123"/>
        </w:trPr>
        <w:tc>
          <w:tcPr>
            <w:tcW w:w="34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120"/>
              <w:spacing w:after="0" w:line="123" w:lineRule="exact"/>
              <w:rPr>
                <w:sz w:val="20"/>
                <w:szCs w:val="20"/>
                <w:color w:val="auto"/>
              </w:rPr>
            </w:pPr>
            <w:r>
              <w:rPr>
                <w:rFonts w:ascii="Arial" w:cs="Arial" w:eastAsia="Arial" w:hAnsi="Arial"/>
                <w:sz w:val="14"/>
                <w:szCs w:val="14"/>
                <w:color w:val="auto"/>
                <w:w w:val="95"/>
              </w:rPr>
              <w:t>As Reported</w:t>
            </w:r>
          </w:p>
        </w:tc>
        <w:tc>
          <w:tcPr>
            <w:tcW w:w="9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4"/>
              </w:rPr>
              <w:t>Balances under</w:t>
            </w: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Impact from</w:t>
            </w:r>
          </w:p>
        </w:tc>
        <w:tc>
          <w:tcPr>
            <w:tcW w:w="20" w:type="dxa"/>
            <w:vAlign w:val="bottom"/>
          </w:tcPr>
          <w:p>
            <w:pPr>
              <w:spacing w:after="0"/>
              <w:rPr>
                <w:sz w:val="10"/>
                <w:szCs w:val="10"/>
                <w:color w:val="auto"/>
              </w:rPr>
            </w:pPr>
          </w:p>
        </w:tc>
      </w:tr>
      <w:tr>
        <w:trPr>
          <w:trHeight w:val="167"/>
        </w:trPr>
        <w:tc>
          <w:tcPr>
            <w:tcW w:w="3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(Topic 606)</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ASC 605</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Adoption</w:t>
            </w:r>
          </w:p>
        </w:tc>
      </w:tr>
      <w:tr>
        <w:trPr>
          <w:trHeight w:val="209"/>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2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$ 436,955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438,685</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(1,730)</w:t>
            </w:r>
          </w:p>
        </w:tc>
        <w:tc>
          <w:tcPr>
            <w:tcW w:w="2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Implementation services and other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10,797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4,786</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6,011</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Implementation services and other</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28,640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49,252</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(20,612)</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112,599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126,331</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(13,732)</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94,630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95,278</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4,223</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(5,964)</w:t>
            </w:r>
          </w:p>
        </w:tc>
        <w:tc>
          <w:tcPr>
            <w:tcW w:w="860" w:type="dxa"/>
            <w:vAlign w:val="bottom"/>
          </w:tcPr>
          <w:p>
            <w:pPr>
              <w:jc w:val="right"/>
              <w:spacing w:after="0"/>
              <w:rPr>
                <w:sz w:val="20"/>
                <w:szCs w:val="20"/>
                <w:color w:val="auto"/>
              </w:rPr>
            </w:pPr>
            <w:r>
              <w:rPr>
                <w:rFonts w:ascii="Arial" w:cs="Arial" w:eastAsia="Arial" w:hAnsi="Arial"/>
                <w:sz w:val="18"/>
                <w:szCs w:val="18"/>
                <w:color w:val="auto"/>
              </w:rPr>
              <w:t>10,187</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53,823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29,086</w:t>
            </w:r>
          </w:p>
        </w:tc>
        <w:tc>
          <w:tcPr>
            <w:tcW w:w="20" w:type="dxa"/>
            <w:vAlign w:val="bottom"/>
          </w:tcPr>
          <w:p>
            <w:pPr>
              <w:spacing w:after="0"/>
              <w:rPr>
                <w:sz w:val="18"/>
                <w:szCs w:val="18"/>
                <w:color w:val="auto"/>
              </w:rPr>
            </w:pPr>
          </w:p>
        </w:tc>
      </w:tr>
      <w:tr>
        <w:trPr>
          <w:trHeight w:val="864"/>
        </w:trPr>
        <w:tc>
          <w:tcPr>
            <w:tcW w:w="3400" w:type="dxa"/>
            <w:vAlign w:val="bottom"/>
          </w:tcPr>
          <w:p>
            <w:pPr>
              <w:spacing w:after="0"/>
              <w:rPr>
                <w:sz w:val="24"/>
                <w:szCs w:val="24"/>
                <w:color w:val="auto"/>
              </w:rPr>
            </w:pPr>
          </w:p>
        </w:tc>
        <w:tc>
          <w:tcPr>
            <w:tcW w:w="3700" w:type="dxa"/>
            <w:vAlign w:val="bottom"/>
            <w:gridSpan w:val="3"/>
          </w:tcPr>
          <w:p>
            <w:pPr>
              <w:ind w:left="880"/>
              <w:spacing w:after="0"/>
              <w:rPr>
                <w:sz w:val="20"/>
                <w:szCs w:val="20"/>
                <w:color w:val="auto"/>
              </w:rPr>
            </w:pPr>
            <w:r>
              <w:rPr>
                <w:rFonts w:ascii="Arial" w:cs="Arial" w:eastAsia="Arial" w:hAnsi="Arial"/>
                <w:sz w:val="18"/>
                <w:szCs w:val="18"/>
                <w:color w:val="auto"/>
              </w:rPr>
              <w:t>F-15</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6"/>
        </w:trPr>
        <w:tc>
          <w:tcPr>
            <w:tcW w:w="34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consolidated balance sheet: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2019</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3"/>
        </w:trPr>
        <w:tc>
          <w:tcPr>
            <w:tcW w:w="6120" w:type="dxa"/>
            <w:vAlign w:val="bottom"/>
          </w:tcPr>
          <w:p>
            <w:pPr>
              <w:spacing w:after="0"/>
              <w:rPr>
                <w:sz w:val="10"/>
                <w:szCs w:val="10"/>
                <w:color w:val="auto"/>
              </w:rPr>
            </w:pPr>
          </w:p>
        </w:tc>
        <w:tc>
          <w:tcPr>
            <w:tcW w:w="98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5"/>
              </w:rPr>
              <w:t>As Reported</w:t>
            </w: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w w:val="94"/>
              </w:rPr>
              <w:t>Balances under</w:t>
            </w:r>
          </w:p>
        </w:tc>
        <w:tc>
          <w:tcPr>
            <w:tcW w:w="860" w:type="dxa"/>
            <w:vAlign w:val="bottom"/>
          </w:tcPr>
          <w:p>
            <w:pPr>
              <w:jc w:val="center"/>
              <w:spacing w:after="0" w:line="123" w:lineRule="exact"/>
              <w:rPr>
                <w:sz w:val="20"/>
                <w:szCs w:val="20"/>
                <w:color w:val="auto"/>
              </w:rPr>
            </w:pPr>
            <w:r>
              <w:rPr>
                <w:rFonts w:ascii="Arial" w:cs="Arial" w:eastAsia="Arial" w:hAnsi="Arial"/>
                <w:sz w:val="14"/>
                <w:szCs w:val="14"/>
                <w:color w:val="auto"/>
                <w:w w:val="97"/>
              </w:rPr>
              <w:t>Impact from</w:t>
            </w:r>
          </w:p>
        </w:tc>
        <w:tc>
          <w:tcPr>
            <w:tcW w:w="20" w:type="dxa"/>
            <w:vAlign w:val="bottom"/>
          </w:tcPr>
          <w:p>
            <w:pPr>
              <w:spacing w:after="0"/>
              <w:rPr>
                <w:sz w:val="10"/>
                <w:szCs w:val="10"/>
                <w:color w:val="auto"/>
              </w:rPr>
            </w:pPr>
          </w:p>
        </w:tc>
      </w:tr>
      <w:tr>
        <w:trPr>
          <w:trHeight w:val="167"/>
        </w:trPr>
        <w:tc>
          <w:tcPr>
            <w:tcW w:w="6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(Topic 606)</w:t>
            </w: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ASC 605</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Adoption</w:t>
            </w: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costs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21,677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21,677</w:t>
            </w:r>
          </w:p>
        </w:tc>
        <w:tc>
          <w:tcPr>
            <w:tcW w:w="20" w:type="dxa"/>
            <w:vAlign w:val="bottom"/>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860" w:type="dxa"/>
            <w:vAlign w:val="bottom"/>
          </w:tcPr>
          <w:p>
            <w:pPr>
              <w:jc w:val="right"/>
              <w:spacing w:after="0"/>
              <w:rPr>
                <w:sz w:val="20"/>
                <w:szCs w:val="20"/>
                <w:color w:val="auto"/>
              </w:rPr>
            </w:pPr>
            <w:r>
              <w:rPr>
                <w:rFonts w:ascii="Arial" w:cs="Arial" w:eastAsia="Arial" w:hAnsi="Arial"/>
                <w:sz w:val="18"/>
                <w:szCs w:val="18"/>
                <w:color w:val="auto"/>
              </w:rPr>
              <w:t>13,895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12,823</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1,072</w:t>
            </w: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contract costs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20" w:type="dxa"/>
            <w:vAlign w:val="bottom"/>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Long-term prepaid expenses and other</w:t>
            </w:r>
          </w:p>
        </w:tc>
        <w:tc>
          <w:tcPr>
            <w:tcW w:w="860" w:type="dxa"/>
            <w:vAlign w:val="bottom"/>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1,821</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(21,635)</w:t>
            </w:r>
          </w:p>
        </w:tc>
        <w:tc>
          <w:tcPr>
            <w:tcW w:w="20" w:type="dxa"/>
            <w:vAlign w:val="bottom"/>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0" w:type="dxa"/>
            <w:vAlign w:val="bottom"/>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86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10,818</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(9,095)</w:t>
            </w: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20" w:type="dxa"/>
            <w:vAlign w:val="bottom"/>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(accumulated deficit)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81,758</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consolidated statement of cash flows: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June 30, 2019</w:t>
            </w:r>
          </w:p>
        </w:tc>
      </w:tr>
      <w:tr>
        <w:trPr>
          <w:trHeight w:val="164"/>
        </w:trPr>
        <w:tc>
          <w:tcPr>
            <w:tcW w:w="6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As Reported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Balances under</w:t>
            </w:r>
          </w:p>
        </w:tc>
        <w:tc>
          <w:tcPr>
            <w:tcW w:w="860" w:type="dxa"/>
            <w:vAlign w:val="bottom"/>
          </w:tcPr>
          <w:p>
            <w:pPr>
              <w:jc w:val="right"/>
              <w:spacing w:after="0"/>
              <w:rPr>
                <w:sz w:val="20"/>
                <w:szCs w:val="20"/>
                <w:color w:val="auto"/>
              </w:rPr>
            </w:pPr>
            <w:r>
              <w:rPr>
                <w:rFonts w:ascii="Arial" w:cs="Arial" w:eastAsia="Arial" w:hAnsi="Arial"/>
                <w:sz w:val="14"/>
                <w:szCs w:val="14"/>
                <w:color w:val="auto"/>
              </w:rPr>
              <w:t>Impact from</w:t>
            </w:r>
          </w:p>
        </w:tc>
      </w:tr>
      <w:tr>
        <w:trPr>
          <w:trHeight w:val="154"/>
        </w:trPr>
        <w:tc>
          <w:tcPr>
            <w:tcW w:w="6120" w:type="dxa"/>
            <w:vAlign w:val="bottom"/>
          </w:tcPr>
          <w:p>
            <w:pPr>
              <w:spacing w:after="0"/>
              <w:rPr>
                <w:sz w:val="13"/>
                <w:szCs w:val="13"/>
                <w:color w:val="auto"/>
              </w:rPr>
            </w:pPr>
          </w:p>
        </w:tc>
        <w:tc>
          <w:tcPr>
            <w:tcW w:w="96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rPr>
              <w:t>(Topic 606)</w:t>
            </w:r>
          </w:p>
        </w:tc>
        <w:tc>
          <w:tcPr>
            <w:tcW w:w="96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2"/>
              </w:rPr>
              <w:t>ASC 605</w:t>
            </w:r>
          </w:p>
        </w:tc>
        <w:tc>
          <w:tcPr>
            <w:tcW w:w="860" w:type="dxa"/>
            <w:vAlign w:val="bottom"/>
          </w:tcPr>
          <w:p>
            <w:pPr>
              <w:jc w:val="right"/>
              <w:ind w:right="75"/>
              <w:spacing w:after="0" w:line="154" w:lineRule="exact"/>
              <w:rPr>
                <w:sz w:val="20"/>
                <w:szCs w:val="20"/>
                <w:color w:val="auto"/>
              </w:rPr>
            </w:pPr>
            <w:r>
              <w:rPr>
                <w:rFonts w:ascii="Arial" w:cs="Arial" w:eastAsia="Arial" w:hAnsi="Arial"/>
                <w:sz w:val="14"/>
                <w:szCs w:val="14"/>
                <w:color w:val="auto"/>
              </w:rPr>
              <w:t>Adoption</w:t>
            </w:r>
          </w:p>
        </w:tc>
      </w:tr>
      <w:tr>
        <w:trPr>
          <w:trHeight w:val="196"/>
        </w:trPr>
        <w:tc>
          <w:tcPr>
            <w:tcW w:w="6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Statement of Cash Flows</w:t>
            </w: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  53,823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   24,737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   29,086</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Adjustments to reconcile net income to net cash provided by operating activities: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840" w:type="dxa"/>
            <w:vAlign w:val="bottom"/>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(6,053)</w:t>
            </w:r>
          </w:p>
        </w:tc>
        <w:tc>
          <w:tcPr>
            <w:tcW w:w="860" w:type="dxa"/>
            <w:vAlign w:val="bottom"/>
          </w:tcPr>
          <w:p>
            <w:pPr>
              <w:jc w:val="right"/>
              <w:spacing w:after="0"/>
              <w:rPr>
                <w:sz w:val="20"/>
                <w:szCs w:val="20"/>
                <w:color w:val="auto"/>
              </w:rPr>
            </w:pPr>
            <w:r>
              <w:rPr>
                <w:rFonts w:ascii="Arial" w:cs="Arial" w:eastAsia="Arial" w:hAnsi="Arial"/>
                <w:sz w:val="18"/>
                <w:szCs w:val="18"/>
                <w:color w:val="auto"/>
              </w:rPr>
              <w:t>10,187</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Deferred contract costs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(34,992)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(34,992)</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840" w:type="dxa"/>
            <w:vAlign w:val="bottom"/>
          </w:tcPr>
          <w:p>
            <w:pPr>
              <w:jc w:val="right"/>
              <w:spacing w:after="0"/>
              <w:rPr>
                <w:sz w:val="20"/>
                <w:szCs w:val="20"/>
                <w:color w:val="auto"/>
              </w:rPr>
            </w:pPr>
            <w:r>
              <w:rPr>
                <w:rFonts w:ascii="Arial" w:cs="Arial" w:eastAsia="Arial" w:hAnsi="Arial"/>
                <w:sz w:val="18"/>
                <w:szCs w:val="18"/>
                <w:color w:val="auto"/>
              </w:rPr>
              <w:t>13,625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19,636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(6,011)</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In February 2016, the FASB issued ASU 2016-02, Leases (Topic 842)</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lessees to recognize leases on-balance sheet and disclose key information about leasing arrangements. The new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76"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The Company adopted the new standard on July 1, 2019 using the modified retrospective method and the transition relief guidance provided by the FASB in ASU 2018-11, Leases (Topic 842): Targeted Improvements. Consequently, the Company did not update financial information or provide disclosures required under the new standard for dates and periods prior to July 1, 2019. The Company elected the package of practical expedients and did not reassess prior conclusions on whether contracts are or contain a lease, lease classification, and initial direct costs. In addition, the Company adopted the lessee practical expedient to combine lease and non-lease components for all asset classes and elected to not recognize ROU assets and lease liabilities for leases with a term of 12 months or less.</w:t>
      </w:r>
    </w:p>
    <w:p>
      <w:pPr>
        <w:spacing w:after="0" w:line="166"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Adoption of the new standard resulted in the Company recording operating lease ROU assets and operating lease liabilities of $52,083 and $83,852, respectively, as of July 1, 2019. The ROU assets were recorded net of $31,769 in deferred rent adjustments that were previously recorded in Accrued expenses and Deferred rent on the Consolidated Balance Sheets as of June 30, 2019. The adoption of this standard did not result in any cumulative-effect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adjustments to Retained earnings. Additionally, there was no impact on the Company’s Consolidated Statements of Operations and Comprehensive Income or the Consolidated Statements of Cash Flows as a result of the adoption of Topic 842 for the years ended June 30, 2018 and 2019. Refer to Note 2(k) and Note 12 for additional disclosures over the Company’s leases.</w:t>
      </w:r>
    </w:p>
    <w:p>
      <w:pPr>
        <w:spacing w:after="0" w:line="18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(“ASU 2020-04”), which provides optional practical expedients and exceptions for applying GAAP to contracts and transactions, including debt agreements, affected by interest rate reform as regulators discontinue the use of the London Interbank Offered Rate (LIBOR) and other similar reference rates. This standard is effective for contract modifications made as of March 12, 2020 through December 31, 2022, on a prospective basis. The Company adopted this standard upon its issuance, and it did not have a material impact on the Company’s financial statements.</w:t>
      </w:r>
    </w:p>
    <w:p>
      <w:pPr>
        <w:spacing w:after="0" w:line="195" w:lineRule="exact"/>
        <w:rPr>
          <w:sz w:val="20"/>
          <w:szCs w:val="20"/>
          <w:color w:val="auto"/>
        </w:rPr>
      </w:pPr>
    </w:p>
    <w:p>
      <w:pPr>
        <w:ind w:left="920" w:hanging="222"/>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This standard is effective for fiscal years beginning after December 15, 2019, with early adoption permitted. Any new disclosure requirements must be applied on a prospective basis in the interim and annual periods of initial adoption; all removed or modified requirements must be applied retrospectively to all periods presented. The Company adopted ASU 2018-13 on July 1, 2020, and the adoption of this standard did not have a material impact on the Company’s financial statements.</w:t>
      </w:r>
    </w:p>
    <w:p>
      <w:pPr>
        <w:spacing w:after="0" w:line="19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which provides guidance to reduce complexity in certain areas of accounting for income taxes. ASU 2019-12 removes certain exceptions to the general principles in Topic 740 and simplifies various aspects of the current guidance to promote consistent application of the standard among reporting entities. This standard is effective for fiscal years beginning after December 15, 2020 with early adoption permitted. The Company adopted ASU 2019-12 effective July 1, 2020, and the adoption of this standard did not have a material impact on the Company’s financial statements.</w:t>
      </w:r>
    </w:p>
    <w:p>
      <w:pPr>
        <w:spacing w:after="0" w:line="19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disaggregates revenue by Recurring fees and Implementation services and other, which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believes depicts the nature, amount and timing of its revenue:</w:t>
      </w:r>
    </w:p>
    <w:p>
      <w:pPr>
        <w:spacing w:after="0" w:line="216"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 Ended</w:t>
      </w:r>
    </w:p>
    <w:p>
      <w:pPr>
        <w:ind w:left="75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436,955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526,267</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services and 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19,945</w:t>
            </w:r>
          </w:p>
        </w:tc>
      </w:tr>
      <w:tr>
        <w:trPr>
          <w:trHeight w:val="21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 from contracts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447,752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546,212</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upon the client payroll-processing period or by month. As such, the Company does not recognize contract assets or liabilities related to recurring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92"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 Ended</w:t>
      </w:r>
    </w:p>
    <w:p>
      <w:pPr>
        <w:ind w:left="75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15,998</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(13,853)</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color w:val="auto"/>
              </w:rPr>
              <w:t>Balance at end of the year</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8,434</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firstLine="648"/>
        <w:spacing w:after="0" w:line="286" w:lineRule="auto"/>
        <w:rPr>
          <w:sz w:val="20"/>
          <w:szCs w:val="20"/>
          <w:color w:val="auto"/>
        </w:rPr>
      </w:pPr>
      <w:r>
        <w:rPr>
          <w:rFonts w:ascii="Arial" w:cs="Arial" w:eastAsia="Arial" w:hAnsi="Arial"/>
          <w:sz w:val="17"/>
          <w:szCs w:val="17"/>
          <w:color w:val="auto"/>
        </w:rPr>
        <w:t>Deferred revenue related to these nonrefundable upfront fees are recorded within accrued expenses and other long-term liabilities on the consolidated balance sheets. The Company expects to recognize these deferred revenue balances of $6,689 in fiscal 2021, $1,587 in fiscal 2022, and $158 thereafter.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9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following tables present the deferred contract costs balances and the related amortization expense for these deferred contract costs: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Year Ended June 30, 2019</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Beginning</w:t>
            </w:r>
          </w:p>
        </w:tc>
        <w:tc>
          <w:tcPr>
            <w:tcW w:w="86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rPr>
              <w:t>Capitalized</w:t>
            </w:r>
          </w:p>
        </w:tc>
        <w:tc>
          <w:tcPr>
            <w:tcW w:w="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2"/>
              </w:rPr>
              <w:t>Costs</w:t>
            </w:r>
          </w:p>
        </w:tc>
        <w:tc>
          <w:tcPr>
            <w:tcW w:w="9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$ 30,994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(16,998)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82,103</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22,739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20,996</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$ 53,733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(18,741)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103,099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Year Ended June 30,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Beginning</w:t>
            </w:r>
          </w:p>
        </w:tc>
        <w:tc>
          <w:tcPr>
            <w:tcW w:w="20" w:type="dxa"/>
            <w:vAlign w:val="bottom"/>
          </w:tcPr>
          <w:p>
            <w:pPr>
              <w:spacing w:after="0"/>
              <w:rPr>
                <w:sz w:val="10"/>
                <w:szCs w:val="10"/>
                <w:color w:val="auto"/>
              </w:rPr>
            </w:pP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$ 53,529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(22,057)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113,575</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28,893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(5,421)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44,468</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103,099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$ 82,422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(27,478)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158,043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Deferred contract costs are recorded within Deferred contract costs and Long-term deferred contract costs on the Consolidated Balance Sheets. Amortization of deferred contract costs is recorded in Cost of revenues, Sales and marketing, and General and administrative in the Consolidated Statements of Operations and Comprehensive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Company’s remaining performance obligations related to minimum monthly fees on its term-based contracts was approximately $47,601 as of June 30, 2020, which will be generally recognized over the next 24 months.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Corporate Investments and Funds Held for Clients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4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1,293,673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1,293,667</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63,428</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(1)</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130,665</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130,824</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1,556,816</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1,556,967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11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$30,022 of Corporate investments and $100,802 of Funds held for clients.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4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1,241,282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1,241,282</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50,402</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(2)</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122,266</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123,177</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1,614,399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1,615,310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11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$37,155 of Corporate investments and $86,022 of Funds held for clients.</w:t>
      </w:r>
    </w:p>
    <w:p>
      <w:pPr>
        <w:spacing w:after="0" w:line="170"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Cash and cash equivalents and funds held for clients’ cash and cash equivalents included demand deposit accounts, money market funds, commercial paper and U.S. treasury securities with original maturities of three months or less as of June 30, 2019 and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Classification of investments on the consolidated balance sheets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June 30,</w:t>
            </w:r>
          </w:p>
        </w:tc>
      </w:tr>
      <w:tr>
        <w:trPr>
          <w:trHeight w:val="171"/>
        </w:trPr>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250,851</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Corporate investments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34,556</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for clients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1,394,469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1,327,304</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prepaid expenses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1,556,967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1,615,310</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Available-for-sale securities that have been in an unrealized loss position for a period of less and greater than 12 months as of June 30, 2019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4"/>
          </w:tcPr>
          <w:p>
            <w:pPr>
              <w:ind w:left="200"/>
              <w:spacing w:after="0" w:line="119" w:lineRule="exact"/>
              <w:rPr>
                <w:sz w:val="20"/>
                <w:szCs w:val="20"/>
                <w:color w:val="auto"/>
              </w:rPr>
            </w:pPr>
            <w:r>
              <w:rPr>
                <w:rFonts w:ascii="Arial" w:cs="Arial" w:eastAsia="Arial" w:hAnsi="Arial"/>
                <w:sz w:val="13"/>
                <w:szCs w:val="13"/>
                <w:b w:val="1"/>
                <w:bCs w:val="1"/>
                <w:color w:val="auto"/>
              </w:rPr>
              <w:t>Securities in an</w:t>
            </w:r>
          </w:p>
        </w:tc>
        <w:tc>
          <w:tcPr>
            <w:tcW w:w="120" w:type="dxa"/>
            <w:vAlign w:val="bottom"/>
          </w:tcPr>
          <w:p>
            <w:pPr>
              <w:spacing w:after="0"/>
              <w:rPr>
                <w:sz w:val="10"/>
                <w:szCs w:val="10"/>
                <w:color w:val="auto"/>
              </w:rPr>
            </w:pPr>
          </w:p>
        </w:tc>
        <w:tc>
          <w:tcPr>
            <w:tcW w:w="1580" w:type="dxa"/>
            <w:vAlign w:val="bottom"/>
            <w:gridSpan w:val="5"/>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Securities in an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unrealized loss</w:t>
            </w:r>
          </w:p>
        </w:tc>
        <w:tc>
          <w:tcPr>
            <w:tcW w:w="120" w:type="dxa"/>
            <w:vAlign w:val="bottom"/>
          </w:tcPr>
          <w:p>
            <w:pPr>
              <w:spacing w:after="0"/>
              <w:rPr>
                <w:sz w:val="12"/>
                <w:szCs w:val="12"/>
                <w:color w:val="auto"/>
              </w:rPr>
            </w:pPr>
          </w:p>
        </w:tc>
        <w:tc>
          <w:tcPr>
            <w:tcW w:w="15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unrealized loss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position for less</w:t>
            </w:r>
          </w:p>
        </w:tc>
        <w:tc>
          <w:tcPr>
            <w:tcW w:w="120" w:type="dxa"/>
            <w:vAlign w:val="bottom"/>
          </w:tcPr>
          <w:p>
            <w:pPr>
              <w:spacing w:after="0"/>
              <w:rPr>
                <w:sz w:val="12"/>
                <w:szCs w:val="12"/>
                <w:color w:val="auto"/>
              </w:rPr>
            </w:pPr>
          </w:p>
        </w:tc>
        <w:tc>
          <w:tcPr>
            <w:tcW w:w="15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position for greater</w:t>
            </w:r>
          </w:p>
        </w:tc>
        <w:tc>
          <w:tcPr>
            <w:tcW w:w="120" w:type="dxa"/>
            <w:vAlign w:val="bottom"/>
          </w:tcPr>
          <w:p>
            <w:pPr>
              <w:spacing w:after="0"/>
              <w:rPr>
                <w:sz w:val="12"/>
                <w:szCs w:val="12"/>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than 12 months</w:t>
            </w:r>
          </w:p>
        </w:tc>
        <w:tc>
          <w:tcPr>
            <w:tcW w:w="12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than 12 months</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losses</w:t>
            </w: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1"/>
              </w:rPr>
              <w:t>(2)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$ 19,055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19,055</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1"/>
              </w:rPr>
              <w:t>(4)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$ 20,941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27,600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available-for sale securities in an unrealized loss position as of June 30, 2020.</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did not make any material reclassification adjustments out of accumulated other comprehensive income (loss) for realized gains and losses on the sale of available-for-sale securities during the years ended June 30, 2018, 2019 or 2020. Gross realized gains and losses on the sale of available-for-sale securities were immaterial for the years ended June 30, 2018, 2019 or 2020.</w:t>
      </w:r>
    </w:p>
    <w:p>
      <w:pPr>
        <w:spacing w:after="0" w:line="187"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 Company regularly reviews the composition of its portfolio to determine the existence of other-than-temporary-impairment (“OTTI”). The Company did not recognize any OTTI charges in Accumulated other comprehensive income (loss) during the years ended June 30, 2018, 2019 or 2020 nor does it believe that OTTI exists in its portfolio as of June 30, 2020.</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Expected maturities of available-for-sale securities at June 30, 2020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107,293</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One year to two years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122,266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123,177</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Company applies the fair value measurement and disclosure provisions of ASC 820, Fair Value Measurements and Disclosures, and ASU 2011-04, Fair Value Measurement (Topic 820): Amendments to Achieve Common Fair Value Measurement and Disclosure Requirements in U.S. GAAP and IFRS.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95" w:lineRule="exact"/>
        <w:rPr>
          <w:sz w:val="20"/>
          <w:szCs w:val="20"/>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119" w:hanging="315"/>
        <w:spacing w:after="0" w:line="342" w:lineRule="auto"/>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1040" w:right="139" w:hanging="315"/>
        <w:spacing w:after="0" w:line="286"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measures any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2019 and 2020 based upon the short-term nature of these assets and liabilities.</w:t>
      </w:r>
    </w:p>
    <w:p>
      <w:pPr>
        <w:spacing w:after="0" w:line="187"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2019 or 2020, and the Company did not transfer assets between Levels during the years ended June 30, 2019 or 2020.</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level for the Company’s cash and cash equivalents and available-for-sale securities is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June 30, 2019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1,293,667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1,244,856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63,428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130,824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130,824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1,556,967</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1,361,243</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195,724</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42"/>
        </w:trPr>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1,241,282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1,241,282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0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123,177</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123,177</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8"/>
                <w:szCs w:val="18"/>
                <w:color w:val="auto"/>
              </w:rPr>
            </w:pPr>
          </w:p>
        </w:tc>
      </w:tr>
      <w:tr>
        <w:trPr>
          <w:trHeight w:val="21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1,615,310</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1,492,133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 determined that the carrying value of long-term debt under its revolving credit facility approximates fair value, which is classified as Level 2, because interest rates associated with the borrowings reflect market rates.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Business Combinations</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April 2020, the Company acquired all of the shares outstanding of VidGrid, Inc. (“VidGrid”) through a merger for purchase price consideration of $17,256. VidGrid, Inc. is a leading video platform provider that enables peer-to-peer video learning courses, transforming video into two-way communication. This transaction expands the Company’s product functionality around workplace video communication and reaffirms its commitment to stronger employee collaboration, engagement and retention while helping clients prepare for the workplaces of the future. The Company paid $15,506 upon closing and deposited an additional $1,750 to be held in escrow for fifteen months after the acquisition date for potential indemnification claims.</w:t>
      </w:r>
    </w:p>
    <w:p>
      <w:pPr>
        <w:spacing w:after="0" w:line="19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Company accounts for business combinations in accordance with ASC 805, Business Combinations. The Company recorded the acquisition using the acquisition method of accounting and recognized assets at their fair value as of the date of acquisition, with the excess recorded to goodwill. The fair values of assets acquired and liabilities assumed may change over the measurement period as additional information is received. The primary area that is subject to change is deferred taxes. The measurement period will end no later than one year from the acquisition date.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preliminary allocation of the purchase price for VidGrid:</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April 3, 2020</w:t>
            </w:r>
          </w:p>
        </w:tc>
      </w:tr>
      <w:tr>
        <w:trPr>
          <w:trHeight w:val="210"/>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Non-solicitation agreements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assets acquired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w:t>
            </w: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17,256</w:t>
            </w:r>
          </w:p>
        </w:tc>
        <w:tc>
          <w:tcPr>
            <w:tcW w:w="8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results from this acquisition have been included in the Company’s consolidated financial statements since the closing of the acquisition. Pro forma information was not presented because the effect of the acquisition was not material to the Company’s consolidated financial statements. The goodwill associated with this acquisition is not deductible for income tax purposes. Direct costs related to the acquisition were recorded as General and administrative expenses as incurred.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Capitalized Internal-Use Software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119,178</w:t>
            </w:r>
          </w:p>
        </w:tc>
        <w:tc>
          <w:tcPr>
            <w:tcW w:w="40" w:type="dxa"/>
            <w:vAlign w:val="bottom"/>
            <w:shd w:val="clear" w:color="auto" w:fill="CCEEFF"/>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(63,505)</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(82,677)</w:t>
            </w:r>
          </w:p>
        </w:tc>
      </w:tr>
      <w:tr>
        <w:trPr>
          <w:trHeight w:val="210"/>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Amortization of capitalized internal-use software amounted to $14,315, $16,921 and $19,261 for the years ended June 30, 2018, 2019 and 2020, respectively and is included in Cost of revenues.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major classes of property and equipment are as follows as of June 30:</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46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0" w:type="dxa"/>
            <w:vAlign w:val="bottom"/>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Computer equipment</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42,936</w:t>
            </w:r>
          </w:p>
        </w:tc>
        <w:tc>
          <w:tcPr>
            <w:tcW w:w="20" w:type="dxa"/>
            <w:vAlign w:val="bottom"/>
          </w:tcPr>
          <w:p>
            <w:pPr>
              <w:spacing w:after="0"/>
              <w:rPr>
                <w:sz w:val="19"/>
                <w:szCs w:val="19"/>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20" w:type="dxa"/>
            <w:vAlign w:val="bottom"/>
            <w:shd w:val="clear" w:color="auto" w:fill="CCEEFF"/>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Software</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6,609</w:t>
            </w:r>
          </w:p>
        </w:tc>
        <w:tc>
          <w:tcPr>
            <w:tcW w:w="20" w:type="dxa"/>
            <w:vAlign w:val="bottom"/>
          </w:tcPr>
          <w:p>
            <w:pPr>
              <w:spacing w:after="0"/>
              <w:rPr>
                <w:sz w:val="19"/>
                <w:szCs w:val="19"/>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w:t>
            </w:r>
          </w:p>
        </w:tc>
        <w:tc>
          <w:tcPr>
            <w:tcW w:w="20" w:type="dxa"/>
            <w:vAlign w:val="bottom"/>
            <w:shd w:val="clear" w:color="auto" w:fill="CCEEFF"/>
          </w:tcPr>
          <w:p>
            <w:pPr>
              <w:spacing w:after="0"/>
              <w:rPr>
                <w:sz w:val="19"/>
                <w:szCs w:val="19"/>
                <w:color w:val="auto"/>
              </w:rPr>
            </w:pPr>
          </w:p>
        </w:tc>
      </w:tr>
      <w:tr>
        <w:trPr>
          <w:trHeight w:val="229"/>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20" w:type="dxa"/>
            <w:vAlign w:val="bottom"/>
            <w:tcBorders>
              <w:bottom w:val="single" w:sz="8" w:color="CCEEFF"/>
            </w:tcBorders>
          </w:tcPr>
          <w:p>
            <w:pPr>
              <w:spacing w:after="0"/>
              <w:rPr>
                <w:sz w:val="19"/>
                <w:szCs w:val="19"/>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108,422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118,046</w:t>
            </w:r>
          </w:p>
        </w:tc>
        <w:tc>
          <w:tcPr>
            <w:tcW w:w="20" w:type="dxa"/>
            <w:vAlign w:val="bottom"/>
            <w:shd w:val="clear" w:color="auto" w:fill="CCEEFF"/>
          </w:tcPr>
          <w:p>
            <w:pPr>
              <w:spacing w:after="0"/>
              <w:rPr>
                <w:sz w:val="18"/>
                <w:szCs w:val="18"/>
                <w:color w:val="auto"/>
              </w:rPr>
            </w:pPr>
          </w:p>
        </w:tc>
      </w:tr>
      <w:tr>
        <w:trPr>
          <w:trHeight w:val="229"/>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(38,366)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(51,309)</w:t>
            </w:r>
          </w:p>
        </w:tc>
        <w:tc>
          <w:tcPr>
            <w:tcW w:w="20" w:type="dxa"/>
            <w:vAlign w:val="bottom"/>
            <w:tcBorders>
              <w:bottom w:val="single" w:sz="8" w:color="CCEEFF"/>
            </w:tcBorders>
          </w:tcPr>
          <w:p>
            <w:pPr>
              <w:spacing w:after="0"/>
              <w:rPr>
                <w:sz w:val="19"/>
                <w:szCs w:val="19"/>
                <w:color w:val="auto"/>
              </w:rPr>
            </w:pPr>
          </w:p>
        </w:tc>
      </w:tr>
      <w:tr>
        <w:trPr>
          <w:trHeight w:val="209"/>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359" w:firstLine="648"/>
        <w:spacing w:after="0" w:line="277" w:lineRule="auto"/>
        <w:rPr>
          <w:sz w:val="20"/>
          <w:szCs w:val="20"/>
          <w:color w:val="auto"/>
        </w:rPr>
      </w:pPr>
      <w:r>
        <w:rPr>
          <w:rFonts w:ascii="Arial" w:cs="Arial" w:eastAsia="Arial" w:hAnsi="Arial"/>
          <w:sz w:val="18"/>
          <w:szCs w:val="18"/>
          <w:color w:val="auto"/>
        </w:rPr>
        <w:t>Depreciation expense amounted to $14,192, $15,392 and $16,129 for the years ended June 30, 2018, 2019 and 2020,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Goodwill and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changes in goodwill during the year ended June 30, 2020:</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Additions attributable to current year acquisition</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12,065</w:t>
            </w: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21,655</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640"/>
              <w:spacing w:after="0"/>
              <w:rPr>
                <w:sz w:val="20"/>
                <w:szCs w:val="20"/>
                <w:color w:val="auto"/>
              </w:rPr>
            </w:pPr>
            <w:r>
              <w:rPr>
                <w:rFonts w:ascii="Arial" w:cs="Arial" w:eastAsia="Arial" w:hAnsi="Arial"/>
                <w:sz w:val="18"/>
                <w:szCs w:val="18"/>
                <w:color w:val="auto"/>
                <w:w w:val="96"/>
              </w:rPr>
              <w:t>Refer to Note 6 for further details on the current year acquisition.</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60" w:type="dxa"/>
            <w:vAlign w:val="bottom"/>
            <w:gridSpan w:val="5"/>
          </w:tcPr>
          <w:p>
            <w:pPr>
              <w:ind w:left="640"/>
              <w:spacing w:after="0"/>
              <w:rPr>
                <w:sz w:val="20"/>
                <w:szCs w:val="20"/>
                <w:color w:val="auto"/>
              </w:rPr>
            </w:pPr>
            <w:r>
              <w:rPr>
                <w:rFonts w:ascii="Arial" w:cs="Arial" w:eastAsia="Arial" w:hAnsi="Arial"/>
                <w:sz w:val="18"/>
                <w:szCs w:val="18"/>
                <w:color w:val="auto"/>
                <w:w w:val="90"/>
              </w:rPr>
              <w:t>The Company’s amortizable intangible assets and estimated useful lives are as follows: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9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Useful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5 - 9 years</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Proprietary technology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Non-solicitation agreements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2 - 4 years</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Trade name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Amortization expense for acquired intangible assets was $1,695, $2,251 and $2,523 for the years ended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June 30, 2018, 2019 and 2020, respectively. Future amortization expense for acquired intangible assets is as follows, as of</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Fiscal 2021</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Fiscal 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Fiscal 2023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Fiscal 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Fiscal 2025</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Accrued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accrued expenses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6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53,284</w:t>
            </w:r>
          </w:p>
        </w:tc>
        <w:tc>
          <w:tcPr>
            <w:tcW w:w="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8,083</w:t>
            </w:r>
          </w:p>
        </w:tc>
        <w:tc>
          <w:tcPr>
            <w:tcW w:w="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4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40" w:type="dxa"/>
            <w:vAlign w:val="bottom"/>
            <w:tcBorders>
              <w:bottom w:val="single" w:sz="8" w:color="CCEEFF"/>
            </w:tcBorders>
          </w:tcPr>
          <w:p>
            <w:pPr>
              <w:spacing w:after="0"/>
              <w:rPr>
                <w:sz w:val="18"/>
                <w:szCs w:val="18"/>
                <w:color w:val="auto"/>
              </w:rPr>
            </w:pPr>
          </w:p>
        </w:tc>
      </w:tr>
      <w:tr>
        <w:trPr>
          <w:trHeight w:val="209"/>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79,881</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Debt</w:t>
      </w:r>
    </w:p>
    <w:p>
      <w:pPr>
        <w:spacing w:after="0" w:line="229"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expire in July 2024, and any borrowings outstanding will mature and be payable upon such expiration. In April 2020, the Company borrowed $100,000 under the credit facility, which remained outstanding as of June 30, 2020. The Company incurred interest expense related to this borrowing at an average interest rate of 1.38%.</w:t>
      </w:r>
    </w:p>
    <w:p>
      <w:pPr>
        <w:spacing w:after="0" w:line="178"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76"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Any borrowings under the credit facility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94"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June 30, 2020, the Company was in compliance with all of the aforementioned covenants.</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The Company primarily leases office space in Illinois, Florida, Idaho and other U.S. states under non-cancellable operating leases expiring on various dates from July 2020 through October 2032.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July 2020 through July 2024.</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operating lease expense were as follows:</w:t>
      </w:r>
    </w:p>
    <w:p>
      <w:pPr>
        <w:spacing w:after="0" w:line="230"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lease cost</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5"/>
          <w:szCs w:val="15"/>
          <w:color w:val="auto"/>
        </w:rPr>
        <w:t>Short-term lease cost</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Variable lease cost</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lease costs</w:t>
      </w:r>
    </w:p>
    <w:p>
      <w:pPr>
        <w:spacing w:after="0" w:line="20" w:lineRule="exact"/>
        <w:rPr>
          <w:sz w:val="20"/>
          <w:szCs w:val="20"/>
          <w:color w:val="auto"/>
        </w:rPr>
      </w:pPr>
      <w:r>
        <w:rPr>
          <w:sz w:val="20"/>
          <w:szCs w:val="20"/>
          <w:color w:val="auto"/>
        </w:rPr>
        <w:br w:type="column"/>
      </w:r>
    </w:p>
    <w:p>
      <w:pPr>
        <w:ind w:left="1350" w:hanging="1350"/>
        <w:spacing w:after="0"/>
        <w:tabs>
          <w:tab w:leader="none" w:pos="1350" w:val="left"/>
        </w:tabs>
        <w:numPr>
          <w:ilvl w:val="0"/>
          <w:numId w:val="54"/>
        </w:numPr>
        <w:rPr>
          <w:rFonts w:ascii="Arial" w:cs="Arial" w:eastAsia="Arial" w:hAnsi="Arial"/>
          <w:sz w:val="15"/>
          <w:szCs w:val="15"/>
          <w:color w:val="auto"/>
        </w:rPr>
      </w:pPr>
      <w:r>
        <w:rPr>
          <w:rFonts w:ascii="Arial" w:cs="Arial" w:eastAsia="Arial" w:hAnsi="Arial"/>
          <w:sz w:val="15"/>
          <w:szCs w:val="15"/>
          <w:color w:val="auto"/>
        </w:rPr>
        <w:t>9,686</w:t>
      </w:r>
    </w:p>
    <w:p>
      <w:pPr>
        <w:spacing w:after="0" w:line="42" w:lineRule="exact"/>
        <w:rPr>
          <w:rFonts w:ascii="Arial" w:cs="Arial" w:eastAsia="Arial" w:hAnsi="Arial"/>
          <w:sz w:val="15"/>
          <w:szCs w:val="15"/>
          <w:color w:val="auto"/>
        </w:rPr>
      </w:pPr>
    </w:p>
    <w:p>
      <w:pPr>
        <w:ind w:left="1570"/>
        <w:spacing w:after="0"/>
        <w:rPr>
          <w:rFonts w:ascii="Arial" w:cs="Arial" w:eastAsia="Arial" w:hAnsi="Arial"/>
          <w:sz w:val="15"/>
          <w:szCs w:val="15"/>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20320</wp:posOffset>
            </wp:positionV>
            <wp:extent cx="56489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2"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3,167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487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ind w:left="1250" w:hanging="1250"/>
        <w:spacing w:after="0"/>
        <w:tabs>
          <w:tab w:leader="none" w:pos="125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12,893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1487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11487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6350" w:space="720"/>
            <w:col w:w="1949"/>
          </w:cols>
          <w:pgMar w:left="1440" w:top="517" w:right="1440" w:bottom="1440" w:gutter="0" w:footer="0" w:header="0"/>
          <w:type w:val="continuous"/>
        </w:sect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The classification of the Company’s operating lease right-of-use assets, operating lease liabilities and other supplemental information related to the Company’s operating leases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48,658</w:t>
            </w:r>
          </w:p>
        </w:tc>
        <w:tc>
          <w:tcPr>
            <w:tcW w:w="220" w:type="dxa"/>
            <w:vAlign w:val="bottom"/>
            <w:shd w:val="clear" w:color="auto" w:fill="CCEEFF"/>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8,083</w:t>
            </w:r>
          </w:p>
        </w:tc>
        <w:tc>
          <w:tcPr>
            <w:tcW w:w="220" w:type="dxa"/>
            <w:vAlign w:val="bottom"/>
          </w:tcPr>
          <w:p>
            <w:pPr>
              <w:spacing w:after="0"/>
              <w:rPr>
                <w:sz w:val="18"/>
                <w:szCs w:val="18"/>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73,299</w:t>
            </w:r>
          </w:p>
        </w:tc>
        <w:tc>
          <w:tcPr>
            <w:tcW w:w="220" w:type="dxa"/>
            <w:vAlign w:val="bottom"/>
            <w:shd w:val="clear" w:color="auto" w:fill="CCEEFF"/>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8"/>
                <w:szCs w:val="18"/>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supplemental cash flow information related to the Company’s operating leases: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June 30, 2020</w:t>
            </w:r>
          </w:p>
        </w:tc>
      </w:tr>
      <w:tr>
        <w:trPr>
          <w:trHeight w:val="209"/>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3,123</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The undiscounted cash flows for future maturities of the Company’s operating lease liabilities and the reconciliation to the balance of operating lease liabilities reflected on the Company’s balance sheet are as follows as of June 30, 2020:</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9,700</w:t>
            </w:r>
          </w:p>
        </w:tc>
        <w:tc>
          <w:tcPr>
            <w:tcW w:w="6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9,307</w:t>
            </w:r>
          </w:p>
        </w:tc>
        <w:tc>
          <w:tcPr>
            <w:tcW w:w="6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50,967</w:t>
            </w:r>
          </w:p>
        </w:tc>
        <w:tc>
          <w:tcPr>
            <w:tcW w:w="60" w:type="dxa"/>
            <w:vAlign w:val="bottom"/>
            <w:tcBorders>
              <w:bottom w:val="single" w:sz="8" w:color="CCEEFF"/>
            </w:tcBorders>
          </w:tcPr>
          <w:p>
            <w:pPr>
              <w:spacing w:after="0"/>
              <w:rPr>
                <w:sz w:val="18"/>
                <w:szCs w:val="18"/>
                <w:color w:val="auto"/>
              </w:rPr>
            </w:pP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99,522</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6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(18,140)</w:t>
            </w:r>
          </w:p>
        </w:tc>
      </w:tr>
      <w:tr>
        <w:trPr>
          <w:trHeight w:val="210"/>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2020, the Company had not entered into any leases that had not yet commenced.</w:t>
      </w:r>
    </w:p>
    <w:p>
      <w:pPr>
        <w:spacing w:after="0" w:line="22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Rental expense for operating leases in accordance with ASC 840, Leases, (“Topic 840”) was $8,242 and $9,752 for the years ended June 30, 2018 and 2019, respectively.</w:t>
      </w:r>
    </w:p>
    <w:p>
      <w:pPr>
        <w:spacing w:after="0" w:line="170"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or remaining terms in excess of one year) as of June 30, 2019 under Topic 840 were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44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10,449</w:t>
            </w:r>
          </w:p>
        </w:tc>
        <w:tc>
          <w:tcPr>
            <w:tcW w:w="2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3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11,150</w:t>
            </w: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3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2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3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8,840</w:t>
            </w: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3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8,838</w:t>
            </w:r>
          </w:p>
        </w:tc>
        <w:tc>
          <w:tcPr>
            <w:tcW w:w="20" w:type="dxa"/>
            <w:vAlign w:val="bottom"/>
          </w:tcPr>
          <w:p>
            <w:pPr>
              <w:spacing w:after="0"/>
              <w:rPr>
                <w:sz w:val="18"/>
                <w:szCs w:val="18"/>
                <w:color w:val="auto"/>
              </w:rPr>
            </w:pPr>
          </w:p>
        </w:tc>
      </w:tr>
      <w:tr>
        <w:trPr>
          <w:trHeight w:val="21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7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59,401</w:t>
            </w:r>
          </w:p>
        </w:tc>
        <w:tc>
          <w:tcPr>
            <w:tcW w:w="20" w:type="dxa"/>
            <w:vAlign w:val="bottom"/>
          </w:tcPr>
          <w:p>
            <w:pPr>
              <w:spacing w:after="0"/>
              <w:rPr>
                <w:sz w:val="18"/>
                <w:szCs w:val="18"/>
                <w:color w:val="auto"/>
              </w:rPr>
            </w:pPr>
          </w:p>
        </w:tc>
      </w:tr>
      <w:tr>
        <w:trPr>
          <w:trHeight w:val="209"/>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108,178</w:t>
            </w:r>
          </w:p>
        </w:tc>
        <w:tc>
          <w:tcPr>
            <w:tcW w:w="2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3280" w:type="dxa"/>
            <w:vAlign w:val="bottom"/>
          </w:tcPr>
          <w:p>
            <w:pPr>
              <w:spacing w:after="0"/>
              <w:rPr>
                <w:sz w:val="24"/>
                <w:szCs w:val="24"/>
                <w:color w:val="auto"/>
              </w:rPr>
            </w:pPr>
          </w:p>
        </w:tc>
        <w:tc>
          <w:tcPr>
            <w:tcW w:w="4400" w:type="dxa"/>
            <w:vAlign w:val="bottom"/>
            <w:gridSpan w:val="2"/>
          </w:tcPr>
          <w:p>
            <w:pPr>
              <w:jc w:val="right"/>
              <w:ind w:right="2970"/>
              <w:spacing w:after="0"/>
              <w:rPr>
                <w:sz w:val="20"/>
                <w:szCs w:val="20"/>
                <w:color w:val="auto"/>
              </w:rPr>
            </w:pPr>
            <w:r>
              <w:rPr>
                <w:rFonts w:ascii="Arial" w:cs="Arial" w:eastAsia="Arial" w:hAnsi="Arial"/>
                <w:sz w:val="18"/>
                <w:szCs w:val="18"/>
                <w:color w:val="auto"/>
              </w:rPr>
              <w:t>F-25</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6"/>
        </w:trPr>
        <w:tc>
          <w:tcPr>
            <w:tcW w:w="32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0" w:hanging="350"/>
        <w:spacing w:after="0"/>
        <w:tabs>
          <w:tab w:leader="none" w:pos="4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940" w:hanging="242"/>
        <w:spacing w:after="0"/>
        <w:tabs>
          <w:tab w:leader="none" w:pos="940" w:val="left"/>
        </w:tabs>
        <w:numPr>
          <w:ilvl w:val="1"/>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Income tax expense (benefit) for the years ended June 30, 2018, 2019 and 2020 consists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Deferred taxes: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 and local</w:t>
            </w:r>
          </w:p>
        </w:tc>
        <w:tc>
          <w:tcPr>
            <w:tcW w:w="1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60" w:type="dxa"/>
            <w:vAlign w:val="bottom"/>
            <w:tcBorders>
              <w:bottom w:val="single" w:sz="8" w:color="CCEEFF"/>
            </w:tcBorders>
          </w:tcPr>
          <w:p>
            <w:pPr>
              <w:spacing w:after="0"/>
              <w:rPr>
                <w:sz w:val="18"/>
                <w:szCs w:val="18"/>
                <w:color w:val="auto"/>
              </w:rPr>
            </w:pPr>
          </w:p>
        </w:tc>
      </w:tr>
      <w:tr>
        <w:trPr>
          <w:trHeight w:val="209"/>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(21,847)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hanging="26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Tax Rate Reconciliation</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Income tax expense (benefit) differed from the amounts computed by applying the U.S. federal income tax rate of 27.6% for the years ended June 30, 2018, and 21% for the years ended June 30, 2019 and 2020 to pretax income as a result of the following:</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8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4"/>
              </w:rPr>
              <w:t>Year ended 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statutory federal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Increase (reduction) in income taxes resulting from:</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and other credits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Non-deductible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allowance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Effect of Tax Cuts and Jobs Act</w:t>
            </w:r>
          </w:p>
        </w:tc>
        <w:tc>
          <w:tcPr>
            <w:tcW w:w="660" w:type="dxa"/>
            <w:vAlign w:val="bottom"/>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State and local income taxes, net of federal income tax benefit</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r>
      <w:tr>
        <w:trPr>
          <w:trHeight w:val="210"/>
        </w:trPr>
        <w:tc>
          <w:tcPr>
            <w:tcW w:w="64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effective tax rate for the years ended June 30, 2019 and 2020 was 7.3% and 4.0%, respectively, on pre-tax income of $58,046 and $67,118, respectively. The decrease in the effective tax rate is primarily due to increased deductions related to stock compensation offset by an increase to the valuation allowance.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0" w:hanging="242"/>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Deferred Tax Assets and Liabilities</w:t>
      </w:r>
    </w:p>
    <w:p>
      <w:pPr>
        <w:spacing w:after="0" w:line="225"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June 30, 2019 and 2020 are presented below.</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488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21,041</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9,915</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13,351</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13,596</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and state tax credits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16,714</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4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2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Valuation allowance</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tcPr>
          <w:p>
            <w:pPr>
              <w:spacing w:after="0"/>
              <w:rPr>
                <w:sz w:val="18"/>
                <w:szCs w:val="18"/>
                <w:color w:val="auto"/>
              </w:rPr>
            </w:pPr>
          </w:p>
        </w:tc>
      </w:tr>
      <w:tr>
        <w:trPr>
          <w:trHeight w:val="210"/>
        </w:trPr>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deferred tax assets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70,650</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contract costs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(27,116)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(41,229)</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(12,607)</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costs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(11,269)</w:t>
            </w:r>
          </w:p>
        </w:tc>
        <w:tc>
          <w:tcPr>
            <w:tcW w:w="100" w:type="dxa"/>
            <w:vAlign w:val="bottom"/>
            <w:shd w:val="clear" w:color="auto" w:fill="CCEEFF"/>
          </w:tcPr>
          <w:p>
            <w:pPr>
              <w:spacing w:after="0"/>
              <w:rPr>
                <w:sz w:val="18"/>
                <w:szCs w:val="18"/>
                <w:color w:val="auto"/>
              </w:rPr>
            </w:pPr>
          </w:p>
        </w:tc>
      </w:tr>
      <w:tr>
        <w:trPr>
          <w:trHeight w:val="210"/>
        </w:trPr>
        <w:tc>
          <w:tcPr>
            <w:tcW w:w="4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deferred tax liabilities</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(38,991)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(74,449)</w:t>
            </w:r>
          </w:p>
        </w:tc>
        <w:tc>
          <w:tcPr>
            <w:tcW w:w="100" w:type="dxa"/>
            <w:vAlign w:val="bottom"/>
            <w:tcBorders>
              <w:bottom w:val="single" w:sz="8" w:color="CCEEFF"/>
            </w:tcBorders>
          </w:tcPr>
          <w:p>
            <w:pPr>
              <w:spacing w:after="0"/>
              <w:rPr>
                <w:sz w:val="18"/>
                <w:szCs w:val="18"/>
                <w:color w:val="auto"/>
              </w:rPr>
            </w:pPr>
          </w:p>
        </w:tc>
      </w:tr>
      <w:tr>
        <w:trPr>
          <w:trHeight w:val="209"/>
        </w:trPr>
        <w:tc>
          <w:tcPr>
            <w:tcW w:w="4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deferred tax asset (liability)</w:t>
            </w:r>
          </w:p>
        </w:tc>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Succeeding multiple years of recording a full valuation allowance, the Company concluded in the third quarter of fiscal 2018, that all of the valuation allowance for the Company’s U.S. federal deferred tax assets and substantially all state deferred tax assets was no longer needed. This was primarily due to three years’ cumulative income through the third quarter of fiscal 2018 and the forecast of future taxable income. At March 31, 2018, based on the evaluation of positive and negative evidence, management believed it was more likely than not that the net deferred tax assets could be realized for all federal and substantially all state purposes. Accordingly, the Company recognized a non-recurring tax benefit of $22,771 related to the valuation allowance reversal. As of June 30, 2020, the Company maintains a valuation allowance of $3,967 for certain state tax benefits which may not be realized. Such assessment may change in the future as further evidence becomes available.</w:t>
      </w:r>
    </w:p>
    <w:p>
      <w:pPr>
        <w:spacing w:after="0" w:line="181"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On December 22, 2017, the Tax Cuts and Jobs Act of 2017 (the “Tax Act”) was signed into law. The Tax Act reduced the U.S. federal corporate income tax rate from 35% to 21%. Following the passage of the Tax Act and in accordance with ASC 740, companies were required to re-measure deferred tax balances using the new enacted tax rates. During fiscal year 2018, the Company recorded a one-time net $8,626 tax expense to revalue its net deferred tax assets to the newly enacted federal statutory rate. The Company generally expects to benefit from the lower statutory rates provided by the Tax Act.</w:t>
      </w:r>
    </w:p>
    <w:p>
      <w:pPr>
        <w:spacing w:after="0" w:line="19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In December 2017, the staff of the SEC issued guidance under Staff Accounting Bulletin No. 118 (later codified into ASU 2018-05), “Income Tax Accounting Implications of the Tax Cuts and Jobs Act,” allowing taxpayers to record provisional amounts for reasonable estimates when they do not have the necessary information available, prepared or analyzed in reasonable detail to complete their accounting for certain income tax effects of the Tax Act. The SEC also issued rules that would allow for a measurement period of up to one year after the enactment date of the Tax Act to finalize the related tax impacts. The Company’s analysis was completed during the second quarter of fiscal 2019 with no additional adjustments made.</w:t>
      </w:r>
    </w:p>
    <w:p>
      <w:pPr>
        <w:spacing w:after="0" w:line="195"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At June 30, 2020, the Company has gross net operating loss carryforwards for federal income tax purposes of approximately $55,801, of which $35,736 expire from 2034 to 2038. The Company has gross net operating loss carryforwards for state income tax purposes of approximately $32,262, of which $26,307 expire from 2021 to 2040. The remaining $26,020 federal and state net operating loss carryforwards have an indefinite utilization period. The Company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also has gross federal and state research and development tax credits and other state credit carryforwards of approximately $16,714, which expire between 2021 and 2040.</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had no unrecognized tax benefits as of June 30, 2018, 2019 and 2020, respectively.</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The Company, including its domestic subsidiaries, files a consolidated federal income tax return. For years before fiscal year ended June 30, 2017, the Company is no longer subject to U.S. federal examination; however, the Internal Revenue Service (IRS) has the ability to review years prior to fiscal year 2017 to the extent the Company utilized tax attributes carried forward from those prior years. The statute of limitations on state filings is generally three to four years.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Stockholders’ Equity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Benefit Plans</w:t>
      </w:r>
    </w:p>
    <w:p>
      <w:pPr>
        <w:spacing w:after="0" w:line="229" w:lineRule="exact"/>
        <w:rPr>
          <w:sz w:val="20"/>
          <w:szCs w:val="20"/>
          <w:color w:val="auto"/>
        </w:rPr>
      </w:pPr>
    </w:p>
    <w:p>
      <w:pPr>
        <w:ind w:left="940" w:hanging="242"/>
        <w:spacing w:after="0"/>
        <w:tabs>
          <w:tab w:leader="none" w:pos="94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 The Company’s board of directors determined that it would not increase the number of shares in reserve for issuance under the 2014 Plan as of January 1, 2020.</w:t>
      </w:r>
    </w:p>
    <w:p>
      <w:pPr>
        <w:spacing w:after="0" w:line="17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As of June 30, 2020, the Company had 12,400 shares allocated to the plans, of which 2,881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following table summarizes the changes in the number of shares available for grant under the Company’s equity incentive plans during the year ended June 30, 2020:</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79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RSUs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Available for grant at June 30,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9,519</w:t>
            </w:r>
          </w:p>
        </w:tc>
        <w:tc>
          <w:tcPr>
            <w:tcW w:w="8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4"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Consolidated Statements of Operations and Comprehensive Income:</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4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13,960</w:t>
            </w:r>
          </w:p>
        </w:tc>
        <w:tc>
          <w:tcPr>
            <w:tcW w:w="4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4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15,093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20,782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20,714</w:t>
            </w:r>
          </w:p>
        </w:tc>
        <w:tc>
          <w:tcPr>
            <w:tcW w:w="40" w:type="dxa"/>
            <w:vAlign w:val="bottom"/>
            <w:tcBorders>
              <w:bottom w:val="single" w:sz="8" w:color="CCEEFF"/>
            </w:tcBorders>
          </w:tcPr>
          <w:p>
            <w:pPr>
              <w:spacing w:after="0"/>
              <w:rPr>
                <w:sz w:val="18"/>
                <w:szCs w:val="18"/>
                <w:color w:val="auto"/>
              </w:rPr>
            </w:pPr>
          </w:p>
        </w:tc>
      </w:tr>
      <w:tr>
        <w:trPr>
          <w:trHeight w:val="209"/>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30,354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38,765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47,493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39" w:firstLine="648"/>
        <w:spacing w:after="0" w:line="308" w:lineRule="auto"/>
        <w:rPr>
          <w:sz w:val="20"/>
          <w:szCs w:val="20"/>
          <w:color w:val="auto"/>
        </w:rPr>
      </w:pPr>
      <w:r>
        <w:rPr>
          <w:rFonts w:ascii="Arial" w:cs="Arial" w:eastAsia="Arial" w:hAnsi="Arial"/>
          <w:sz w:val="17"/>
          <w:szCs w:val="17"/>
          <w:color w:val="auto"/>
        </w:rPr>
        <w:t>In addition, the Company capitalized $2,024, $2,760 and $2,397 of stock-based compensation expense in its capitalized internal-use software costs in the years ended June 30, 2018, 2019 and 2020, respectively.</w:t>
      </w:r>
    </w:p>
    <w:p>
      <w:pPr>
        <w:spacing w:after="0" w:line="146" w:lineRule="exact"/>
        <w:rPr>
          <w:sz w:val="20"/>
          <w:szCs w:val="20"/>
          <w:color w:val="auto"/>
        </w:rPr>
      </w:pPr>
    </w:p>
    <w:p>
      <w:pPr>
        <w:jc w:val="both"/>
        <w:ind w:left="60" w:right="299" w:firstLine="648"/>
        <w:spacing w:after="0" w:line="279" w:lineRule="auto"/>
        <w:rPr>
          <w:sz w:val="20"/>
          <w:szCs w:val="20"/>
          <w:color w:val="auto"/>
        </w:rPr>
      </w:pPr>
      <w:r>
        <w:rPr>
          <w:rFonts w:ascii="Arial" w:cs="Arial" w:eastAsia="Arial" w:hAnsi="Arial"/>
          <w:sz w:val="17"/>
          <w:szCs w:val="17"/>
          <w:color w:val="auto"/>
        </w:rPr>
        <w:t>Under the 2008 and 2014 Plans, the exercise price of each option cannot be less than the fair value of a share of common stock on the grant date. The options typically vest ratably over a three- or four-year period and expire 10 years from the grant date. Stock-based compensation expense for the fair value of the options at their grant date is recognized ratably over the vesting schedule for each separately vesting portion of the award.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 option activity during the periods indicated is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1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2019</w:t>
            </w:r>
          </w:p>
        </w:tc>
        <w:tc>
          <w:tcPr>
            <w:tcW w:w="10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$ 12.24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$ 124,373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Options exercised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$ 11.39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$ 12.43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$ 167,406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Options vested and exercisable at June 30, 2020</w:t>
            </w:r>
          </w:p>
        </w:tc>
        <w:tc>
          <w:tcPr>
            <w:tcW w:w="10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$ 12.43</w:t>
            </w: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2.96</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$ 167,406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1,255</w:t>
            </w: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There were no stock options granted during the years ended June 30, 2018, 2019 or 2020. The total intrinsic value of options exercised during the years ended June 30, 2018, 2019 and 2020 was $34,083, $24,920 and $29,791, respectively. As of June 30, 2020, the Company had recognized all stock-based compensation cost related to outstanding stock options and all outstanding options had vested.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 of certain revenue and Adjusted EBITDA targets in current and future fiscal years. For these performance-based RSUs, the Company recognizes stock-based compensation expense based upon the probable achievement of these aforementioned performance metrics. The following table represents restricted stock unit activity during the year ended June 30, 2020:</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9"/>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RSUs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658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62.60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June 30, 2020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RSUs expected to vest at June 30, 2020</w:t>
            </w:r>
          </w:p>
        </w:tc>
        <w:tc>
          <w:tcPr>
            <w:tcW w:w="7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72.15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1,448</w:t>
            </w:r>
          </w:p>
        </w:tc>
        <w:tc>
          <w:tcPr>
            <w:tcW w:w="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At June 30, 2020, there was $40,367 of total unrecognized compensation cost, net of estimated forfeitures, related to unvested restricted stock units granted. That cost is expected to be recognized over a weighted average period of 1.88 years.</w:t>
      </w:r>
    </w:p>
    <w:p>
      <w:pPr>
        <w:spacing w:after="0" w:line="184"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The total excess income tax benefits for stock-based compensation arrangements was $33,443, $41,195 and $67,816 for the years ended June 30, 2018, 2019 and 2020, respectively, and were recognized through income tax expense.</w:t>
      </w:r>
    </w:p>
    <w:p>
      <w:pPr>
        <w:spacing w:after="0" w:line="124" w:lineRule="exact"/>
        <w:rPr>
          <w:sz w:val="20"/>
          <w:szCs w:val="20"/>
          <w:color w:val="auto"/>
        </w:rPr>
      </w:pPr>
    </w:p>
    <w:p>
      <w:pPr>
        <w:ind w:left="1000" w:hanging="25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6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As of June 30, 2020, a total of 898 shares of common stock were reserved for future issuances under the ESPP. The number of shares of common stock reserved for issuance under the ESPP may increase each calendar year, continuing through and including January 1, 2024. The number of shares added each year may be equal to the lesser of (a) 400, (b) seventy-five one hundredths percent (0.75%) of the number of shares of common stock of the Company issued and outstanding on the immediately preceding December 31, or (c) an amount determined by the Company’s board of directors. The Company’s board of directors determined that it would not increase the number of shares in reserve for issuance under the ESPP as of January 1, 2020.</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Company issued a total of 97 shares upon the completion of its six-month offering periods ending November 15, 2019 and May 15, 2020. The Company recorded compensation expense attributable to the ESPP of $1,331, $1,949 and $3,235 for the years ended June 30, 2018, 2019 and 2020, respectively, which is included in the summary of stock-based compensation expense above. The grant date fair value of the ESPP offering periods was estimated using the following weighted average assumptions: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7"/>
          <w:szCs w:val="17"/>
          <w:color w:val="auto"/>
        </w:rPr>
        <w:t>Valuation assumptions: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Expected dividend yield</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Expected volatility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Expected term (years)</w:t>
      </w:r>
    </w:p>
    <w:p>
      <w:pPr>
        <w:spacing w:after="0" w:line="23"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p>
      <w:pPr>
        <w:spacing w:after="0" w:line="238" w:lineRule="exact"/>
        <w:rPr>
          <w:sz w:val="20"/>
          <w:szCs w:val="20"/>
          <w:color w:val="auto"/>
        </w:rPr>
      </w:pPr>
    </w:p>
    <w:p>
      <w:pPr>
        <w:ind w:left="1000" w:hanging="248"/>
        <w:spacing w:after="0"/>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401(k)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5"/>
              </w:rPr>
              <w:t>Year ended June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r>
      <w:tr>
        <w:trPr>
          <w:trHeight w:val="438"/>
        </w:trPr>
        <w:tc>
          <w:tcPr>
            <w:tcW w:w="1140" w:type="dxa"/>
            <w:vAlign w:val="bottom"/>
            <w:gridSpan w:val="2"/>
          </w:tcPr>
          <w:p>
            <w:pPr>
              <w:jc w:val="right"/>
              <w:ind w:right="56"/>
              <w:spacing w:after="0"/>
              <w:rPr>
                <w:sz w:val="20"/>
                <w:szCs w:val="20"/>
                <w:color w:val="auto"/>
              </w:rPr>
            </w:pPr>
            <w:r>
              <w:rPr>
                <w:rFonts w:ascii="Arial" w:cs="Arial" w:eastAsia="Arial" w:hAnsi="Arial"/>
                <w:sz w:val="18"/>
                <w:szCs w:val="18"/>
                <w:color w:val="auto"/>
              </w:rPr>
              <w:t>0 %</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0 %</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860" w:type="dxa"/>
            <w:vAlign w:val="bottom"/>
          </w:tcPr>
          <w:p>
            <w:pPr>
              <w:jc w:val="right"/>
              <w:spacing w:after="0"/>
              <w:rPr>
                <w:sz w:val="20"/>
                <w:szCs w:val="20"/>
                <w:color w:val="auto"/>
              </w:rPr>
            </w:pPr>
            <w:r>
              <w:rPr>
                <w:rFonts w:ascii="Arial" w:cs="Arial" w:eastAsia="Arial" w:hAnsi="Arial"/>
                <w:sz w:val="18"/>
                <w:szCs w:val="18"/>
                <w:color w:val="auto"/>
                <w:w w:val="90"/>
              </w:rPr>
              <w:t>28.3 - 39.1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2"/>
              </w:rPr>
              <w:t>%  33.5 - 38.6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1"/>
              </w:rPr>
              <w:t>38.6 - 72.2 %</w:t>
            </w:r>
          </w:p>
        </w:tc>
      </w:tr>
      <w:tr>
        <w:trPr>
          <w:trHeight w:val="230"/>
        </w:trPr>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r>
      <w:tr>
        <w:trPr>
          <w:trHeight w:val="230"/>
        </w:trPr>
        <w:tc>
          <w:tcPr>
            <w:tcW w:w="860" w:type="dxa"/>
            <w:vAlign w:val="bottom"/>
          </w:tcPr>
          <w:p>
            <w:pPr>
              <w:jc w:val="right"/>
              <w:spacing w:after="0"/>
              <w:rPr>
                <w:sz w:val="20"/>
                <w:szCs w:val="20"/>
                <w:color w:val="auto"/>
              </w:rPr>
            </w:pPr>
            <w:r>
              <w:rPr>
                <w:rFonts w:ascii="Arial" w:cs="Arial" w:eastAsia="Arial" w:hAnsi="Arial"/>
                <w:sz w:val="18"/>
                <w:szCs w:val="18"/>
                <w:color w:val="auto"/>
                <w:w w:val="90"/>
              </w:rPr>
              <w:t>1.02 - 2.10</w:t>
            </w:r>
          </w:p>
        </w:tc>
        <w:tc>
          <w:tcPr>
            <w:tcW w:w="280" w:type="dxa"/>
            <w:vAlign w:val="bottom"/>
          </w:tcPr>
          <w:p>
            <w:pPr>
              <w:jc w:val="right"/>
              <w:ind w:right="56"/>
              <w:spacing w:after="0"/>
              <w:rPr>
                <w:sz w:val="20"/>
                <w:szCs w:val="20"/>
                <w:color w:val="auto"/>
              </w:rPr>
            </w:pPr>
            <w:r>
              <w:rPr>
                <w:rFonts w:ascii="Arial" w:cs="Arial" w:eastAsia="Arial" w:hAnsi="Arial"/>
                <w:sz w:val="18"/>
                <w:szCs w:val="18"/>
                <w:color w:val="auto"/>
                <w:w w:val="74"/>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2.10 - 2.48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0.15 - 2.44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-728345</wp:posOffset>
            </wp:positionV>
            <wp:extent cx="564896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-436245</wp:posOffset>
            </wp:positionV>
            <wp:extent cx="564896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-144780</wp:posOffset>
            </wp:positionV>
            <wp:extent cx="564896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4820" w:space="720"/>
            <w:col w:w="3479"/>
          </w:cols>
          <w:pgMar w:left="1440" w:top="517" w:right="1440" w:bottom="1440" w:gutter="0" w:footer="0" w:header="0"/>
          <w:type w:val="continuous"/>
        </w:sectPr>
      </w:pPr>
    </w:p>
    <w:p>
      <w:pPr>
        <w:spacing w:after="0" w:line="4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$4,632, $5,693 and $7,914 for the years ended June 30, 2018, 2019 and 2020, respectively.</w:t>
      </w:r>
    </w:p>
    <w:p>
      <w:pPr>
        <w:spacing w:after="0" w:line="180" w:lineRule="exact"/>
        <w:rPr>
          <w:sz w:val="20"/>
          <w:szCs w:val="20"/>
          <w:color w:val="auto"/>
        </w:rPr>
      </w:pPr>
    </w:p>
    <w:p>
      <w:pPr>
        <w:ind w:left="400" w:hanging="350"/>
        <w:spacing w:after="0"/>
        <w:tabs>
          <w:tab w:leader="none" w:pos="4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940" w:hanging="242"/>
        <w:spacing w:after="0"/>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Company has employment agreements with certain of its key officers. The agreements allow for minimum annual compensation increases, participation in equity incentive plans and bonuses for annual performance as well as certain change of control events as defined in the agreements.</w:t>
      </w:r>
    </w:p>
    <w:p>
      <w:pPr>
        <w:spacing w:after="0" w:line="184" w:lineRule="exact"/>
        <w:rPr>
          <w:sz w:val="20"/>
          <w:szCs w:val="20"/>
          <w:color w:val="auto"/>
        </w:rPr>
      </w:pPr>
    </w:p>
    <w:p>
      <w:pPr>
        <w:ind w:left="960" w:hanging="26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379" w:firstLine="648"/>
        <w:spacing w:after="0" w:line="257" w:lineRule="auto"/>
        <w:rPr>
          <w:sz w:val="20"/>
          <w:szCs w:val="20"/>
          <w:color w:val="auto"/>
        </w:rPr>
      </w:pPr>
      <w:r>
        <w:rPr>
          <w:rFonts w:ascii="Arial" w:cs="Arial" w:eastAsia="Arial" w:hAnsi="Arial"/>
          <w:sz w:val="18"/>
          <w:szCs w:val="18"/>
          <w:color w:val="auto"/>
        </w:rPr>
        <w:t>On July 12, 2019, a former employee filed a class and collective action complaint under federal and state law alleging that certain employees of the Company were misclassified as salaried exempt employees. The complaint seeks unpaid overtime and other damages. The Company has, without admitting any liability or wrongdoing, reached an agreement to settle this matter. The settlement of this claim did not have a material impact to the Company’s financial position, results of operations, or liquidity.</w:t>
      </w:r>
    </w:p>
    <w:p>
      <w:pPr>
        <w:spacing w:after="0" w:line="188"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Net Income Per Share</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calculation of basic and diluted net income per share:</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June 30,</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38,598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53,823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64,455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Weighted-average shares used in computing net income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52,425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52,914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53,547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Employee stock options, restricted stock units and employee stock purchase plan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54,887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55,414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55,807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following table summarizes the outstanding restricted stock units and employee stock purchase plan shares as of the balance sheet date that were excluded from the diluted per share calculation for the periods presented because to include them would have been anti-dilutive:</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9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3"/>
              </w:rPr>
              <w:t>Year ended June 30,</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Employee stock purchase plan shares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In August 2018, the Company announced that its board of directors approved a program to repurchase up to $35,000 of the Company’s common stock, with authorization through August 14, 2019. During the first quarter of fiscal 2019, the Company completed the repurchase program and repurchased 442 shares for $34,991. All shares of common stock repurchased were retired.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29"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The following tables set forth selected unaudited quarterly statements of operations data for the years ended June 30, 2019 and 2020.</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6"/>
              </w:rPr>
              <w:t>Quarter Ended</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4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March 31, 2019</w:t>
            </w:r>
          </w:p>
        </w:tc>
        <w:tc>
          <w:tcPr>
            <w:tcW w:w="14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Consolidated Statements of Operations Data</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7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100,504</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107,204</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139,552</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120,373</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7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64,562</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69,134</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99,807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80,279</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7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3,776</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7,027</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36,212</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9,209</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9,852</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5,704</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28,026</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10,241</w:t>
            </w:r>
          </w:p>
        </w:tc>
        <w:tc>
          <w:tcPr>
            <w:tcW w:w="0" w:type="dxa"/>
            <w:vAlign w:val="bottom"/>
          </w:tcPr>
          <w:p>
            <w:pPr>
              <w:spacing w:after="0"/>
              <w:rPr>
                <w:sz w:val="1"/>
                <w:szCs w:val="1"/>
                <w:color w:val="auto"/>
              </w:rPr>
            </w:pPr>
          </w:p>
        </w:tc>
      </w:tr>
      <w:tr>
        <w:trPr>
          <w:trHeight w:val="148"/>
        </w:trPr>
        <w:tc>
          <w:tcPr>
            <w:tcW w:w="4340" w:type="dxa"/>
            <w:vAlign w:val="bottom"/>
          </w:tcPr>
          <w:p>
            <w:pPr>
              <w:spacing w:after="0" w:line="149" w:lineRule="exact"/>
              <w:rPr>
                <w:sz w:val="20"/>
                <w:szCs w:val="20"/>
                <w:color w:val="auto"/>
              </w:rPr>
            </w:pPr>
            <w:r>
              <w:rPr>
                <w:rFonts w:ascii="Arial" w:cs="Arial" w:eastAsia="Arial" w:hAnsi="Arial"/>
                <w:sz w:val="14"/>
                <w:szCs w:val="14"/>
                <w:color w:val="auto"/>
              </w:rPr>
              <w:t>Net income per share: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7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0.53</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48"/>
        </w:trPr>
        <w:tc>
          <w:tcPr>
            <w:tcW w:w="434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7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0.51</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shares used in computing net income per share:</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52,865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52,842</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52,934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53,017</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55,487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55,081</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55,465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55,692</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6"/>
              </w:rPr>
              <w:t>Quarter Ended</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4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Consolidated Statements of Operations Data</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7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126,720</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132,374</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171,646</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130,589</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7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84,090</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86,950</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123,565</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84,714</w:t>
            </w:r>
          </w:p>
        </w:tc>
        <w:tc>
          <w:tcPr>
            <w:tcW w:w="0" w:type="dxa"/>
            <w:vAlign w:val="bottom"/>
          </w:tcPr>
          <w:p>
            <w:pPr>
              <w:spacing w:after="0"/>
              <w:rPr>
                <w:sz w:val="1"/>
                <w:szCs w:val="1"/>
                <w:color w:val="auto"/>
              </w:rPr>
            </w:pPr>
          </w:p>
        </w:tc>
      </w:tr>
      <w:tr>
        <w:trPr>
          <w:trHeight w:val="148"/>
        </w:trPr>
        <w:tc>
          <w:tcPr>
            <w:tcW w:w="434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7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6,114</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47,741</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13,906</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5,467</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40,132</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Net income per share: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7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8"/>
        </w:trPr>
        <w:tc>
          <w:tcPr>
            <w:tcW w:w="434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7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0.72</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shares used in computing net income per share:</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53,287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53,542</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53,629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53,731</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55,713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55,826</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55,953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jc w:val="right"/>
        <w:ind w:right="219"/>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43" w:lineRule="exact"/>
        <w:rPr>
          <w:sz w:val="20"/>
          <w:szCs w:val="20"/>
          <w:color w:val="auto"/>
        </w:rPr>
      </w:pPr>
    </w:p>
    <w:p>
      <w:pPr>
        <w:ind w:left="860" w:hanging="327"/>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Paylocity Corporation, an Illinois corporation</w:t>
      </w:r>
    </w:p>
    <w:p>
      <w:pPr>
        <w:spacing w:after="0" w:line="23" w:lineRule="exact"/>
        <w:rPr>
          <w:rFonts w:ascii="Arial" w:cs="Arial" w:eastAsia="Arial" w:hAnsi="Arial"/>
          <w:sz w:val="18"/>
          <w:szCs w:val="18"/>
          <w:color w:val="auto"/>
        </w:rPr>
      </w:pPr>
    </w:p>
    <w:p>
      <w:pPr>
        <w:ind w:left="860" w:hanging="327"/>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Benefit Administration Technologies, Inc., a Delaware corporation</w:t>
      </w:r>
    </w:p>
    <w:p>
      <w:pPr>
        <w:spacing w:after="0" w:line="9" w:lineRule="exact"/>
        <w:rPr>
          <w:rFonts w:ascii="Arial" w:cs="Arial" w:eastAsia="Arial" w:hAnsi="Arial"/>
          <w:sz w:val="18"/>
          <w:szCs w:val="18"/>
          <w:color w:val="auto"/>
        </w:rPr>
      </w:pPr>
    </w:p>
    <w:p>
      <w:pPr>
        <w:ind w:left="860" w:hanging="327"/>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VidGrid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Paylocity Holding Corporation:</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consent to the incorporation by reference in the registration statements (No. 333-194840, No. 333-201983, No. 333-209520, No. 333-216001, and No. 333-222959) on Form S-8 of Paylocity Holding Corporation of our report dated August 7, 2020, with respect to the consolidated balance sheets of Paylocity Holding Corporation and subsidiaries as of June 30, 2020 and 2019, the related consolidated statements of operations and comprehensive income, changes in stockholders’ equity, and cash flows for each of the years in the three-year period ended June 30, 2020, and the related notes (collectively, the consolidated financial statements), and the effectiveness of internal control over financial reporting as of June 30, 2020, which report appears in the June 30, 2020 annual report on Form 10-K of Paylocity Holding Corporation.</w:t>
      </w:r>
    </w:p>
    <w:p>
      <w:pPr>
        <w:spacing w:after="0" w:line="17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Our report refers to a change in method of accounting for leases as a result of the adoption of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a change in method of accounting for revenues and related costs as a result of the adoption of ASU No. 2014-09, </w:t>
      </w:r>
      <w:r>
        <w:rPr>
          <w:rFonts w:ascii="Arial" w:cs="Arial" w:eastAsia="Arial" w:hAnsi="Arial"/>
          <w:sz w:val="18"/>
          <w:szCs w:val="18"/>
          <w:i w:val="1"/>
          <w:iCs w:val="1"/>
          <w:color w:val="auto"/>
        </w:rPr>
        <w:t>Revenue from Contracts with Customers.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0" w:name="page101"/>
    <w:bookmarkEnd w:id="10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Steven R. Beauchamp, certify that:</w:t>
      </w:r>
    </w:p>
    <w:p>
      <w:pPr>
        <w:spacing w:after="0" w:line="198" w:lineRule="exact"/>
        <w:rPr>
          <w:sz w:val="20"/>
          <w:szCs w:val="20"/>
          <w:color w:val="auto"/>
        </w:rPr>
      </w:pPr>
    </w:p>
    <w:p>
      <w:pPr>
        <w:ind w:left="60" w:right="159" w:firstLine="638"/>
        <w:spacing w:after="0" w:line="261" w:lineRule="auto"/>
        <w:tabs>
          <w:tab w:leader="none" w:pos="10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2020;</w:t>
      </w:r>
    </w:p>
    <w:p>
      <w:pPr>
        <w:spacing w:after="0" w:line="157" w:lineRule="exact"/>
        <w:rPr>
          <w:rFonts w:ascii="Arial" w:cs="Arial" w:eastAsia="Arial" w:hAnsi="Arial"/>
          <w:sz w:val="18"/>
          <w:szCs w:val="18"/>
          <w:color w:val="auto"/>
        </w:rPr>
      </w:pPr>
    </w:p>
    <w:p>
      <w:pPr>
        <w:jc w:val="both"/>
        <w:ind w:left="60" w:right="79" w:firstLine="638"/>
        <w:spacing w:after="0" w:line="248" w:lineRule="auto"/>
        <w:tabs>
          <w:tab w:leader="none" w:pos="10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60" w:right="99" w:firstLine="638"/>
        <w:spacing w:after="0" w:line="248" w:lineRule="auto"/>
        <w:tabs>
          <w:tab w:leader="none" w:pos="10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60" w:right="359" w:firstLine="638"/>
        <w:spacing w:after="0" w:line="294" w:lineRule="auto"/>
        <w:tabs>
          <w:tab w:leader="none" w:pos="106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700" w:right="99" w:firstLine="646"/>
        <w:spacing w:after="0" w:line="243" w:lineRule="auto"/>
        <w:tabs>
          <w:tab w:leader="none" w:pos="169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159" w:firstLine="646"/>
        <w:spacing w:after="0" w:line="243" w:lineRule="auto"/>
        <w:tabs>
          <w:tab w:leader="none" w:pos="170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259" w:firstLine="646"/>
        <w:spacing w:after="0" w:line="248" w:lineRule="auto"/>
        <w:tabs>
          <w:tab w:leader="none" w:pos="1698"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79" w:firstLine="646"/>
        <w:spacing w:after="0" w:line="270" w:lineRule="auto"/>
        <w:tabs>
          <w:tab w:leader="none" w:pos="1708"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2020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60" w:right="99" w:firstLine="638"/>
        <w:spacing w:after="0" w:line="248" w:lineRule="auto"/>
        <w:tabs>
          <w:tab w:leader="none" w:pos="10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239" w:firstLine="646"/>
        <w:spacing w:after="0" w:line="248" w:lineRule="auto"/>
        <w:tabs>
          <w:tab w:leader="none" w:pos="168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539" w:firstLine="646"/>
        <w:spacing w:after="0" w:line="261" w:lineRule="auto"/>
        <w:tabs>
          <w:tab w:leader="none" w:pos="169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20" w:type="dxa"/>
            <w:vAlign w:val="bottom"/>
          </w:tcPr>
          <w:p>
            <w:pPr>
              <w:ind w:left="20"/>
              <w:spacing w:after="0"/>
              <w:rPr>
                <w:sz w:val="20"/>
                <w:szCs w:val="20"/>
                <w:color w:val="auto"/>
              </w:rPr>
            </w:pPr>
            <w:r>
              <w:rPr>
                <w:rFonts w:ascii="Arial" w:cs="Arial" w:eastAsia="Arial" w:hAnsi="Arial"/>
                <w:sz w:val="18"/>
                <w:szCs w:val="18"/>
                <w:color w:val="auto"/>
              </w:rPr>
              <w:t>Date: August 7, 2020</w:t>
            </w:r>
          </w:p>
        </w:tc>
        <w:tc>
          <w:tcPr>
            <w:tcW w:w="39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 Steven R. Beauchamp</w:t>
            </w:r>
          </w:p>
        </w:tc>
      </w:tr>
      <w:tr>
        <w:trPr>
          <w:trHeight w:val="178"/>
        </w:trPr>
        <w:tc>
          <w:tcPr>
            <w:tcW w:w="5020" w:type="dxa"/>
            <w:vAlign w:val="bottom"/>
          </w:tcPr>
          <w:p>
            <w:pPr>
              <w:jc w:val="center"/>
              <w:ind w:left="4230"/>
              <w:spacing w:after="0" w:line="177" w:lineRule="exact"/>
              <w:rPr>
                <w:sz w:val="20"/>
                <w:szCs w:val="20"/>
                <w:color w:val="auto"/>
              </w:rPr>
            </w:pPr>
            <w:r>
              <w:rPr>
                <w:rFonts w:ascii="Arial" w:cs="Arial" w:eastAsia="Arial" w:hAnsi="Arial"/>
                <w:sz w:val="18"/>
                <w:szCs w:val="18"/>
                <w:b w:val="1"/>
                <w:bCs w:val="1"/>
                <w:color w:val="auto"/>
                <w:w w:val="90"/>
              </w:rPr>
              <w:t>Name:</w:t>
            </w:r>
          </w:p>
        </w:tc>
        <w:tc>
          <w:tcPr>
            <w:tcW w:w="38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8"/>
              </w:rPr>
              <w:t>Steven R. Beauchamp</w:t>
            </w:r>
          </w:p>
        </w:tc>
        <w:tc>
          <w:tcPr>
            <w:tcW w:w="20" w:type="dxa"/>
            <w:vAlign w:val="bottom"/>
          </w:tcPr>
          <w:p>
            <w:pPr>
              <w:spacing w:after="0"/>
              <w:rPr>
                <w:sz w:val="15"/>
                <w:szCs w:val="15"/>
                <w:color w:val="auto"/>
              </w:rPr>
            </w:pPr>
          </w:p>
        </w:tc>
      </w:tr>
      <w:tr>
        <w:trPr>
          <w:trHeight w:val="203"/>
        </w:trPr>
        <w:tc>
          <w:tcPr>
            <w:tcW w:w="5020" w:type="dxa"/>
            <w:vAlign w:val="bottom"/>
          </w:tcPr>
          <w:p>
            <w:pPr>
              <w:jc w:val="center"/>
              <w:ind w:left="4230"/>
              <w:spacing w:after="0" w:line="202" w:lineRule="exact"/>
              <w:rPr>
                <w:sz w:val="20"/>
                <w:szCs w:val="20"/>
                <w:color w:val="auto"/>
              </w:rPr>
            </w:pPr>
            <w:r>
              <w:rPr>
                <w:rFonts w:ascii="Arial" w:cs="Arial" w:eastAsia="Arial" w:hAnsi="Arial"/>
                <w:sz w:val="18"/>
                <w:szCs w:val="18"/>
                <w:b w:val="1"/>
                <w:bCs w:val="1"/>
                <w:color w:val="auto"/>
                <w:w w:val="97"/>
              </w:rPr>
              <w:t>Title:</w:t>
            </w:r>
          </w:p>
        </w:tc>
        <w:tc>
          <w:tcPr>
            <w:tcW w:w="39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34"/>
        </w:trPr>
        <w:tc>
          <w:tcPr>
            <w:tcW w:w="5020" w:type="dxa"/>
            <w:vAlign w:val="bottom"/>
          </w:tcPr>
          <w:p>
            <w:pPr>
              <w:spacing w:after="0"/>
              <w:rPr>
                <w:sz w:val="20"/>
                <w:szCs w:val="20"/>
                <w:color w:val="auto"/>
              </w:rPr>
            </w:pPr>
          </w:p>
        </w:tc>
        <w:tc>
          <w:tcPr>
            <w:tcW w:w="39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Officer) and Director</w:t>
            </w:r>
          </w:p>
        </w:tc>
      </w:tr>
      <w:tr>
        <w:trPr>
          <w:trHeight w:val="749"/>
        </w:trPr>
        <w:tc>
          <w:tcPr>
            <w:tcW w:w="50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1" w:name="page102"/>
    <w:bookmarkEnd w:id="10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Toby J. Williams, certify that:</w:t>
      </w:r>
    </w:p>
    <w:p>
      <w:pPr>
        <w:spacing w:after="0" w:line="198" w:lineRule="exact"/>
        <w:rPr>
          <w:sz w:val="20"/>
          <w:szCs w:val="20"/>
          <w:color w:val="auto"/>
        </w:rPr>
      </w:pPr>
    </w:p>
    <w:p>
      <w:pPr>
        <w:ind w:left="60" w:right="159" w:firstLine="638"/>
        <w:spacing w:after="0" w:line="261" w:lineRule="auto"/>
        <w:tabs>
          <w:tab w:leader="none" w:pos="10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2020;</w:t>
      </w:r>
    </w:p>
    <w:p>
      <w:pPr>
        <w:spacing w:after="0" w:line="157" w:lineRule="exact"/>
        <w:rPr>
          <w:rFonts w:ascii="Arial" w:cs="Arial" w:eastAsia="Arial" w:hAnsi="Arial"/>
          <w:sz w:val="18"/>
          <w:szCs w:val="18"/>
          <w:color w:val="auto"/>
        </w:rPr>
      </w:pPr>
    </w:p>
    <w:p>
      <w:pPr>
        <w:jc w:val="both"/>
        <w:ind w:left="60" w:right="79" w:firstLine="638"/>
        <w:spacing w:after="0" w:line="248" w:lineRule="auto"/>
        <w:tabs>
          <w:tab w:leader="none" w:pos="10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60" w:right="99" w:firstLine="638"/>
        <w:spacing w:after="0" w:line="248" w:lineRule="auto"/>
        <w:tabs>
          <w:tab w:leader="none" w:pos="10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60" w:right="359" w:firstLine="638"/>
        <w:spacing w:after="0" w:line="294" w:lineRule="auto"/>
        <w:tabs>
          <w:tab w:leader="none" w:pos="10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700" w:right="99" w:firstLine="646"/>
        <w:spacing w:after="0" w:line="243" w:lineRule="auto"/>
        <w:tabs>
          <w:tab w:leader="none" w:pos="16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159" w:firstLine="646"/>
        <w:spacing w:after="0" w:line="243" w:lineRule="auto"/>
        <w:tabs>
          <w:tab w:leader="none" w:pos="17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259" w:firstLine="646"/>
        <w:spacing w:after="0" w:line="248" w:lineRule="auto"/>
        <w:tabs>
          <w:tab w:leader="none" w:pos="16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79" w:firstLine="646"/>
        <w:spacing w:after="0" w:line="270" w:lineRule="auto"/>
        <w:tabs>
          <w:tab w:leader="none" w:pos="1708"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2020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60" w:right="99" w:firstLine="638"/>
        <w:spacing w:after="0" w:line="248" w:lineRule="auto"/>
        <w:tabs>
          <w:tab w:leader="none" w:pos="10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239" w:firstLine="646"/>
        <w:spacing w:after="0" w:line="248" w:lineRule="auto"/>
        <w:tabs>
          <w:tab w:leader="none" w:pos="168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539" w:firstLine="646"/>
        <w:spacing w:after="0" w:line="261" w:lineRule="auto"/>
        <w:tabs>
          <w:tab w:leader="none" w:pos="16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40" w:type="dxa"/>
            <w:vAlign w:val="bottom"/>
          </w:tcPr>
          <w:p>
            <w:pPr>
              <w:ind w:left="20"/>
              <w:spacing w:after="0"/>
              <w:rPr>
                <w:sz w:val="20"/>
                <w:szCs w:val="20"/>
                <w:color w:val="auto"/>
              </w:rPr>
            </w:pPr>
            <w:r>
              <w:rPr>
                <w:rFonts w:ascii="Arial" w:cs="Arial" w:eastAsia="Arial" w:hAnsi="Arial"/>
                <w:sz w:val="18"/>
                <w:szCs w:val="18"/>
                <w:color w:val="auto"/>
              </w:rPr>
              <w:t>Date: August 7, 2020</w:t>
            </w:r>
          </w:p>
        </w:tc>
        <w:tc>
          <w:tcPr>
            <w:tcW w:w="3880" w:type="dxa"/>
            <w:vAlign w:val="bottom"/>
            <w:gridSpan w:val="2"/>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78"/>
        </w:trPr>
        <w:tc>
          <w:tcPr>
            <w:tcW w:w="5040" w:type="dxa"/>
            <w:vAlign w:val="bottom"/>
          </w:tcPr>
          <w:p>
            <w:pPr>
              <w:jc w:val="center"/>
              <w:ind w:left="4370"/>
              <w:spacing w:after="0" w:line="177" w:lineRule="exact"/>
              <w:rPr>
                <w:sz w:val="20"/>
                <w:szCs w:val="20"/>
                <w:color w:val="auto"/>
              </w:rPr>
            </w:pPr>
            <w:r>
              <w:rPr>
                <w:rFonts w:ascii="Arial" w:cs="Arial" w:eastAsia="Arial" w:hAnsi="Arial"/>
                <w:sz w:val="18"/>
                <w:szCs w:val="18"/>
                <w:b w:val="1"/>
                <w:bCs w:val="1"/>
                <w:color w:val="auto"/>
                <w:w w:val="90"/>
              </w:rPr>
              <w:t>Name:</w:t>
            </w:r>
          </w:p>
        </w:tc>
        <w:tc>
          <w:tcPr>
            <w:tcW w:w="38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2"/>
              </w:rPr>
              <w:t>Toby J. Williams</w:t>
            </w:r>
          </w:p>
        </w:tc>
        <w:tc>
          <w:tcPr>
            <w:tcW w:w="20" w:type="dxa"/>
            <w:vAlign w:val="bottom"/>
          </w:tcPr>
          <w:p>
            <w:pPr>
              <w:spacing w:after="0"/>
              <w:rPr>
                <w:sz w:val="15"/>
                <w:szCs w:val="15"/>
                <w:color w:val="auto"/>
              </w:rPr>
            </w:pPr>
          </w:p>
        </w:tc>
      </w:tr>
      <w:tr>
        <w:trPr>
          <w:trHeight w:val="203"/>
        </w:trPr>
        <w:tc>
          <w:tcPr>
            <w:tcW w:w="5040" w:type="dxa"/>
            <w:vAlign w:val="bottom"/>
          </w:tcPr>
          <w:p>
            <w:pPr>
              <w:jc w:val="center"/>
              <w:ind w:left="4370"/>
              <w:spacing w:after="0" w:line="202" w:lineRule="exact"/>
              <w:rPr>
                <w:sz w:val="20"/>
                <w:szCs w:val="20"/>
                <w:color w:val="auto"/>
              </w:rPr>
            </w:pPr>
            <w:r>
              <w:rPr>
                <w:rFonts w:ascii="Arial" w:cs="Arial" w:eastAsia="Arial" w:hAnsi="Arial"/>
                <w:sz w:val="18"/>
                <w:szCs w:val="18"/>
                <w:b w:val="1"/>
                <w:bCs w:val="1"/>
                <w:color w:val="auto"/>
                <w:w w:val="97"/>
              </w:rPr>
              <w:t>Title:</w:t>
            </w:r>
          </w:p>
        </w:tc>
        <w:tc>
          <w:tcPr>
            <w:tcW w:w="3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3"/>
              </w:rPr>
              <w:t>Chief Financial Officer (Principal Financial</w:t>
            </w:r>
          </w:p>
        </w:tc>
      </w:tr>
      <w:tr>
        <w:trPr>
          <w:trHeight w:val="234"/>
        </w:trPr>
        <w:tc>
          <w:tcPr>
            <w:tcW w:w="5040" w:type="dxa"/>
            <w:vAlign w:val="bottom"/>
          </w:tcPr>
          <w:p>
            <w:pPr>
              <w:spacing w:after="0"/>
              <w:rPr>
                <w:sz w:val="20"/>
                <w:szCs w:val="20"/>
                <w:color w:val="auto"/>
              </w:rPr>
            </w:pPr>
          </w:p>
        </w:tc>
        <w:tc>
          <w:tcPr>
            <w:tcW w:w="3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Officer)</w:t>
            </w:r>
          </w:p>
        </w:tc>
      </w:tr>
      <w:tr>
        <w:trPr>
          <w:trHeight w:val="749"/>
        </w:trPr>
        <w:tc>
          <w:tcPr>
            <w:tcW w:w="50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2" w:name="page103"/>
    <w:bookmarkEnd w:id="10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374" w:lineRule="exact"/>
        <w:rPr>
          <w:sz w:val="20"/>
          <w:szCs w:val="20"/>
          <w:color w:val="auto"/>
        </w:rPr>
      </w:pPr>
    </w:p>
    <w:p>
      <w:pPr>
        <w:ind w:left="60" w:right="159" w:firstLine="441"/>
        <w:spacing w:after="0"/>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2020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600" w:type="dxa"/>
            <w:vAlign w:val="bottom"/>
            <w:gridSpan w:val="2"/>
          </w:tcPr>
          <w:p>
            <w:pPr>
              <w:spacing w:after="0"/>
              <w:rPr>
                <w:sz w:val="20"/>
                <w:szCs w:val="20"/>
                <w:color w:val="auto"/>
              </w:rPr>
            </w:pPr>
            <w:r>
              <w:rPr>
                <w:rFonts w:ascii="Arial" w:cs="Arial" w:eastAsia="Arial" w:hAnsi="Arial"/>
                <w:sz w:val="18"/>
                <w:szCs w:val="18"/>
                <w:color w:val="auto"/>
              </w:rPr>
              <w:t>Date: August 7, 2020</w:t>
            </w:r>
          </w:p>
        </w:tc>
        <w:tc>
          <w:tcPr>
            <w:tcW w:w="3280" w:type="dxa"/>
            <w:vAlign w:val="bottom"/>
          </w:tcPr>
          <w:p>
            <w:pPr>
              <w:jc w:val="center"/>
              <w:ind w:right="390"/>
              <w:spacing w:after="0"/>
              <w:rPr>
                <w:sz w:val="20"/>
                <w:szCs w:val="20"/>
                <w:color w:val="auto"/>
              </w:rPr>
            </w:pPr>
            <w:r>
              <w:rPr>
                <w:rFonts w:ascii="Arial" w:cs="Arial" w:eastAsia="Arial" w:hAnsi="Arial"/>
                <w:sz w:val="18"/>
                <w:szCs w:val="18"/>
                <w:color w:val="auto"/>
                <w:w w:val="88"/>
              </w:rPr>
              <w:t>/s/ Steven R. Beauchamp</w:t>
            </w:r>
          </w:p>
        </w:tc>
      </w:tr>
      <w:tr>
        <w:trPr>
          <w:trHeight w:val="198"/>
        </w:trPr>
        <w:tc>
          <w:tcPr>
            <w:tcW w:w="5100" w:type="dxa"/>
            <w:vAlign w:val="bottom"/>
          </w:tcPr>
          <w:p>
            <w:pPr>
              <w:ind w:left="4600"/>
              <w:spacing w:after="0" w:line="198" w:lineRule="exact"/>
              <w:rPr>
                <w:sz w:val="20"/>
                <w:szCs w:val="20"/>
                <w:color w:val="auto"/>
              </w:rPr>
            </w:pPr>
            <w:r>
              <w:rPr>
                <w:rFonts w:ascii="Arial" w:cs="Arial" w:eastAsia="Arial" w:hAnsi="Arial"/>
                <w:sz w:val="18"/>
                <w:szCs w:val="18"/>
                <w:b w:val="1"/>
                <w:bCs w:val="1"/>
                <w:color w:val="auto"/>
                <w:w w:val="87"/>
              </w:rPr>
              <w:t>Name:</w:t>
            </w:r>
          </w:p>
        </w:tc>
        <w:tc>
          <w:tcPr>
            <w:tcW w:w="50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390"/>
              <w:spacing w:after="0" w:line="198" w:lineRule="exact"/>
              <w:rPr>
                <w:sz w:val="20"/>
                <w:szCs w:val="20"/>
                <w:color w:val="auto"/>
              </w:rPr>
            </w:pPr>
            <w:r>
              <w:rPr>
                <w:rFonts w:ascii="Arial" w:cs="Arial" w:eastAsia="Arial" w:hAnsi="Arial"/>
                <w:sz w:val="18"/>
                <w:szCs w:val="18"/>
                <w:b w:val="1"/>
                <w:bCs w:val="1"/>
                <w:color w:val="auto"/>
                <w:w w:val="88"/>
              </w:rPr>
              <w:t>Steven R. Beauchamp</w:t>
            </w:r>
          </w:p>
        </w:tc>
      </w:tr>
    </w:tbl>
    <w:p>
      <w:pPr>
        <w:ind w:left="4760"/>
        <w:spacing w:after="0"/>
        <w:tabs>
          <w:tab w:leader="none" w:pos="53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Chief Executive Officer (Principal Executive</w:t>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Officer) and Director</w:t>
      </w:r>
    </w:p>
    <w:p>
      <w:pPr>
        <w:spacing w:after="0" w:line="182"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3" w:name="page104"/>
    <w:bookmarkEnd w:id="10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1"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374" w:lineRule="exact"/>
        <w:rPr>
          <w:sz w:val="20"/>
          <w:szCs w:val="20"/>
          <w:color w:val="auto"/>
        </w:rPr>
      </w:pPr>
    </w:p>
    <w:p>
      <w:pPr>
        <w:ind w:left="60" w:right="59" w:firstLine="441"/>
        <w:spacing w:after="0"/>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2020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20" w:type="dxa"/>
            <w:vAlign w:val="bottom"/>
            <w:gridSpan w:val="2"/>
          </w:tcPr>
          <w:p>
            <w:pPr>
              <w:spacing w:after="0"/>
              <w:rPr>
                <w:sz w:val="20"/>
                <w:szCs w:val="20"/>
                <w:color w:val="auto"/>
              </w:rPr>
            </w:pPr>
            <w:r>
              <w:rPr>
                <w:rFonts w:ascii="Arial" w:cs="Arial" w:eastAsia="Arial" w:hAnsi="Arial"/>
                <w:sz w:val="18"/>
                <w:szCs w:val="18"/>
                <w:color w:val="auto"/>
              </w:rPr>
              <w:t>Date: August 7, 2020</w:t>
            </w:r>
          </w:p>
        </w:tc>
        <w:tc>
          <w:tcPr>
            <w:tcW w:w="3660" w:type="dxa"/>
            <w:vAlign w:val="bottom"/>
          </w:tcPr>
          <w:p>
            <w:pPr>
              <w:jc w:val="center"/>
              <w:ind w:right="10"/>
              <w:spacing w:after="0"/>
              <w:rPr>
                <w:sz w:val="20"/>
                <w:szCs w:val="20"/>
                <w:color w:val="auto"/>
              </w:rPr>
            </w:pPr>
            <w:r>
              <w:rPr>
                <w:rFonts w:ascii="Arial" w:cs="Arial" w:eastAsia="Arial" w:hAnsi="Arial"/>
                <w:sz w:val="18"/>
                <w:szCs w:val="18"/>
                <w:color w:val="auto"/>
                <w:w w:val="92"/>
              </w:rPr>
              <w:t>/s/ Toby J. Williams</w:t>
            </w:r>
          </w:p>
        </w:tc>
      </w:tr>
      <w:tr>
        <w:trPr>
          <w:trHeight w:val="178"/>
        </w:trPr>
        <w:tc>
          <w:tcPr>
            <w:tcW w:w="5100" w:type="dxa"/>
            <w:vAlign w:val="bottom"/>
          </w:tcPr>
          <w:p>
            <w:pPr>
              <w:ind w:left="4600"/>
              <w:spacing w:after="0" w:line="177" w:lineRule="exact"/>
              <w:rPr>
                <w:sz w:val="20"/>
                <w:szCs w:val="20"/>
                <w:color w:val="auto"/>
              </w:rPr>
            </w:pPr>
            <w:r>
              <w:rPr>
                <w:rFonts w:ascii="Arial" w:cs="Arial" w:eastAsia="Arial" w:hAnsi="Arial"/>
                <w:sz w:val="18"/>
                <w:szCs w:val="18"/>
                <w:b w:val="1"/>
                <w:bCs w:val="1"/>
                <w:color w:val="auto"/>
                <w:w w:val="87"/>
              </w:rPr>
              <w:t>Name:</w:t>
            </w:r>
          </w:p>
        </w:tc>
        <w:tc>
          <w:tcPr>
            <w:tcW w:w="12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b w:val="1"/>
                <w:bCs w:val="1"/>
                <w:color w:val="auto"/>
                <w:w w:val="92"/>
              </w:rPr>
              <w:t>Toby J. Williams</w:t>
            </w:r>
          </w:p>
        </w:tc>
      </w:tr>
      <w:tr>
        <w:trPr>
          <w:trHeight w:val="203"/>
        </w:trPr>
        <w:tc>
          <w:tcPr>
            <w:tcW w:w="5220" w:type="dxa"/>
            <w:vAlign w:val="bottom"/>
            <w:gridSpan w:val="2"/>
          </w:tcPr>
          <w:p>
            <w:pPr>
              <w:ind w:left="4700"/>
              <w:spacing w:after="0" w:line="202" w:lineRule="exact"/>
              <w:rPr>
                <w:sz w:val="20"/>
                <w:szCs w:val="20"/>
                <w:color w:val="auto"/>
              </w:rPr>
            </w:pPr>
            <w:r>
              <w:rPr>
                <w:rFonts w:ascii="Arial" w:cs="Arial" w:eastAsia="Arial" w:hAnsi="Arial"/>
                <w:sz w:val="18"/>
                <w:szCs w:val="18"/>
                <w:b w:val="1"/>
                <w:bCs w:val="1"/>
                <w:color w:val="auto"/>
              </w:rPr>
              <w:t>Title:</w:t>
            </w:r>
          </w:p>
        </w:tc>
        <w:tc>
          <w:tcPr>
            <w:tcW w:w="36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3"/>
              </w:rPr>
              <w:t>Chief Financial Officer (Principal Financial</w:t>
            </w:r>
          </w:p>
        </w:tc>
      </w:tr>
      <w:tr>
        <w:trPr>
          <w:trHeight w:val="234"/>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Officer)</w:t>
            </w:r>
          </w:p>
        </w:tc>
      </w:tr>
    </w:tbl>
    <w:p>
      <w:pPr>
        <w:spacing w:after="0" w:line="175"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lowerRoman"/>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lowerLetter"/>
      <w:start w:val="1"/>
    </w:lvl>
  </w:abstractNum>
  <w:abstractNum w:abstractNumId="28">
    <w:nsid w:val="38437FDB"/>
    <w:multiLevelType w:val="hybridMultilevel"/>
    <w:lvl w:ilvl="0">
      <w:lvlJc w:val="left"/>
      <w:lvlText w:val="(%1)"/>
      <w:numFmt w:val="lowerLetter"/>
      <w:start w:val="2"/>
    </w:lvl>
  </w:abstractNum>
  <w:abstractNum w:abstractNumId="29">
    <w:nsid w:val="7644A45C"/>
    <w:multiLevelType w:val="hybridMultilevel"/>
    <w:lvl w:ilvl="0">
      <w:lvlJc w:val="left"/>
      <w:lvlText w:val="(%1)"/>
      <w:numFmt w:val="lowerLetter"/>
      <w:start w:val="3"/>
    </w:lvl>
  </w:abstractNum>
  <w:abstractNum w:abstractNumId="30">
    <w:nsid w:val="32FFF902"/>
    <w:multiLevelType w:val="hybridMultilevel"/>
    <w:lvl w:ilvl="0">
      <w:lvlJc w:val="left"/>
      <w:lvlText w:val="(%1)"/>
      <w:numFmt w:val="lowerLetter"/>
      <w:start w:val="4"/>
    </w:lvl>
  </w:abstractNum>
  <w:abstractNum w:abstractNumId="31">
    <w:nsid w:val="684A481A"/>
    <w:multiLevelType w:val="hybridMultilevel"/>
    <w:lvl w:ilvl="0">
      <w:lvlJc w:val="left"/>
      <w:lvlText w:val="(%1)"/>
      <w:numFmt w:val="lowerLetter"/>
      <w:start w:val="5"/>
    </w:lvl>
  </w:abstractNum>
  <w:abstractNum w:abstractNumId="32">
    <w:nsid w:val="579478FE"/>
    <w:multiLevelType w:val="hybridMultilevel"/>
    <w:lvl w:ilvl="0">
      <w:lvlJc w:val="left"/>
      <w:lvlText w:val="(%1)"/>
      <w:numFmt w:val="lowerLetter"/>
      <w:start w:val="6"/>
    </w:lvl>
  </w:abstractNum>
  <w:abstractNum w:abstractNumId="33">
    <w:nsid w:val="749ABB43"/>
    <w:multiLevelType w:val="hybridMultilevel"/>
    <w:lvl w:ilvl="0">
      <w:lvlJc w:val="left"/>
      <w:lvlText w:val="(%1)"/>
      <w:numFmt w:val="lowerLetter"/>
      <w:start w:val="7"/>
    </w:lvl>
  </w:abstractNum>
  <w:abstractNum w:abstractNumId="34">
    <w:nsid w:val="3DC240FB"/>
    <w:multiLevelType w:val="hybridMultilevel"/>
    <w:lvl w:ilvl="0">
      <w:lvlJc w:val="left"/>
      <w:lvlText w:val="(%1)"/>
      <w:numFmt w:val="lowerLetter"/>
      <w:start w:val="8"/>
    </w:lvl>
  </w:abstractNum>
  <w:abstractNum w:abstractNumId="35">
    <w:nsid w:val="1BA026FA"/>
    <w:multiLevelType w:val="hybridMultilevel"/>
    <w:lvl w:ilvl="0">
      <w:lvlJc w:val="left"/>
      <w:lvlText w:val="(%1)"/>
      <w:numFmt w:val="lowerRoman"/>
      <w:start w:val="1"/>
    </w:lvl>
  </w:abstractNum>
  <w:abstractNum w:abstractNumId="36">
    <w:nsid w:val="79A1DEAA"/>
    <w:multiLevelType w:val="hybridMultilevel"/>
    <w:lvl w:ilvl="0">
      <w:lvlJc w:val="left"/>
      <w:lvlText w:val="(%1)"/>
      <w:numFmt w:val="lowerLetter"/>
      <w:start w:val="10"/>
    </w:lvl>
  </w:abstractNum>
  <w:abstractNum w:abstractNumId="37">
    <w:nsid w:val="75C6C33A"/>
    <w:multiLevelType w:val="hybridMultilevel"/>
    <w:lvl w:ilvl="0">
      <w:lvlJc w:val="left"/>
      <w:lvlText w:val="(%1)"/>
      <w:numFmt w:val="lowerLetter"/>
      <w:start w:val="11"/>
    </w:lvl>
  </w:abstractNum>
  <w:abstractNum w:abstractNumId="38">
    <w:nsid w:val="12E685FB"/>
    <w:multiLevelType w:val="hybridMultilevel"/>
    <w:lvl w:ilvl="0">
      <w:lvlJc w:val="left"/>
      <w:lvlText w:val="(%1)"/>
      <w:numFmt w:val="lowerLetter"/>
      <w:start w:val="12"/>
    </w:lvl>
  </w:abstractNum>
  <w:abstractNum w:abstractNumId="39">
    <w:nsid w:val="70C6A529"/>
    <w:multiLevelType w:val="hybridMultilevel"/>
    <w:lvl w:ilvl="0">
      <w:lvlJc w:val="left"/>
      <w:lvlText w:val="(%1)"/>
      <w:numFmt w:val="lowerLetter"/>
      <w:start w:val="13"/>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lowerLetter"/>
      <w:start w:val="14"/>
    </w:lvl>
  </w:abstractNum>
  <w:abstractNum w:abstractNumId="43">
    <w:nsid w:val="23F9C13C"/>
    <w:multiLevelType w:val="hybridMultilevel"/>
    <w:lvl w:ilvl="0">
      <w:lvlJc w:val="left"/>
      <w:lvlText w:val="(%1)"/>
      <w:numFmt w:val="lowerLetter"/>
      <w:start w:val="15"/>
    </w:lvl>
  </w:abstractNum>
  <w:abstractNum w:abstractNumId="44">
    <w:nsid w:val="649BB77C"/>
    <w:multiLevelType w:val="hybridMultilevel"/>
    <w:lvl w:ilvl="0">
      <w:lvlJc w:val="left"/>
      <w:lvlText w:val="(%1)"/>
      <w:numFmt w:val="lowerLetter"/>
      <w:start w:val="16"/>
    </w:lvl>
  </w:abstractNum>
  <w:abstractNum w:abstractNumId="45">
    <w:nsid w:val="275AC794"/>
    <w:multiLevelType w:val="hybridMultilevel"/>
    <w:lvl w:ilvl="0">
      <w:lvlJc w:val="left"/>
      <w:lvlText w:val="(%1)"/>
      <w:numFmt w:val="lowerLetter"/>
      <w:start w:val="17"/>
    </w:lvl>
  </w:abstractNum>
  <w:abstractNum w:abstractNumId="46">
    <w:nsid w:val="39386575"/>
    <w:multiLevelType w:val="hybridMultilevel"/>
    <w:lvl w:ilvl="0">
      <w:lvlJc w:val="left"/>
      <w:lvlText w:val="(%1)"/>
      <w:numFmt w:val="lowerLetter"/>
      <w:start w:val="18"/>
    </w:lvl>
  </w:abstractNum>
  <w:abstractNum w:abstractNumId="47">
    <w:nsid w:val="1CF10FD8"/>
    <w:multiLevelType w:val="hybridMultilevel"/>
    <w:lvl w:ilvl="0">
      <w:lvlJc w:val="left"/>
      <w:lvlText w:val="(%1)"/>
      <w:numFmt w:val="lowerLetter"/>
      <w:start w:val="19"/>
    </w:lvl>
  </w:abstractNum>
  <w:abstractNum w:abstractNumId="48">
    <w:nsid w:val="180115BE"/>
    <w:multiLevelType w:val="hybridMultilevel"/>
    <w:lvl w:ilvl="0">
      <w:lvlJc w:val="left"/>
      <w:lvlText w:val="(%1)"/>
      <w:numFmt w:val="lowerLetter"/>
      <w:start w:val="20"/>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2"/>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3"/>
    </w:lvl>
    <w:lvl w:ilvl="1">
      <w:lvlJc w:val="left"/>
      <w:lvlText w:val="(%2)"/>
      <w:numFmt w:val="lowerLetter"/>
      <w:start w:val="1"/>
    </w:lvl>
  </w:abstractNum>
  <w:abstractNum w:abstractNumId="56">
    <w:nsid w:val="3F6AB60F"/>
    <w:multiLevelType w:val="hybridMultilevel"/>
    <w:lvl w:ilvl="0">
      <w:lvlJc w:val="left"/>
      <w:lvlText w:val="(%1)"/>
      <w:numFmt w:val="lowerLetter"/>
      <w:start w:val="2"/>
    </w:lvl>
  </w:abstractNum>
  <w:abstractNum w:abstractNumId="57">
    <w:nsid w:val="61574095"/>
    <w:multiLevelType w:val="hybridMultilevel"/>
    <w:lvl w:ilvl="0">
      <w:lvlJc w:val="left"/>
      <w:lvlText w:val="(%1)"/>
      <w:numFmt w:val="lowerLetter"/>
      <w:start w:val="3"/>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lowerLetter"/>
      <w:start w:val="2"/>
    </w:lvl>
  </w:abstractNum>
  <w:abstractNum w:abstractNumId="60">
    <w:nsid w:val="579BE4F1"/>
    <w:multiLevelType w:val="hybridMultilevel"/>
    <w:lvl w:ilvl="0">
      <w:lvlJc w:val="left"/>
      <w:lvlText w:val="(%1)"/>
      <w:numFmt w:val="lowerLetter"/>
      <w:start w:val="3"/>
    </w:lvl>
  </w:abstractNum>
  <w:abstractNum w:abstractNumId="61">
    <w:nsid w:val="310C50B3"/>
    <w:multiLevelType w:val="hybridMultilevel"/>
    <w:lvl w:ilvl="0">
      <w:lvlJc w:val="left"/>
      <w:lvlText w:val="(%1)"/>
      <w:numFmt w:val="decimal"/>
      <w:start w:val="16"/>
    </w:lvl>
    <w:lvl w:ilvl="1">
      <w:lvlJc w:val="left"/>
      <w:lvlText w:val="(%2)"/>
      <w:numFmt w:val="lowerLetter"/>
      <w:start w:val="1"/>
    </w:lvl>
  </w:abstractNum>
  <w:abstractNum w:abstractNumId="62">
    <w:nsid w:val="5FF87E05"/>
    <w:multiLevelType w:val="hybridMultilevel"/>
    <w:lvl w:ilvl="0">
      <w:lvlJc w:val="left"/>
      <w:lvlText w:val="(%1)"/>
      <w:numFmt w:val="lowerLetter"/>
      <w:start w:val="2"/>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5"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78" Type="http://schemas.openxmlformats.org/officeDocument/2006/relationships/hyperlink" Target="http://www.sec.gov/Archives/edgar/data/1591698/000104746914000464/a2218017zex-2_1.htm" TargetMode="External"/><Relationship Id="rId79" Type="http://schemas.openxmlformats.org/officeDocument/2006/relationships/hyperlink" Target="http://www.sec.gov/Archives/edgar/data/1591698/000104746914000931/a2218171zex-3_2.htm" TargetMode="External"/><Relationship Id="rId80" Type="http://schemas.openxmlformats.org/officeDocument/2006/relationships/hyperlink" Target="http://www.sec.gov/Archives/edgar/data/1591698/000155837017006561/pcty-20170630ex321ac616a.htm" TargetMode="External"/><Relationship Id="rId81" Type="http://schemas.openxmlformats.org/officeDocument/2006/relationships/hyperlink" Target="http://www.sec.gov/Archives/edgar/data/1591698/000104746914000464/a2218017zex-4_1.htm" TargetMode="External"/><Relationship Id="rId82" Type="http://schemas.openxmlformats.org/officeDocument/2006/relationships/hyperlink" Target="http://www.sec.gov/Archives/edgar/data/1591698/000104746914000464/a2218017zex-10_2.htm" TargetMode="External"/><Relationship Id="rId83" Type="http://schemas.openxmlformats.org/officeDocument/2006/relationships/hyperlink" Target="http://www.sec.gov/Archives/edgar/data/1591698/000104746914000464/a2218017zex-10_3.htm" TargetMode="External"/><Relationship Id="rId84" Type="http://schemas.openxmlformats.org/officeDocument/2006/relationships/hyperlink" Target="http://www.sec.gov/Archives/edgar/data/1591698/000104746914000464/a2218017zex-10_31.htm" TargetMode="External"/><Relationship Id="rId85" Type="http://schemas.openxmlformats.org/officeDocument/2006/relationships/hyperlink" Target="http://www.sec.gov/Archives/edgar/data/1591698/000104746914000464/a2218017zex-10_32.htm" TargetMode="External"/><Relationship Id="rId86" Type="http://schemas.openxmlformats.org/officeDocument/2006/relationships/hyperlink" Target="http://www.sec.gov/Archives/edgar/data/1591698/000104746914000931/a2218171zex-10_4.htm" TargetMode="External"/><Relationship Id="rId87" Type="http://schemas.openxmlformats.org/officeDocument/2006/relationships/hyperlink" Target="http://www.sec.gov/Archives/edgar/data/1591698/000104746914000931/a2218171zex-10_5.htm" TargetMode="External"/><Relationship Id="rId88" Type="http://schemas.openxmlformats.org/officeDocument/2006/relationships/hyperlink" Target="http://www.sec.gov/Archives/edgar/data/1591698/000104746914000931/a2218171zex-10_7.htm" TargetMode="External"/><Relationship Id="rId89" Type="http://schemas.openxmlformats.org/officeDocument/2006/relationships/hyperlink" Target="http://www.sec.gov/Archives/edgar/data/1591698/000104746914000464/a2218017zex-10_8.htm" TargetMode="External"/><Relationship Id="rId90" Type="http://schemas.openxmlformats.org/officeDocument/2006/relationships/hyperlink" Target="http://www.sec.gov/Archives/edgar/data/1591698/000104746914000464/a2218017zex-10_81.htm" TargetMode="External"/><Relationship Id="rId91" Type="http://schemas.openxmlformats.org/officeDocument/2006/relationships/hyperlink" Target="http://www.sec.gov/Archives/edgar/data/1591698/000104746914000464/a2218017zex-10_82.htm" TargetMode="External"/><Relationship Id="rId92" Type="http://schemas.openxmlformats.org/officeDocument/2006/relationships/hyperlink" Target="http://www.sec.gov/Archives/edgar/data/1591698/000110465916125126/a16-12426_1ex10d1.htm" TargetMode="External"/><Relationship Id="rId93" Type="http://schemas.openxmlformats.org/officeDocument/2006/relationships/hyperlink" Target="http://www.sec.gov/Archives/edgar/data/1591698/000104746914000931/a2218171zex-10_9.htm" TargetMode="External"/><Relationship Id="rId94" Type="http://schemas.openxmlformats.org/officeDocument/2006/relationships/hyperlink" Target="http://www.sec.gov/Archives/edgar/data/1591698/000110465916139345/a16-12777_1ex10d11.htm" TargetMode="External"/><Relationship Id="rId96" Type="http://schemas.openxmlformats.org/officeDocument/2006/relationships/hyperlink" Target="http://www.sec.gov/Archives/edgar/data/1591698/000110465916138278/a16-16221_1ex10d1.htm" TargetMode="External"/><Relationship Id="rId97" Type="http://schemas.openxmlformats.org/officeDocument/2006/relationships/hyperlink" Target="http://www.sec.gov/Archives/edgar/data/1591698/000155837017008116/pcty-20170930ex1015a2448.htm" TargetMode="External"/><Relationship Id="rId98" Type="http://schemas.openxmlformats.org/officeDocument/2006/relationships/hyperlink" Target="http://www.sec.gov/Archives/edgar/data/1591698/000110465914062738/a14-14198_1ex1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2020-08-10T05:58:22Z</dcterms:created>
  <dcterms:modified xsi:type="dcterms:W3CDTF">2020-08-10T05:58:22Z</dcterms:modified>
</cp:coreProperties>
</file>