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1"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181"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001-36348</w:t>
      </w:r>
    </w:p>
    <w:p>
      <w:pPr>
        <w:spacing w:after="0" w:line="25"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166" w:lineRule="exact"/>
        <w:rPr>
          <w:sz w:val="24"/>
          <w:szCs w:val="24"/>
          <w:color w:val="auto"/>
        </w:rPr>
      </w:pPr>
    </w:p>
    <w:tbl>
      <w:tblPr>
        <w:tblLayout w:type="fixed"/>
        <w:tblInd w:w="1640" w:type="dxa"/>
        <w:tblCellMar>
          <w:top w:w="0" w:type="dxa"/>
          <w:left w:w="0" w:type="dxa"/>
          <w:bottom w:w="0" w:type="dxa"/>
          <w:right w:w="0" w:type="dxa"/>
        </w:tblCellMar>
      </w:tblPr>
      <w:tr>
        <w:trPr>
          <w:trHeight w:val="186"/>
        </w:trPr>
        <w:tc>
          <w:tcPr>
            <w:tcW w:w="23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Delaware</w:t>
            </w:r>
          </w:p>
        </w:tc>
        <w:tc>
          <w:tcPr>
            <w:tcW w:w="4960" w:type="dxa"/>
            <w:vAlign w:val="bottom"/>
          </w:tcPr>
          <w:p>
            <w:pPr>
              <w:jc w:val="right"/>
              <w:ind w:right="108"/>
              <w:spacing w:after="0"/>
              <w:rPr>
                <w:sz w:val="20"/>
                <w:szCs w:val="20"/>
                <w:color w:val="auto"/>
              </w:rPr>
            </w:pPr>
            <w:r>
              <w:rPr>
                <w:rFonts w:ascii="Arial" w:cs="Arial" w:eastAsia="Arial" w:hAnsi="Arial"/>
                <w:sz w:val="14"/>
                <w:szCs w:val="14"/>
                <w:b w:val="1"/>
                <w:bCs w:val="1"/>
                <w:color w:val="auto"/>
              </w:rPr>
              <w:t>46-4066644</w:t>
            </w:r>
          </w:p>
        </w:tc>
      </w:tr>
      <w:tr>
        <w:trPr>
          <w:trHeight w:val="196"/>
        </w:trPr>
        <w:tc>
          <w:tcPr>
            <w:tcW w:w="2380" w:type="dxa"/>
            <w:vAlign w:val="bottom"/>
          </w:tcPr>
          <w:p>
            <w:pPr>
              <w:jc w:val="center"/>
              <w:ind w:right="8"/>
              <w:spacing w:after="0"/>
              <w:rPr>
                <w:sz w:val="20"/>
                <w:szCs w:val="20"/>
                <w:color w:val="auto"/>
              </w:rPr>
            </w:pPr>
            <w:r>
              <w:rPr>
                <w:rFonts w:ascii="Arial" w:cs="Arial" w:eastAsia="Arial" w:hAnsi="Arial"/>
                <w:sz w:val="14"/>
                <w:szCs w:val="14"/>
                <w:color w:val="auto"/>
                <w:w w:val="94"/>
              </w:rPr>
              <w:t>(State or other jurisdiction of</w:t>
            </w:r>
          </w:p>
        </w:tc>
        <w:tc>
          <w:tcPr>
            <w:tcW w:w="4960" w:type="dxa"/>
            <w:vAlign w:val="bottom"/>
          </w:tcPr>
          <w:p>
            <w:pPr>
              <w:jc w:val="center"/>
              <w:ind w:left="3828"/>
              <w:spacing w:after="0"/>
              <w:rPr>
                <w:sz w:val="20"/>
                <w:szCs w:val="20"/>
                <w:color w:val="auto"/>
              </w:rPr>
            </w:pPr>
            <w:r>
              <w:rPr>
                <w:rFonts w:ascii="Arial" w:cs="Arial" w:eastAsia="Arial" w:hAnsi="Arial"/>
                <w:sz w:val="14"/>
                <w:szCs w:val="14"/>
                <w:color w:val="auto"/>
                <w:w w:val="94"/>
              </w:rPr>
              <w:t>(IRS Employer</w:t>
            </w:r>
          </w:p>
        </w:tc>
      </w:tr>
      <w:tr>
        <w:trPr>
          <w:trHeight w:val="182"/>
        </w:trPr>
        <w:tc>
          <w:tcPr>
            <w:tcW w:w="2380" w:type="dxa"/>
            <w:vAlign w:val="bottom"/>
          </w:tcPr>
          <w:p>
            <w:pPr>
              <w:jc w:val="center"/>
              <w:ind w:right="8"/>
              <w:spacing w:after="0"/>
              <w:rPr>
                <w:sz w:val="20"/>
                <w:szCs w:val="20"/>
                <w:color w:val="auto"/>
              </w:rPr>
            </w:pPr>
            <w:r>
              <w:rPr>
                <w:rFonts w:ascii="Arial" w:cs="Arial" w:eastAsia="Arial" w:hAnsi="Arial"/>
                <w:sz w:val="14"/>
                <w:szCs w:val="14"/>
                <w:color w:val="auto"/>
                <w:w w:val="95"/>
              </w:rPr>
              <w:t>incorporation or organization)</w:t>
            </w:r>
          </w:p>
        </w:tc>
        <w:tc>
          <w:tcPr>
            <w:tcW w:w="4960" w:type="dxa"/>
            <w:vAlign w:val="bottom"/>
          </w:tcPr>
          <w:p>
            <w:pPr>
              <w:jc w:val="center"/>
              <w:ind w:left="3828"/>
              <w:spacing w:after="0"/>
              <w:rPr>
                <w:sz w:val="20"/>
                <w:szCs w:val="20"/>
                <w:color w:val="auto"/>
              </w:rPr>
            </w:pPr>
            <w:r>
              <w:rPr>
                <w:rFonts w:ascii="Arial" w:cs="Arial" w:eastAsia="Arial" w:hAnsi="Arial"/>
                <w:sz w:val="14"/>
                <w:szCs w:val="14"/>
                <w:color w:val="auto"/>
                <w:w w:val="97"/>
              </w:rPr>
              <w:t>Identification No.)</w:t>
            </w:r>
          </w:p>
        </w:tc>
      </w:tr>
      <w:tr>
        <w:trPr>
          <w:trHeight w:val="435"/>
        </w:trPr>
        <w:tc>
          <w:tcPr>
            <w:tcW w:w="23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1400 American Lane</w:t>
            </w:r>
          </w:p>
        </w:tc>
        <w:tc>
          <w:tcPr>
            <w:tcW w:w="4960" w:type="dxa"/>
            <w:vAlign w:val="bottom"/>
          </w:tcPr>
          <w:p>
            <w:pPr>
              <w:spacing w:after="0"/>
              <w:rPr>
                <w:sz w:val="24"/>
                <w:szCs w:val="24"/>
                <w:color w:val="auto"/>
              </w:rPr>
            </w:pPr>
          </w:p>
        </w:tc>
      </w:tr>
      <w:tr>
        <w:trPr>
          <w:trHeight w:val="200"/>
        </w:trPr>
        <w:tc>
          <w:tcPr>
            <w:tcW w:w="23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Schaumburg, Illinois</w:t>
            </w:r>
          </w:p>
        </w:tc>
        <w:tc>
          <w:tcPr>
            <w:tcW w:w="4960" w:type="dxa"/>
            <w:vAlign w:val="bottom"/>
          </w:tcPr>
          <w:p>
            <w:pPr>
              <w:jc w:val="right"/>
              <w:ind w:right="268"/>
              <w:spacing w:after="0"/>
              <w:rPr>
                <w:sz w:val="20"/>
                <w:szCs w:val="20"/>
                <w:color w:val="auto"/>
              </w:rPr>
            </w:pPr>
            <w:r>
              <w:rPr>
                <w:rFonts w:ascii="Arial" w:cs="Arial" w:eastAsia="Arial" w:hAnsi="Arial"/>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Arial" w:cs="Arial" w:eastAsia="Arial" w:hAnsi="Arial"/>
                <w:sz w:val="14"/>
                <w:szCs w:val="14"/>
                <w:color w:val="auto"/>
                <w:w w:val="95"/>
              </w:rPr>
              <w:t>(Address of principal executive offices)</w:t>
            </w:r>
          </w:p>
        </w:tc>
        <w:tc>
          <w:tcPr>
            <w:tcW w:w="4960" w:type="dxa"/>
            <w:vAlign w:val="bottom"/>
          </w:tcPr>
          <w:p>
            <w:pPr>
              <w:jc w:val="center"/>
              <w:ind w:left="3828"/>
              <w:spacing w:after="0"/>
              <w:rPr>
                <w:sz w:val="20"/>
                <w:szCs w:val="20"/>
                <w:color w:val="auto"/>
              </w:rPr>
            </w:pPr>
            <w:r>
              <w:rPr>
                <w:rFonts w:ascii="Arial" w:cs="Arial" w:eastAsia="Arial" w:hAnsi="Arial"/>
                <w:sz w:val="14"/>
                <w:szCs w:val="14"/>
                <w:color w:val="auto"/>
                <w:w w:val="93"/>
              </w:rPr>
              <w:t>(Zip Code)</w:t>
            </w:r>
          </w:p>
        </w:tc>
      </w:tr>
      <w:tr>
        <w:trPr>
          <w:trHeight w:val="263"/>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Arial" w:cs="Arial" w:eastAsia="Arial" w:hAnsi="Arial"/>
                <w:sz w:val="14"/>
                <w:szCs w:val="14"/>
                <w:b w:val="1"/>
                <w:bCs w:val="1"/>
                <w:color w:val="auto"/>
              </w:rPr>
              <w:t>(847) 463-3200</w:t>
            </w:r>
          </w:p>
        </w:tc>
      </w:tr>
      <w:tr>
        <w:trPr>
          <w:trHeight w:val="182"/>
        </w:trPr>
        <w:tc>
          <w:tcPr>
            <w:tcW w:w="2380" w:type="dxa"/>
            <w:vAlign w:val="bottom"/>
          </w:tcPr>
          <w:p>
            <w:pPr>
              <w:spacing w:after="0"/>
              <w:rPr>
                <w:sz w:val="15"/>
                <w:szCs w:val="15"/>
                <w:color w:val="auto"/>
              </w:rPr>
            </w:pPr>
          </w:p>
        </w:tc>
        <w:tc>
          <w:tcPr>
            <w:tcW w:w="4960" w:type="dxa"/>
            <w:vAlign w:val="bottom"/>
          </w:tcPr>
          <w:p>
            <w:pPr>
              <w:jc w:val="center"/>
              <w:ind w:right="1688"/>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4"/>
        </w:trPr>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Common Stock, par value $0.001 per share</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PCTY</w:t>
            </w:r>
          </w:p>
        </w:tc>
        <w:tc>
          <w:tcPr>
            <w:tcW w:w="3700" w:type="dxa"/>
            <w:vAlign w:val="bottom"/>
          </w:tcPr>
          <w:p>
            <w:pPr>
              <w:jc w:val="center"/>
              <w:spacing w:after="0"/>
              <w:rPr>
                <w:sz w:val="20"/>
                <w:szCs w:val="20"/>
                <w:color w:val="auto"/>
              </w:rPr>
            </w:pPr>
            <w:r>
              <w:rPr>
                <w:rFonts w:ascii="Arial" w:cs="Arial" w:eastAsia="Arial" w:hAnsi="Arial"/>
                <w:sz w:val="14"/>
                <w:szCs w:val="14"/>
                <w:color w:val="auto"/>
                <w:w w:val="96"/>
              </w:rPr>
              <w:t>The NASDAQ Global Select Market LLC</w:t>
            </w:r>
          </w:p>
        </w:tc>
      </w:tr>
    </w:tbl>
    <w:p>
      <w:pPr>
        <w:spacing w:after="0" w:line="196" w:lineRule="exact"/>
        <w:rPr>
          <w:sz w:val="24"/>
          <w:szCs w:val="24"/>
          <w:color w:val="auto"/>
        </w:rPr>
      </w:pPr>
    </w:p>
    <w:p>
      <w:pPr>
        <w:ind w:right="80" w:firstLine="324"/>
        <w:spacing w:after="0" w:line="31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3" w:lineRule="exact"/>
        <w:rPr>
          <w:sz w:val="24"/>
          <w:szCs w:val="24"/>
          <w:color w:val="auto"/>
        </w:rPr>
      </w:pPr>
    </w:p>
    <w:p>
      <w:pPr>
        <w:ind w:right="220" w:firstLine="324"/>
        <w:spacing w:after="0" w:line="31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9" w:lineRule="exact"/>
        <w:rPr>
          <w:sz w:val="24"/>
          <w:szCs w:val="24"/>
          <w:color w:val="auto"/>
        </w:rPr>
      </w:pPr>
    </w:p>
    <w:p>
      <w:pPr>
        <w:ind w:right="120" w:firstLine="324"/>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tcPr>
          <w:p>
            <w:pPr>
              <w:ind w:left="760"/>
              <w:spacing w:after="0"/>
              <w:rPr>
                <w:sz w:val="20"/>
                <w:szCs w:val="20"/>
                <w:color w:val="auto"/>
              </w:rPr>
            </w:pPr>
            <w:r>
              <w:rPr>
                <w:rFonts w:ascii="Arial" w:cs="Arial" w:eastAsia="Arial" w:hAnsi="Arial"/>
                <w:sz w:val="14"/>
                <w:szCs w:val="14"/>
                <w:color w:val="auto"/>
              </w:rPr>
              <w:t>x</w:t>
            </w:r>
          </w:p>
        </w:tc>
        <w:tc>
          <w:tcPr>
            <w:tcW w:w="4240" w:type="dxa"/>
            <w:vAlign w:val="bottom"/>
          </w:tcPr>
          <w:p>
            <w:pPr>
              <w:ind w:left="160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336"/>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60" w:type="dxa"/>
            <w:vAlign w:val="bottom"/>
          </w:tcPr>
          <w:p>
            <w:pPr>
              <w:ind w:left="760"/>
              <w:spacing w:after="0"/>
              <w:rPr>
                <w:sz w:val="20"/>
                <w:szCs w:val="20"/>
                <w:color w:val="auto"/>
              </w:rPr>
            </w:pPr>
            <w:r>
              <w:rPr>
                <w:rFonts w:ascii="Arial" w:cs="Arial" w:eastAsia="Arial" w:hAnsi="Arial"/>
                <w:sz w:val="18"/>
                <w:szCs w:val="18"/>
                <w:color w:val="auto"/>
              </w:rPr>
              <w:t>o</w:t>
            </w:r>
          </w:p>
        </w:tc>
        <w:tc>
          <w:tcPr>
            <w:tcW w:w="4240" w:type="dxa"/>
            <w:vAlign w:val="bottom"/>
          </w:tcPr>
          <w:p>
            <w:pPr>
              <w:ind w:left="160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298"/>
        </w:trPr>
        <w:tc>
          <w:tcPr>
            <w:tcW w:w="2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40" w:type="dxa"/>
            <w:vAlign w:val="bottom"/>
          </w:tcPr>
          <w:p>
            <w:pPr>
              <w:ind w:left="160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bl>
    <w:p>
      <w:pPr>
        <w:spacing w:after="0" w:line="196" w:lineRule="exact"/>
        <w:rPr>
          <w:sz w:val="24"/>
          <w:szCs w:val="24"/>
          <w:color w:val="auto"/>
        </w:rPr>
      </w:pPr>
    </w:p>
    <w:p>
      <w:pPr>
        <w:ind w:right="220" w:firstLine="324"/>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4"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58" w:lineRule="exact"/>
        <w:rPr>
          <w:sz w:val="24"/>
          <w:szCs w:val="24"/>
          <w:color w:val="auto"/>
        </w:rPr>
      </w:pPr>
    </w:p>
    <w:p>
      <w:pPr>
        <w:ind w:right="40" w:firstLine="324"/>
        <w:spacing w:after="0" w:line="29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56,176,891 shares of Common Stock, $0.001 par value per share, as of October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Arial" w:cs="Arial" w:eastAsia="Arial" w:hAnsi="Arial"/>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Arial" w:cs="Arial" w:eastAsia="Arial" w:hAnsi="Arial"/>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Arial" w:cs="Arial" w:eastAsia="Arial" w:hAnsi="Arial"/>
                <w:sz w:val="18"/>
                <w:szCs w:val="18"/>
                <w:color w:val="0000FF"/>
              </w:rPr>
              <w:t>Unaudited Consolidated Balance Sheets</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Arial" w:cs="Arial" w:eastAsia="Arial" w:hAnsi="Arial"/>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8"/>
                <w:szCs w:val="18"/>
                <w:color w:val="0000FF"/>
                <w:w w:val="96"/>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Arial" w:cs="Arial" w:eastAsia="Arial" w:hAnsi="Arial"/>
                <w:sz w:val="18"/>
                <w:szCs w:val="18"/>
                <w:color w:val="0000FF"/>
              </w:rPr>
              <w:t>ITEM 1. 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4"/>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4"/>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Arial" w:cs="Arial" w:eastAsia="Arial" w:hAnsi="Arial"/>
                <w:sz w:val="18"/>
                <w:szCs w:val="18"/>
                <w:color w:val="0000FF"/>
              </w:rPr>
              <w:t>ITEM 4. MINE SAFETY DISCLOSURES</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6"/>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305,031</w:t>
            </w: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30,111</w:t>
            </w: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82,438</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36,971</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454,551</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2,621,415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2,528,353</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2,982,904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95,522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42,890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31,991</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102,054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305,788</w:t>
            </w:r>
          </w:p>
        </w:tc>
      </w:tr>
      <w:tr>
        <w:trPr>
          <w:trHeight w:val="230"/>
        </w:trPr>
        <w:tc>
          <w:tcPr>
            <w:tcW w:w="8180" w:type="dxa"/>
            <w:vAlign w:val="bottom"/>
          </w:tcPr>
          <w:p>
            <w:pPr>
              <w:ind w:left="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5,925</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3,695,680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3,646,777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8,749</w:t>
            </w: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131,693</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140,442</w:t>
            </w: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2,625,355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2,531,789</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2,774,795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2,672,231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60,584</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17,739</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2,852,817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2,754,138</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75"/>
        </w:trPr>
        <w:tc>
          <w:tcPr>
            <w:tcW w:w="8180" w:type="dxa"/>
            <w:vAlign w:val="bottom"/>
          </w:tcPr>
          <w:p>
            <w:pPr>
              <w:ind w:left="240"/>
              <w:spacing w:after="0" w:line="176" w:lineRule="exact"/>
              <w:rPr>
                <w:sz w:val="20"/>
                <w:szCs w:val="20"/>
                <w:color w:val="auto"/>
              </w:rPr>
            </w:pPr>
            <w:r>
              <w:rPr>
                <w:rFonts w:ascii="Arial" w:cs="Arial" w:eastAsia="Arial" w:hAnsi="Arial"/>
                <w:sz w:val="18"/>
                <w:szCs w:val="18"/>
                <w:color w:val="auto"/>
                <w:w w:val="91"/>
              </w:rPr>
              <w:t>Preferred stock, $0.001 par value, 5,000 authorized, no shares issued and outstanding at June 30, 2023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September 30, 2023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$0.001 par value, 155,000 shares authorized at June 30, 2023 and September 30, 2023; 55,912</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shares issued and outstanding at June 30, 2023 and 56,167 shares issued and outstanding at September 30, 2023</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395,771</w:t>
            </w: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501,207</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892,639</w:t>
            </w:r>
          </w:p>
        </w:tc>
      </w:tr>
      <w:tr>
        <w:trPr>
          <w:trHeight w:val="223"/>
        </w:trPr>
        <w:tc>
          <w:tcPr>
            <w:tcW w:w="818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3,695,680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3,646,777</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1"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Recurring and other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245,406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291,685</w:t>
            </w: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25,901</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253,280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317,586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101,467</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168,737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216,119</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80,403</w:t>
            </w: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174,930</w:t>
            </w:r>
          </w:p>
        </w:tc>
      </w:tr>
      <w:tr>
        <w:trPr>
          <w:trHeight w:val="223"/>
        </w:trPr>
        <w:tc>
          <w:tcPr>
            <w:tcW w:w="818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41,189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r>
      <w:tr>
        <w:trPr>
          <w:trHeight w:val="223"/>
        </w:trPr>
        <w:tc>
          <w:tcPr>
            <w:tcW w:w="8180" w:type="dxa"/>
            <w:vAlign w:val="bottom"/>
          </w:tcPr>
          <w:p>
            <w:pPr>
              <w:ind w:left="46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44,414</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Arial" w:cs="Arial" w:eastAsia="Arial" w:hAnsi="Arial"/>
          <w:sz w:val="18"/>
          <w:szCs w:val="18"/>
          <w:color w:val="auto"/>
        </w:rPr>
        <w:t>Weighted-average shares used in computing net income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56,664</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56,881</w:t>
            </w:r>
          </w:p>
        </w:tc>
      </w:tr>
      <w:tr>
        <w:trPr>
          <w:trHeight w:val="21"/>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13"/>
          </w:tcPr>
          <w:p>
            <w:pPr>
              <w:ind w:left="280"/>
              <w:spacing w:after="0"/>
              <w:rPr>
                <w:sz w:val="20"/>
                <w:szCs w:val="20"/>
                <w:color w:val="auto"/>
              </w:rPr>
            </w:pPr>
            <w:r>
              <w:rPr>
                <w:rFonts w:ascii="Arial" w:cs="Arial" w:eastAsia="Arial" w:hAnsi="Arial"/>
                <w:sz w:val="13"/>
                <w:szCs w:val="13"/>
                <w:b w:val="1"/>
                <w:bCs w:val="1"/>
                <w:color w:val="auto"/>
              </w:rPr>
              <w:t>Three Months Ended September 30,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1920" w:type="dxa"/>
            <w:vAlign w:val="bottom"/>
            <w:gridSpan w:val="6"/>
          </w:tcPr>
          <w:p>
            <w:pPr>
              <w:ind w:left="50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45"/>
        </w:trPr>
        <w:tc>
          <w:tcPr>
            <w:tcW w:w="41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160" w:type="dxa"/>
            <w:vAlign w:val="bottom"/>
          </w:tcPr>
          <w:p>
            <w:pPr>
              <w:spacing w:after="0"/>
              <w:rPr>
                <w:sz w:val="7"/>
                <w:szCs w:val="7"/>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7"/>
                <w:szCs w:val="7"/>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85"/>
              </w:rPr>
              <w:t>Comprehensive Loss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June 30, 2022</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55,190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289,843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325,868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613,463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43,471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1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43,471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 options exercised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820" w:type="dxa"/>
            <w:vAlign w:val="bottom"/>
          </w:tcPr>
          <w:p>
            <w:pPr>
              <w:jc w:val="right"/>
              <w:spacing w:after="0"/>
              <w:rPr>
                <w:sz w:val="20"/>
                <w:szCs w:val="20"/>
                <w:color w:val="auto"/>
              </w:rPr>
            </w:pPr>
            <w:r>
              <w:rPr>
                <w:rFonts w:ascii="Arial" w:cs="Arial" w:eastAsia="Arial" w:hAnsi="Arial"/>
                <w:sz w:val="13"/>
                <w:szCs w:val="13"/>
                <w:color w:val="auto"/>
              </w:rPr>
              <w:t>549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1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settlement for taxes and/or exercise price related to equity awards</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w w:val="92"/>
              </w:rPr>
              <w:t>(310)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(76,900)</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(76,900)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3"/>
                <w:szCs w:val="13"/>
                <w:color w:val="auto"/>
              </w:rPr>
              <w:t>Unrealized losses on securities, net of 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30,352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Balances at 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55,664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259,245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356,220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(4,675)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610,846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4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13"/>
          </w:tcPr>
          <w:p>
            <w:pPr>
              <w:ind w:left="300"/>
              <w:spacing w:after="0"/>
              <w:rPr>
                <w:sz w:val="20"/>
                <w:szCs w:val="20"/>
                <w:color w:val="auto"/>
              </w:rPr>
            </w:pPr>
            <w:r>
              <w:rPr>
                <w:rFonts w:ascii="Arial" w:cs="Arial" w:eastAsia="Arial" w:hAnsi="Arial"/>
                <w:sz w:val="13"/>
                <w:szCs w:val="13"/>
                <w:b w:val="1"/>
                <w:bCs w:val="1"/>
                <w:color w:val="auto"/>
              </w:rPr>
              <w:t>Three Months Ended September 30, 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192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1920" w:type="dxa"/>
            <w:vAlign w:val="bottom"/>
            <w:gridSpan w:val="6"/>
          </w:tcPr>
          <w:p>
            <w:pPr>
              <w:ind w:left="520"/>
              <w:spacing w:after="0" w:line="138" w:lineRule="exact"/>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41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5"/>
              </w:rPr>
              <w:t>Accumulated Other</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70"/>
        </w:trPr>
        <w:tc>
          <w:tcPr>
            <w:tcW w:w="4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3"/>
                <w:szCs w:val="13"/>
                <w:b w:val="1"/>
                <w:bCs w:val="1"/>
                <w:color w:val="auto"/>
              </w:rPr>
              <w:t>Comprehensive Loss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9"/>
        </w:trPr>
        <w:tc>
          <w:tcPr>
            <w:tcW w:w="4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June 30, 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55,912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380,632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466,690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3"/>
                <w:szCs w:val="13"/>
                <w:color w:val="auto"/>
                <w:w w:val="92"/>
              </w:rPr>
              <w:t>(4,515)</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842,863</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43,964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43,964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 options exercised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equity awards</w:t>
            </w:r>
          </w:p>
        </w:tc>
        <w:tc>
          <w:tcPr>
            <w:tcW w:w="820" w:type="dxa"/>
            <w:vAlign w:val="bottom"/>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settlement for taxes and/or exercise price related to equity awards</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w w:val="92"/>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(29,048)</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(29,048)</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3"/>
                <w:szCs w:val="13"/>
                <w:color w:val="auto"/>
              </w:rPr>
              <w:t>Unrealized gains on securities, net of 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34,517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34,517</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Balances at September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56,167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395,771</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501,207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gridSpan w:val="2"/>
          </w:tcPr>
          <w:p>
            <w:pPr>
              <w:ind w:left="960"/>
              <w:spacing w:after="0"/>
              <w:rPr>
                <w:sz w:val="20"/>
                <w:szCs w:val="20"/>
                <w:color w:val="auto"/>
              </w:rPr>
            </w:pPr>
            <w:r>
              <w:rPr>
                <w:rFonts w:ascii="Arial" w:cs="Arial" w:eastAsia="Arial" w:hAnsi="Arial"/>
                <w:sz w:val="13"/>
                <w:szCs w:val="13"/>
                <w:color w:val="auto"/>
                <w:w w:val="92"/>
              </w:rPr>
              <w:t>(4,395)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892,639</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0"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4" w:lineRule="exact"/>
        <w:rPr>
          <w:sz w:val="20"/>
          <w:szCs w:val="20"/>
          <w:color w:val="auto"/>
        </w:rPr>
      </w:pPr>
    </w:p>
    <w:p>
      <w:pPr>
        <w:jc w:val="center"/>
        <w:ind w:left="8160"/>
        <w:spacing w:after="0"/>
        <w:rPr>
          <w:sz w:val="20"/>
          <w:szCs w:val="20"/>
          <w:color w:val="auto"/>
        </w:rPr>
      </w:pPr>
      <w:r>
        <w:rPr>
          <w:rFonts w:ascii="Arial" w:cs="Arial" w:eastAsia="Arial" w:hAnsi="Arial"/>
          <w:sz w:val="15"/>
          <w:szCs w:val="15"/>
          <w:b w:val="1"/>
          <w:bCs w:val="1"/>
          <w:color w:val="auto"/>
        </w:rPr>
        <w:t>Three Months Ended</w:t>
      </w:r>
    </w:p>
    <w:p>
      <w:pPr>
        <w:jc w:val="center"/>
        <w:ind w:left="816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5"/>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30,352</w:t>
            </w:r>
          </w:p>
        </w:tc>
        <w:tc>
          <w:tcPr>
            <w:tcW w:w="10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34,517</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360"/>
              <w:spacing w:after="0"/>
              <w:rPr>
                <w:sz w:val="20"/>
                <w:szCs w:val="20"/>
                <w:color w:val="auto"/>
              </w:rPr>
            </w:pPr>
            <w:r>
              <w:rPr>
                <w:rFonts w:ascii="Arial" w:cs="Arial" w:eastAsia="Arial" w:hAnsi="Arial"/>
                <w:sz w:val="15"/>
                <w:szCs w:val="15"/>
                <w:color w:val="auto"/>
              </w:rPr>
              <w:t>Stock-based compensation expense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39,813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39,005</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Depreciation and amortization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17,121</w:t>
            </w:r>
          </w:p>
        </w:tc>
        <w:tc>
          <w:tcPr>
            <w:tcW w:w="0" w:type="dxa"/>
            <w:vAlign w:val="bottom"/>
          </w:tcPr>
          <w:p>
            <w:pPr>
              <w:spacing w:after="0"/>
              <w:rPr>
                <w:sz w:val="1"/>
                <w:szCs w:val="1"/>
                <w:color w:val="auto"/>
              </w:rPr>
            </w:pPr>
          </w:p>
        </w:tc>
      </w:tr>
      <w:tr>
        <w:trPr>
          <w:trHeight w:val="198"/>
        </w:trPr>
        <w:tc>
          <w:tcPr>
            <w:tcW w:w="8180" w:type="dxa"/>
            <w:vAlign w:val="bottom"/>
          </w:tcPr>
          <w:p>
            <w:pPr>
              <w:ind w:left="360"/>
              <w:spacing w:after="0"/>
              <w:rPr>
                <w:sz w:val="20"/>
                <w:szCs w:val="20"/>
                <w:color w:val="auto"/>
              </w:rPr>
            </w:pPr>
            <w:r>
              <w:rPr>
                <w:rFonts w:ascii="Arial" w:cs="Arial" w:eastAsia="Arial" w:hAnsi="Arial"/>
                <w:sz w:val="15"/>
                <w:szCs w:val="15"/>
                <w:color w:val="auto"/>
              </w:rPr>
              <w:t>Deferred income tax expense (benefit)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(23,415)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5,391</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Provision for credit losses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98"/>
        </w:trPr>
        <w:tc>
          <w:tcPr>
            <w:tcW w:w="8180" w:type="dxa"/>
            <w:vAlign w:val="bottom"/>
          </w:tcPr>
          <w:p>
            <w:pPr>
              <w:ind w:left="360"/>
              <w:spacing w:after="0"/>
              <w:rPr>
                <w:sz w:val="20"/>
                <w:szCs w:val="20"/>
                <w:color w:val="auto"/>
              </w:rPr>
            </w:pPr>
            <w:r>
              <w:rPr>
                <w:rFonts w:ascii="Arial" w:cs="Arial" w:eastAsia="Arial" w:hAnsi="Arial"/>
                <w:sz w:val="15"/>
                <w:szCs w:val="15"/>
                <w:color w:val="auto"/>
              </w:rPr>
              <w:t>Net accretion of discounts on available-for-sale securities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(1,392)</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98"/>
        </w:trPr>
        <w:tc>
          <w:tcPr>
            <w:tcW w:w="8180" w:type="dxa"/>
            <w:vAlign w:val="bottom"/>
          </w:tcPr>
          <w:p>
            <w:pPr>
              <w:ind w:left="36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(6,020)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(4,801)</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Deferred contract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(14,985)</w:t>
            </w:r>
          </w:p>
        </w:tc>
        <w:tc>
          <w:tcPr>
            <w:tcW w:w="0" w:type="dxa"/>
            <w:vAlign w:val="bottom"/>
          </w:tcPr>
          <w:p>
            <w:pPr>
              <w:spacing w:after="0"/>
              <w:rPr>
                <w:sz w:val="1"/>
                <w:szCs w:val="1"/>
                <w:color w:val="auto"/>
              </w:rPr>
            </w:pPr>
          </w:p>
        </w:tc>
      </w:tr>
      <w:tr>
        <w:trPr>
          <w:trHeight w:val="198"/>
        </w:trPr>
        <w:tc>
          <w:tcPr>
            <w:tcW w:w="8180" w:type="dxa"/>
            <w:vAlign w:val="bottom"/>
          </w:tcPr>
          <w:p>
            <w:pPr>
              <w:ind w:left="460"/>
              <w:spacing w:after="0"/>
              <w:rPr>
                <w:sz w:val="20"/>
                <w:szCs w:val="20"/>
                <w:color w:val="auto"/>
              </w:rPr>
            </w:pPr>
            <w:r>
              <w:rPr>
                <w:rFonts w:ascii="Arial" w:cs="Arial" w:eastAsia="Arial" w:hAnsi="Arial"/>
                <w:sz w:val="15"/>
                <w:szCs w:val="15"/>
                <w:color w:val="auto"/>
              </w:rPr>
              <w:t>Prepaid expenses and other</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(1,669)</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payable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1,569</w:t>
            </w:r>
          </w:p>
        </w:tc>
        <w:tc>
          <w:tcPr>
            <w:tcW w:w="0" w:type="dxa"/>
            <w:vAlign w:val="bottom"/>
          </w:tcPr>
          <w:p>
            <w:pPr>
              <w:spacing w:after="0"/>
              <w:rPr>
                <w:sz w:val="1"/>
                <w:szCs w:val="1"/>
                <w:color w:val="auto"/>
              </w:rPr>
            </w:pPr>
          </w:p>
        </w:tc>
      </w:tr>
      <w:tr>
        <w:trPr>
          <w:trHeight w:val="198"/>
        </w:trPr>
        <w:tc>
          <w:tcPr>
            <w:tcW w:w="81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Accrued expenses and other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(12,984)</w:t>
            </w:r>
          </w:p>
        </w:tc>
        <w:tc>
          <w:tcPr>
            <w:tcW w:w="0" w:type="dxa"/>
            <w:vAlign w:val="bottom"/>
          </w:tcPr>
          <w:p>
            <w:pPr>
              <w:spacing w:after="0"/>
              <w:rPr>
                <w:sz w:val="1"/>
                <w:szCs w:val="1"/>
                <w:color w:val="auto"/>
              </w:rPr>
            </w:pPr>
          </w:p>
        </w:tc>
      </w:tr>
      <w:tr>
        <w:trPr>
          <w:trHeight w:val="200"/>
        </w:trPr>
        <w:tc>
          <w:tcPr>
            <w:tcW w:w="81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62,142</w:t>
            </w: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Purchases of available-for-sale securities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(92,567)</w:t>
            </w:r>
          </w:p>
        </w:tc>
        <w:tc>
          <w:tcPr>
            <w:tcW w:w="0" w:type="dxa"/>
            <w:vAlign w:val="bottom"/>
          </w:tcPr>
          <w:p>
            <w:pPr>
              <w:spacing w:after="0"/>
              <w:rPr>
                <w:sz w:val="1"/>
                <w:szCs w:val="1"/>
                <w:color w:val="auto"/>
              </w:rPr>
            </w:pPr>
          </w:p>
        </w:tc>
      </w:tr>
      <w:tr>
        <w:trPr>
          <w:trHeight w:val="199"/>
        </w:trPr>
        <w:tc>
          <w:tcPr>
            <w:tcW w:w="8180" w:type="dxa"/>
            <w:vAlign w:val="bottom"/>
          </w:tcPr>
          <w:p>
            <w:pPr>
              <w:ind w:left="240"/>
              <w:spacing w:after="0"/>
              <w:rPr>
                <w:sz w:val="20"/>
                <w:szCs w:val="20"/>
                <w:color w:val="auto"/>
              </w:rPr>
            </w:pPr>
            <w:r>
              <w:rPr>
                <w:rFonts w:ascii="Arial" w:cs="Arial" w:eastAsia="Arial" w:hAnsi="Arial"/>
                <w:sz w:val="15"/>
                <w:szCs w:val="15"/>
                <w:color w:val="auto"/>
              </w:rPr>
              <w:t>Proceeds from sales and maturities of available-for-sale securities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42,850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101,216</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Capitalized internal-use software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(14,193)</w:t>
            </w:r>
          </w:p>
        </w:tc>
        <w:tc>
          <w:tcPr>
            <w:tcW w:w="0" w:type="dxa"/>
            <w:vAlign w:val="bottom"/>
          </w:tcPr>
          <w:p>
            <w:pPr>
              <w:spacing w:after="0"/>
              <w:rPr>
                <w:sz w:val="1"/>
                <w:szCs w:val="1"/>
                <w:color w:val="auto"/>
              </w:rPr>
            </w:pPr>
          </w:p>
        </w:tc>
      </w:tr>
      <w:tr>
        <w:trPr>
          <w:trHeight w:val="198"/>
        </w:trPr>
        <w:tc>
          <w:tcPr>
            <w:tcW w:w="8180" w:type="dxa"/>
            <w:vAlign w:val="bottom"/>
          </w:tcPr>
          <w:p>
            <w:pPr>
              <w:ind w:left="240"/>
              <w:spacing w:after="0"/>
              <w:rPr>
                <w:sz w:val="20"/>
                <w:szCs w:val="20"/>
                <w:color w:val="auto"/>
              </w:rPr>
            </w:pPr>
            <w:r>
              <w:rPr>
                <w:rFonts w:ascii="Arial" w:cs="Arial" w:eastAsia="Arial" w:hAnsi="Arial"/>
                <w:sz w:val="15"/>
                <w:szCs w:val="15"/>
                <w:color w:val="auto"/>
              </w:rPr>
              <w:t>Purchases of property and equipment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(3,454)</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investing activities</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192"/>
        </w:trPr>
        <w:tc>
          <w:tcPr>
            <w:tcW w:w="8180" w:type="dxa"/>
            <w:vAlign w:val="bottom"/>
          </w:tcPr>
          <w:p>
            <w:pPr>
              <w:ind w:left="68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(89,476)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(9,404)</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80" w:type="dxa"/>
            <w:vAlign w:val="bottom"/>
          </w:tcPr>
          <w:p>
            <w:pPr>
              <w:ind w:left="240"/>
              <w:spacing w:after="0"/>
              <w:rPr>
                <w:sz w:val="20"/>
                <w:szCs w:val="20"/>
                <w:color w:val="auto"/>
              </w:rPr>
            </w:pPr>
            <w:r>
              <w:rPr>
                <w:rFonts w:ascii="Arial" w:cs="Arial" w:eastAsia="Arial" w:hAnsi="Arial"/>
                <w:sz w:val="15"/>
                <w:szCs w:val="15"/>
                <w:color w:val="auto"/>
              </w:rPr>
              <w:t>Net change in client fund obligations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(1,688,339)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(93,566)</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Taxes paid related to net share settlement of equity awards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(28,825)</w:t>
            </w:r>
          </w:p>
        </w:tc>
        <w:tc>
          <w:tcPr>
            <w:tcW w:w="0" w:type="dxa"/>
            <w:vAlign w:val="bottom"/>
          </w:tcPr>
          <w:p>
            <w:pPr>
              <w:spacing w:after="0"/>
              <w:rPr>
                <w:sz w:val="1"/>
                <w:szCs w:val="1"/>
                <w:color w:val="auto"/>
              </w:rPr>
            </w:pPr>
          </w:p>
        </w:tc>
      </w:tr>
      <w:tr>
        <w:trPr>
          <w:trHeight w:val="198"/>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Payment of debt issuance costs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0"/>
        </w:trPr>
        <w:tc>
          <w:tcPr>
            <w:tcW w:w="81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(1,763,265)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(122,402)</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(1,836,354)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(69,664)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3,793,453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2,421,312</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5"/>
                <w:szCs w:val="15"/>
                <w:color w:val="auto"/>
              </w:rPr>
              <w:t>Cash, cash equivalents and funds held for clients' cash and cash equivalents—end of period</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1,957,099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2,351,648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5"/>
                <w:szCs w:val="15"/>
                <w:color w:val="auto"/>
              </w:rPr>
              <w:t>Purchases of property and equipment and internal-use software, accrued but not paid</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1,803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Liabilities assumed for acquisitions</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Cash paid for interest</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40"/>
              <w:spacing w:after="0"/>
              <w:rPr>
                <w:sz w:val="20"/>
                <w:szCs w:val="20"/>
                <w:color w:val="auto"/>
              </w:rPr>
            </w:pPr>
            <w:r>
              <w:rPr>
                <w:rFonts w:ascii="Arial" w:cs="Arial" w:eastAsia="Arial" w:hAnsi="Arial"/>
                <w:sz w:val="15"/>
                <w:szCs w:val="15"/>
                <w:color w:val="auto"/>
              </w:rPr>
              <w:t>Cash paid for income taxes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w w:val="94"/>
              </w:rPr>
              <w:t>Reconciliation of cash, cash equivalents and funds held for clients' cash and cash equivalents to the Consolidated Balance Sheets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65,484</w:t>
            </w:r>
          </w:p>
        </w:tc>
        <w:tc>
          <w:tcPr>
            <w:tcW w:w="10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305,031</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Funds held for clients'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1,891,615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2,046,617</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5"/>
                <w:szCs w:val="15"/>
                <w:color w:val="auto"/>
              </w:rPr>
              <w:t>Total cash, cash equivalents and funds held for clients' cash and cash equivalents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1,957,099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2,351,648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18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6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2023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2023 included in the Company’s Annual Report on Form 10-K.</w:t>
      </w:r>
    </w:p>
    <w:p>
      <w:pPr>
        <w:spacing w:after="0" w:line="12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6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from contracts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8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timing of revenue recognition for recurring revenue is consistent with the timing of invoicing as they occur simultaneously based on the client payroll processing period or by month. As such, the Company does not recognize contract assets or liabilities related to recurring revenue.</w:t>
      </w:r>
    </w:p>
    <w:p>
      <w:pPr>
        <w:spacing w:after="0" w:line="10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20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25"/>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10,644</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(6,270)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14,195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24,140</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$18,695 in fiscal 2024, $5,035 in fiscal 2025 and $410 in fiscal 2026 and thereafter.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9"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deferred contract costs and the related amortization expense for these deferred contract costs: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 2022</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Ending Balance</w:t>
            </w:r>
          </w:p>
        </w:tc>
      </w:tr>
      <w:tr>
        <w:trPr>
          <w:trHeight w:val="26"/>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191,088</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308,612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Ending Balance</w:t>
            </w:r>
          </w:p>
        </w:tc>
      </w:tr>
      <w:tr>
        <w:trPr>
          <w:trHeight w:val="23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224,409</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163,817</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5" w:lineRule="exact"/>
        <w:rPr>
          <w:sz w:val="20"/>
          <w:szCs w:val="20"/>
          <w:color w:val="auto"/>
        </w:rPr>
      </w:pPr>
    </w:p>
    <w:p>
      <w:pPr>
        <w:ind w:right="700" w:firstLine="648"/>
        <w:spacing w:after="0" w:line="259" w:lineRule="auto"/>
        <w:rPr>
          <w:sz w:val="20"/>
          <w:szCs w:val="20"/>
          <w:color w:val="auto"/>
        </w:rPr>
      </w:pPr>
      <w:r>
        <w:rPr>
          <w:rFonts w:ascii="Arial" w:cs="Arial" w:eastAsia="Arial" w:hAnsi="Arial"/>
          <w:sz w:val="18"/>
          <w:szCs w:val="18"/>
          <w:color w:val="auto"/>
        </w:rPr>
        <w:t>The balance of the Company’s remaining performance obligations related to minimum monthly fees on its term-based contracts was approximately $72,578 as of September 30, 2023,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details of selected consolidated balance sheet items: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credit losses related to accounts receivable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6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Charged to expense</w:t>
            </w:r>
          </w:p>
        </w:tc>
        <w:tc>
          <w:tcPr>
            <w:tcW w:w="5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584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6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5840" w:type="dxa"/>
            <w:vAlign w:val="bottom"/>
            <w:vMerge w:val="restart"/>
          </w:tcPr>
          <w:p>
            <w:pPr>
              <w:jc w:val="right"/>
              <w:ind w:right="4010"/>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9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20" w:type="dxa"/>
            <w:vAlign w:val="bottom"/>
            <w:tcBorders>
              <w:bottom w:val="single" w:sz="8" w:color="9A9A9A"/>
            </w:tcBorders>
          </w:tcPr>
          <w:p>
            <w:pPr>
              <w:spacing w:after="0"/>
              <w:rPr>
                <w:sz w:val="8"/>
                <w:szCs w:val="8"/>
                <w:color w:val="auto"/>
              </w:rPr>
            </w:pPr>
          </w:p>
        </w:tc>
        <w:tc>
          <w:tcPr>
            <w:tcW w:w="58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r>
      <w:tr>
        <w:trPr>
          <w:trHeight w:val="26"/>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267,668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(172,146)</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86,127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Amortization of capitalized internal-use software costs is primarily included in Cost of revenues and amounted to $7,042 and $9,535 for the three months ended September 30, 2022 and 2023,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classes of property and equipment,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6"/>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59,339</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11,336</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amounted to $4,454 and $5,050 for the three months ended September 30, 2022 and 2023, respectively.</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to goodwill between the year ended June 30, 2023 and September 30, 2023. The Company’s amortizable intangible assets and estimated useful lives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rPr>
              <w:t>useful life (years)</w:t>
            </w:r>
          </w:p>
        </w:tc>
      </w:tr>
      <w:tr>
        <w:trPr>
          <w:trHeight w:val="25"/>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w:t>
            </w: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Amortization expense for acquired intangible assets was $2,771 and $2,536 for the three months ended September 30, 2022 and 2023, respectively, and is included in Cost of revenues and General and administrative.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amortization expense for acquired intangible assets as of September 30,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fiscal 2024</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2026</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2028</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accrued expenses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00" w:hanging="987"/>
        <w:spacing w:after="0"/>
        <w:tabs>
          <w:tab w:leader="none" w:pos="2100" w:val="left"/>
        </w:tabs>
        <w:numPr>
          <w:ilvl w:val="0"/>
          <w:numId w:val="7"/>
        </w:numPr>
        <w:rPr>
          <w:rFonts w:ascii="Arial" w:cs="Arial" w:eastAsia="Arial" w:hAnsi="Arial"/>
          <w:sz w:val="15"/>
          <w:szCs w:val="15"/>
          <w:color w:val="auto"/>
        </w:rPr>
      </w:pPr>
      <w:r>
        <w:rPr>
          <w:rFonts w:ascii="Arial" w:cs="Arial" w:eastAsia="Arial" w:hAnsi="Arial"/>
          <w:sz w:val="15"/>
          <w:szCs w:val="15"/>
          <w:color w:val="auto"/>
        </w:rPr>
        <w:t>7,407</w:t>
      </w:r>
    </w:p>
    <w:p>
      <w:pPr>
        <w:spacing w:after="0" w:line="84" w:lineRule="exact"/>
        <w:rPr>
          <w:rFonts w:ascii="Arial" w:cs="Arial" w:eastAsia="Arial" w:hAnsi="Arial"/>
          <w:sz w:val="15"/>
          <w:szCs w:val="15"/>
          <w:color w:val="auto"/>
        </w:rPr>
      </w:pPr>
    </w:p>
    <w:p>
      <w:pPr>
        <w:ind w:left="2100"/>
        <w:spacing w:after="0"/>
        <w:rPr>
          <w:rFonts w:ascii="Arial" w:cs="Arial" w:eastAsia="Arial" w:hAnsi="Arial"/>
          <w:sz w:val="15"/>
          <w:szCs w:val="15"/>
          <w:color w:val="auto"/>
        </w:rPr>
      </w:pPr>
      <w:r>
        <w:rPr>
          <w:rFonts w:ascii="Arial" w:cs="Arial" w:eastAsia="Arial" w:hAnsi="Arial"/>
          <w:sz w:val="15"/>
          <w:szCs w:val="15"/>
          <w:color w:val="auto"/>
        </w:rPr>
        <w:t>8,888</w:t>
      </w:r>
    </w:p>
    <w:p>
      <w:pPr>
        <w:spacing w:after="0" w:line="84" w:lineRule="exact"/>
        <w:rPr>
          <w:rFonts w:ascii="Arial" w:cs="Arial" w:eastAsia="Arial" w:hAnsi="Arial"/>
          <w:sz w:val="15"/>
          <w:szCs w:val="15"/>
          <w:color w:val="auto"/>
        </w:rPr>
      </w:pPr>
    </w:p>
    <w:p>
      <w:pPr>
        <w:ind w:left="2100"/>
        <w:spacing w:after="0"/>
        <w:rPr>
          <w:rFonts w:ascii="Arial" w:cs="Arial" w:eastAsia="Arial" w:hAnsi="Arial"/>
          <w:sz w:val="15"/>
          <w:szCs w:val="15"/>
          <w:color w:val="auto"/>
        </w:rPr>
      </w:pPr>
      <w:r>
        <w:rPr>
          <w:rFonts w:ascii="Arial" w:cs="Arial" w:eastAsia="Arial" w:hAnsi="Arial"/>
          <w:sz w:val="15"/>
          <w:szCs w:val="15"/>
          <w:color w:val="auto"/>
        </w:rPr>
        <w:t>7,269</w:t>
      </w:r>
    </w:p>
    <w:p>
      <w:pPr>
        <w:spacing w:after="0" w:line="84" w:lineRule="exact"/>
        <w:rPr>
          <w:rFonts w:ascii="Arial" w:cs="Arial" w:eastAsia="Arial" w:hAnsi="Arial"/>
          <w:sz w:val="15"/>
          <w:szCs w:val="15"/>
          <w:color w:val="auto"/>
        </w:rPr>
      </w:pPr>
    </w:p>
    <w:p>
      <w:pPr>
        <w:ind w:left="2100"/>
        <w:spacing w:after="0"/>
        <w:rPr>
          <w:rFonts w:ascii="Arial" w:cs="Arial" w:eastAsia="Arial" w:hAnsi="Arial"/>
          <w:sz w:val="15"/>
          <w:szCs w:val="15"/>
          <w:color w:val="auto"/>
        </w:rPr>
      </w:pPr>
      <w:r>
        <w:rPr>
          <w:rFonts w:ascii="Arial" w:cs="Arial" w:eastAsia="Arial" w:hAnsi="Arial"/>
          <w:sz w:val="15"/>
          <w:szCs w:val="15"/>
          <w:color w:val="auto"/>
        </w:rPr>
        <w:t>4,893</w:t>
      </w:r>
    </w:p>
    <w:p>
      <w:pPr>
        <w:spacing w:after="0" w:line="84" w:lineRule="exact"/>
        <w:rPr>
          <w:rFonts w:ascii="Arial" w:cs="Arial" w:eastAsia="Arial" w:hAnsi="Arial"/>
          <w:sz w:val="15"/>
          <w:szCs w:val="15"/>
          <w:color w:val="auto"/>
        </w:rPr>
      </w:pPr>
    </w:p>
    <w:p>
      <w:pPr>
        <w:ind w:left="2100"/>
        <w:spacing w:after="0"/>
        <w:rPr>
          <w:rFonts w:ascii="Arial" w:cs="Arial" w:eastAsia="Arial" w:hAnsi="Arial"/>
          <w:sz w:val="15"/>
          <w:szCs w:val="15"/>
          <w:color w:val="auto"/>
        </w:rPr>
      </w:pPr>
      <w:r>
        <w:rPr>
          <w:rFonts w:ascii="Arial" w:cs="Arial" w:eastAsia="Arial" w:hAnsi="Arial"/>
          <w:sz w:val="15"/>
          <w:szCs w:val="15"/>
          <w:color w:val="auto"/>
        </w:rPr>
        <w:t>3,029</w:t>
      </w:r>
    </w:p>
    <w:p>
      <w:pPr>
        <w:spacing w:after="0" w:line="84" w:lineRule="exact"/>
        <w:rPr>
          <w:rFonts w:ascii="Arial" w:cs="Arial" w:eastAsia="Arial" w:hAnsi="Arial"/>
          <w:sz w:val="15"/>
          <w:szCs w:val="15"/>
          <w:color w:val="auto"/>
        </w:rPr>
      </w:pPr>
    </w:p>
    <w:p>
      <w:pPr>
        <w:ind w:left="2240"/>
        <w:spacing w:after="0"/>
        <w:rPr>
          <w:rFonts w:ascii="Arial" w:cs="Arial" w:eastAsia="Arial" w:hAnsi="Arial"/>
          <w:sz w:val="15"/>
          <w:szCs w:val="15"/>
          <w:color w:val="auto"/>
        </w:rPr>
      </w:pPr>
      <w:r>
        <w:rPr>
          <w:rFonts w:ascii="Arial" w:cs="Arial" w:eastAsia="Arial" w:hAnsi="Arial"/>
          <w:sz w:val="15"/>
          <w:szCs w:val="15"/>
          <w:color w:val="auto"/>
        </w:rPr>
        <w:t>505</w:t>
      </w:r>
    </w:p>
    <w:p>
      <w:pPr>
        <w:spacing w:after="0" w:line="98" w:lineRule="exact"/>
        <w:rPr>
          <w:sz w:val="20"/>
          <w:szCs w:val="20"/>
          <w:color w:val="auto"/>
        </w:rPr>
      </w:pPr>
    </w:p>
    <w:p>
      <w:pPr>
        <w:ind w:left="2020" w:hanging="907"/>
        <w:spacing w:after="0"/>
        <w:tabs>
          <w:tab w:leader="none" w:pos="2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31,991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71120</wp:posOffset>
            </wp:positionV>
            <wp:extent cx="942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September 30,</w:t>
      </w:r>
    </w:p>
    <w:p>
      <w:pPr>
        <w:spacing w:after="0" w:line="1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2023</w:t>
      </w:r>
    </w:p>
    <w:p>
      <w:pPr>
        <w:spacing w:after="0" w:line="15" w:lineRule="exact"/>
        <w:rPr>
          <w:sz w:val="20"/>
          <w:szCs w:val="20"/>
          <w:color w:val="auto"/>
        </w:rPr>
      </w:pPr>
    </w:p>
    <w:p>
      <w:pPr>
        <w:sectPr>
          <w:pgSz w:w="11900" w:h="16838" w:orient="portrait"/>
          <w:cols w:equalWidth="0" w:num="2">
            <w:col w:w="7940" w:space="720"/>
            <w:col w:w="2580"/>
          </w:cols>
          <w:pgMar w:left="320" w:top="260"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personnel costs</w:t>
            </w:r>
          </w:p>
        </w:tc>
        <w:tc>
          <w:tcPr>
            <w:tcW w:w="2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85,019</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25,601</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Corporate Investments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20" w:type="dxa"/>
            <w:vAlign w:val="bottom"/>
            <w:gridSpan w:val="5"/>
          </w:tcPr>
          <w:p>
            <w:pPr>
              <w:ind w:left="660"/>
              <w:spacing w:after="0"/>
              <w:rPr>
                <w:sz w:val="20"/>
                <w:szCs w:val="20"/>
                <w:color w:val="auto"/>
              </w:rPr>
            </w:pPr>
            <w:r>
              <w:rPr>
                <w:rFonts w:ascii="Arial" w:cs="Arial" w:eastAsia="Arial" w:hAnsi="Arial"/>
                <w:sz w:val="18"/>
                <w:szCs w:val="18"/>
                <w:color w:val="auto"/>
                <w:w w:val="99"/>
              </w:rPr>
              <w:t>Corporate investments and funds held for clients consisted of the following:</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June 30, 2023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4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gains</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Gross unrealized losses</w:t>
            </w:r>
          </w:p>
        </w:tc>
        <w:tc>
          <w:tcPr>
            <w:tcW w:w="260" w:type="dxa"/>
            <w:vAlign w:val="bottom"/>
          </w:tcPr>
          <w:p>
            <w:pPr>
              <w:spacing w:after="0"/>
              <w:rPr>
                <w:sz w:val="16"/>
                <w:szCs w:val="16"/>
                <w:color w:val="auto"/>
              </w:rPr>
            </w:pP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2,132,545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2,132,545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110,003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109,877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29,734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158,839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494,741</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488,870</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2,916,053</w:t>
            </w:r>
          </w:p>
        </w:tc>
        <w:tc>
          <w:tcPr>
            <w:tcW w:w="100" w:type="dxa"/>
            <w:vAlign w:val="bottom"/>
          </w:tcPr>
          <w:p>
            <w:pPr>
              <w:spacing w:after="0"/>
              <w:rPr>
                <w:sz w:val="22"/>
                <w:szCs w:val="22"/>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2,910,182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gridSpan w:val="3"/>
          </w:tcPr>
          <w:p>
            <w:pPr>
              <w:ind w:left="400"/>
              <w:spacing w:after="0"/>
              <w:rPr>
                <w:sz w:val="20"/>
                <w:szCs w:val="20"/>
                <w:color w:val="auto"/>
              </w:rPr>
            </w:pPr>
            <w:r>
              <w:rPr>
                <w:rFonts w:ascii="Arial" w:cs="Arial" w:eastAsia="Arial" w:hAnsi="Arial"/>
                <w:sz w:val="14"/>
                <w:szCs w:val="14"/>
                <w:b w:val="1"/>
                <w:bCs w:val="1"/>
                <w:color w:val="auto"/>
              </w:rPr>
              <w:t>September 30, 2023</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gains</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2,046,617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2,046,617</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70,578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70,522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35,744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159,239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156,554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10,182</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487,484</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481,736</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2,839,132</w:t>
            </w:r>
          </w:p>
        </w:tc>
        <w:tc>
          <w:tcPr>
            <w:tcW w:w="100" w:type="dxa"/>
            <w:vAlign w:val="bottom"/>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2,833,384</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available-for-sale securities were included in Funds held for clients at June 30, 2023 and September 30, 2023.</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Cash and cash equivalents and funds held for clients’ cash and cash equivalents included demand deposit accounts and money market funds at June 30, 2023 and September 30, 2023.</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Unaudited Consolidated Balance Sheets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September 30, 2023</w:t>
            </w:r>
          </w:p>
        </w:tc>
      </w:tr>
      <w:tr>
        <w:trPr>
          <w:trHeight w:val="25"/>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Funds held for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2,621,415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2,528,353</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2,910,182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2,833,384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Available-for-sale securities that had been in an unrealized loss position for a period of less and greater than 12 months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had fair market value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92"/>
              </w:rPr>
              <w:t>June 30, 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60" w:lineRule="exact"/>
              <w:rPr>
                <w:sz w:val="20"/>
                <w:szCs w:val="20"/>
                <w:color w:val="auto"/>
              </w:rPr>
            </w:pPr>
            <w:r>
              <w:rPr>
                <w:rFonts w:ascii="Arial" w:cs="Arial" w:eastAsia="Arial" w:hAnsi="Arial"/>
                <w:sz w:val="14"/>
                <w:szCs w:val="14"/>
                <w:b w:val="1"/>
                <w:bCs w:val="1"/>
                <w:color w:val="auto"/>
                <w:w w:val="90"/>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60" w:lineRule="exact"/>
              <w:rPr>
                <w:sz w:val="20"/>
                <w:szCs w:val="20"/>
                <w:color w:val="auto"/>
              </w:rPr>
            </w:pPr>
            <w:r>
              <w:rPr>
                <w:rFonts w:ascii="Arial" w:cs="Arial" w:eastAsia="Arial" w:hAnsi="Arial"/>
                <w:sz w:val="14"/>
                <w:szCs w:val="14"/>
                <w:b w:val="1"/>
                <w:bCs w:val="1"/>
                <w:color w:val="auto"/>
                <w:w w:val="90"/>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96,665</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103,896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52,254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8"/>
                <w:szCs w:val="18"/>
                <w:color w:val="auto"/>
                <w:w w:val="98"/>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3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line="195" w:lineRule="exact"/>
              <w:rPr>
                <w:sz w:val="20"/>
                <w:szCs w:val="20"/>
                <w:color w:val="auto"/>
              </w:rPr>
            </w:pPr>
            <w:r>
              <w:rPr>
                <w:rFonts w:ascii="Arial" w:cs="Arial" w:eastAsia="Arial" w:hAnsi="Arial"/>
                <w:sz w:val="18"/>
                <w:szCs w:val="18"/>
                <w:color w:val="auto"/>
              </w:rPr>
              <w:t>Total available-for-sale</w:t>
            </w: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(2,305)</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344,035</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(3,611)</w:t>
            </w:r>
          </w:p>
        </w:tc>
        <w:tc>
          <w:tcPr>
            <w:tcW w:w="80" w:type="dxa"/>
            <w:vAlign w:val="bottom"/>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104,818</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(5,916)</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448,853</w:t>
            </w:r>
          </w:p>
        </w:tc>
        <w:tc>
          <w:tcPr>
            <w:tcW w:w="0" w:type="dxa"/>
            <w:vAlign w:val="bottom"/>
          </w:tcPr>
          <w:p>
            <w:pPr>
              <w:spacing w:after="0"/>
              <w:rPr>
                <w:sz w:val="1"/>
                <w:szCs w:val="1"/>
                <w:color w:val="auto"/>
              </w:rPr>
            </w:pPr>
          </w:p>
        </w:tc>
      </w:tr>
      <w:tr>
        <w:trPr>
          <w:trHeight w:val="222"/>
        </w:trPr>
        <w:tc>
          <w:tcPr>
            <w:tcW w:w="20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55"/>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 2023</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60" w:lineRule="exact"/>
              <w:rPr>
                <w:sz w:val="20"/>
                <w:szCs w:val="20"/>
                <w:color w:val="auto"/>
              </w:rPr>
            </w:pPr>
            <w:r>
              <w:rPr>
                <w:rFonts w:ascii="Arial" w:cs="Arial" w:eastAsia="Arial" w:hAnsi="Arial"/>
                <w:sz w:val="14"/>
                <w:szCs w:val="14"/>
                <w:b w:val="1"/>
                <w:bCs w:val="1"/>
                <w:color w:val="auto"/>
                <w:w w:val="90"/>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60" w:lineRule="exact"/>
              <w:rPr>
                <w:sz w:val="20"/>
                <w:szCs w:val="20"/>
                <w:color w:val="auto"/>
              </w:rPr>
            </w:pPr>
            <w:r>
              <w:rPr>
                <w:rFonts w:ascii="Arial" w:cs="Arial" w:eastAsia="Arial" w:hAnsi="Arial"/>
                <w:sz w:val="14"/>
                <w:szCs w:val="14"/>
                <w:b w:val="1"/>
                <w:bCs w:val="1"/>
                <w:color w:val="auto"/>
                <w:w w:val="90"/>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Gross unrealized losses</w:t>
            </w:r>
          </w:p>
        </w:tc>
        <w:tc>
          <w:tcPr>
            <w:tcW w:w="28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140,073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31,445</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37,913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154,055</w:t>
            </w: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8"/>
                <w:szCs w:val="18"/>
                <w:color w:val="auto"/>
                <w:w w:val="98"/>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3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line="195" w:lineRule="exact"/>
              <w:rPr>
                <w:sz w:val="20"/>
                <w:szCs w:val="20"/>
                <w:color w:val="auto"/>
              </w:rPr>
            </w:pPr>
            <w:r>
              <w:rPr>
                <w:rFonts w:ascii="Arial" w:cs="Arial" w:eastAsia="Arial" w:hAnsi="Arial"/>
                <w:sz w:val="18"/>
                <w:szCs w:val="18"/>
                <w:color w:val="auto"/>
              </w:rPr>
              <w:t>Total available-for-sale</w:t>
            </w: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319,949</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(3,629)</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121,240</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(5,770)</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441,189</w:t>
            </w:r>
          </w:p>
        </w:tc>
        <w:tc>
          <w:tcPr>
            <w:tcW w:w="0" w:type="dxa"/>
            <w:vAlign w:val="bottom"/>
          </w:tcPr>
          <w:p>
            <w:pPr>
              <w:spacing w:after="0"/>
              <w:rPr>
                <w:sz w:val="1"/>
                <w:szCs w:val="1"/>
                <w:color w:val="auto"/>
              </w:rPr>
            </w:pPr>
          </w:p>
        </w:tc>
      </w:tr>
      <w:tr>
        <w:trPr>
          <w:trHeight w:val="222"/>
        </w:trPr>
        <w:tc>
          <w:tcPr>
            <w:tcW w:w="20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regularly reviews the composition of its portfolio to determine the existence of credit impairment. The Company did not recognize any credit impairment losses during the three months ended September 30, 2022 or 2023. All securities in the Company’s portfolio held an A-1 rating or better as of September 30, 2023.</w:t>
      </w:r>
    </w:p>
    <w:p>
      <w:pPr>
        <w:spacing w:after="0" w:line="14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did not make any material reclassification adjustments out of accumulated other comprehensive income for realized gains and losses on the sale of available-for-sale securities during the three months ended September 30, 2022 or 2023. There were no realized gains or losses on the sale of available-for-sale securities for the three months ended September 30, 2022 or 2023.</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September 30, 2023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205,662</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168,364</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89"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2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84"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5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measures certain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respective assets and liabilities at June 30, 2023 and September 30, 2023 based upon the short-term nature of these assets and liabilities.</w:t>
      </w:r>
    </w:p>
    <w:p>
      <w:pPr>
        <w:spacing w:after="0" w:line="18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2023 or September 30, 2023.</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level for the Company’s cash and cash equivalents and available-for-sale securities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2"/>
              </w:rPr>
              <w:t>June 30, 2023</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6"/>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2,132,545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2,132,545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2,910,182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2,421,312</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488,870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1"/>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 2023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2,046,617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2,046,617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156,554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156,554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481,736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481,736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6"/>
        </w:trPr>
        <w:tc>
          <w:tcPr>
            <w:tcW w:w="502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2,833,384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2,351,648</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481,736</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extends the maturity date of the credit facility to August 2027 and replaces the interest rate based on London Interbank Offered Rate with an interest rate based on secured overnight financing rate ("SOFR"). The Company had no borrowings at June 30, 2023 or September 30, 2023.</w:t>
      </w:r>
    </w:p>
    <w:p>
      <w:pPr>
        <w:spacing w:after="0" w:line="10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6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September 30, 2023, the Company was in compliance with all of the aforementioned covenants.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0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maintains a 2014 Equity Incentive Plan (the “2014 Plan”) pursuant to which the Company has reserved shares of its common stock for issuance to its employees, directors and non-employee third parties.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36"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As of September 30, 2023, the Company had 13,444 shares allocated to the 2014 Plan, of which 2,076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0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 during the three months ended September 30,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80" w:type="dxa"/>
            <w:vAlign w:val="bottom"/>
          </w:tcPr>
          <w:p>
            <w:pPr>
              <w:jc w:val="right"/>
              <w:ind w:right="322"/>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for grant at July 1, 2023</w:t>
            </w:r>
          </w:p>
        </w:tc>
        <w:tc>
          <w:tcPr>
            <w:tcW w:w="6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50"/>
        </w:trPr>
        <w:tc>
          <w:tcPr>
            <w:tcW w:w="492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6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MSUs granted</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4920" w:type="dxa"/>
            <w:vAlign w:val="bottom"/>
          </w:tcPr>
          <w:p>
            <w:pPr>
              <w:ind w:left="20"/>
              <w:spacing w:after="0"/>
              <w:rPr>
                <w:sz w:val="20"/>
                <w:szCs w:val="20"/>
                <w:color w:val="auto"/>
              </w:rPr>
            </w:pPr>
            <w:r>
              <w:rPr>
                <w:rFonts w:ascii="Arial" w:cs="Arial" w:eastAsia="Arial" w:hAnsi="Arial"/>
                <w:sz w:val="18"/>
                <w:szCs w:val="18"/>
                <w:color w:val="auto"/>
              </w:rPr>
              <w:t>Shares withheld in settlement of taxes and/or exercise price</w:t>
            </w:r>
          </w:p>
        </w:tc>
        <w:tc>
          <w:tcPr>
            <w:tcW w:w="6320" w:type="dxa"/>
            <w:vAlign w:val="bottom"/>
            <w:gridSpan w:val="2"/>
          </w:tcPr>
          <w:p>
            <w:pPr>
              <w:jc w:val="right"/>
              <w:ind w:right="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484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6"/>
        </w:trPr>
        <w:tc>
          <w:tcPr>
            <w:tcW w:w="4920" w:type="dxa"/>
            <w:vAlign w:val="bottom"/>
          </w:tcPr>
          <w:p>
            <w:pPr>
              <w:ind w:left="20"/>
              <w:spacing w:after="0"/>
              <w:rPr>
                <w:sz w:val="20"/>
                <w:szCs w:val="20"/>
                <w:color w:val="auto"/>
              </w:rPr>
            </w:pPr>
            <w:r>
              <w:rPr>
                <w:rFonts w:ascii="Arial" w:cs="Arial" w:eastAsia="Arial" w:hAnsi="Arial"/>
                <w:sz w:val="18"/>
                <w:szCs w:val="18"/>
                <w:color w:val="auto"/>
              </w:rPr>
              <w:t>Available for grant at September 30, 2023</w:t>
            </w:r>
          </w:p>
        </w:tc>
        <w:tc>
          <w:tcPr>
            <w:tcW w:w="6320" w:type="dxa"/>
            <w:vAlign w:val="bottom"/>
            <w:gridSpan w:val="2"/>
          </w:tcPr>
          <w:p>
            <w:pPr>
              <w:jc w:val="right"/>
              <w:ind w:right="2"/>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4840" w:type="dxa"/>
            <w:vAlign w:val="bottom"/>
            <w:vMerge w:val="restart"/>
          </w:tcPr>
          <w:p>
            <w:pPr>
              <w:jc w:val="right"/>
              <w:ind w:right="3950"/>
              <w:spacing w:after="0"/>
              <w:rPr>
                <w:sz w:val="20"/>
                <w:szCs w:val="20"/>
                <w:color w:val="auto"/>
              </w:rPr>
            </w:pPr>
            <w:r>
              <w:rPr>
                <w:rFonts w:ascii="Arial" w:cs="Arial" w:eastAsia="Arial" w:hAnsi="Arial"/>
                <w:sz w:val="18"/>
                <w:szCs w:val="18"/>
                <w:color w:val="auto"/>
              </w:rPr>
              <w:t>14</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2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Stock-based compensation expense related to restricted stock units (“RSUs”), market share units (“MSUs”) and the Employee Stock Purchase Plan is included in the following line items in the accompanying unaudited consolidated statements of operations and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333"/>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6"/>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39,813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addition, the Company capitalized $2,942 and $4,049 of stock-based compensation expense in its capitalized internal-use software costs in the three months ended September 30, 2022 and 2023, respectively.</w:t>
      </w:r>
    </w:p>
    <w:p>
      <w:pPr>
        <w:spacing w:after="0" w:line="1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stock options granted during the three months ended September 30, 2023. The table below presents stock option activity during the three months ended September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0"/>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 contractual</w:t>
            </w:r>
          </w:p>
        </w:tc>
        <w:tc>
          <w:tcPr>
            <w:tcW w:w="12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Aggregate intrinsic</w:t>
            </w:r>
          </w:p>
        </w:tc>
      </w:tr>
      <w:tr>
        <w:trPr>
          <w:trHeight w:val="186"/>
        </w:trPr>
        <w:tc>
          <w:tcPr>
            <w:tcW w:w="5040" w:type="dxa"/>
            <w:vAlign w:val="bottom"/>
          </w:tcPr>
          <w:p>
            <w:pPr>
              <w:spacing w:after="0"/>
              <w:rPr>
                <w:sz w:val="16"/>
                <w:szCs w:val="16"/>
                <w:color w:val="auto"/>
              </w:rPr>
            </w:pPr>
          </w:p>
        </w:tc>
        <w:tc>
          <w:tcPr>
            <w:tcW w:w="148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(years)</w:t>
            </w: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Arial" w:cs="Arial" w:eastAsia="Arial" w:hAnsi="Arial"/>
                <w:sz w:val="14"/>
                <w:szCs w:val="14"/>
                <w:b w:val="1"/>
                <w:bCs w:val="1"/>
                <w:color w:val="auto"/>
              </w:rPr>
              <w:t>value</w:t>
            </w:r>
          </w:p>
        </w:tc>
      </w:tr>
      <w:tr>
        <w:trPr>
          <w:trHeight w:val="26"/>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balance at July 1, 2023</w:t>
            </w:r>
          </w:p>
        </w:tc>
        <w:tc>
          <w:tcPr>
            <w:tcW w:w="14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46,129</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9"/>
              </w:rPr>
              <w:t>(14)</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 balance at September 30, 2023</w:t>
            </w:r>
          </w:p>
        </w:tc>
        <w:tc>
          <w:tcPr>
            <w:tcW w:w="14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Options vested and exercisable at September 30, 2023</w:t>
            </w:r>
          </w:p>
        </w:tc>
        <w:tc>
          <w:tcPr>
            <w:tcW w:w="14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274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43,157</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intrinsic value of options exercised was $48,143 and $2,494 during the three months ended September 30, 2022 and 2023, respectively.</w:t>
      </w:r>
    </w:p>
    <w:p>
      <w:pPr>
        <w:spacing w:after="0" w:line="20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grants RSUs under the 2014 Plan with terms determined at the discretion of the compensation committee of the Company’s board of directors. RSUs generally vest over four years following the grant date and have time-based vesting conditions.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restricted stock unit activity during the three months ended September 30,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Weighted average</w:t>
            </w:r>
          </w:p>
        </w:tc>
      </w:tr>
      <w:tr>
        <w:trPr>
          <w:trHeight w:val="186"/>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grant date fair value</w:t>
            </w:r>
          </w:p>
        </w:tc>
      </w:tr>
      <w:tr>
        <w:trPr>
          <w:trHeight w:val="25"/>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 balance at July 1, 2023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r>
      <w:tr>
        <w:trPr>
          <w:trHeight w:val="25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RSUs 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721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195.06</w:t>
            </w:r>
          </w:p>
        </w:tc>
      </w:tr>
      <w:tr>
        <w:trPr>
          <w:trHeight w:val="263"/>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201.67</w:t>
            </w:r>
          </w:p>
        </w:tc>
      </w:tr>
      <w:tr>
        <w:trPr>
          <w:trHeight w:val="277"/>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 balance at September 30, 2023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At September 30, 2023, there was $219,879 of total unrecognized compensation cost, net of estimated forfeitures, related to unvested restricted stock units granted. That cost is expected to be recognized over a weighted average period of 2.0 years.</w:t>
      </w:r>
    </w:p>
    <w:p>
      <w:pPr>
        <w:spacing w:after="0" w:line="13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also grants MSUs under the 2014 Plan with terms determined at the discretion of the compensation committee of the Company's board of directors.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market share unit activity during the three months ended September 30,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Weighted average</w:t>
            </w:r>
          </w:p>
        </w:tc>
      </w:tr>
      <w:tr>
        <w:trPr>
          <w:trHeight w:val="186"/>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grant date fair value</w:t>
            </w:r>
          </w:p>
        </w:tc>
      </w:tr>
      <w:tr>
        <w:trPr>
          <w:trHeight w:val="26"/>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MSU balance at July 1, 2023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320.38</w:t>
            </w:r>
          </w:p>
        </w:tc>
      </w:tr>
      <w:tr>
        <w:trPr>
          <w:trHeight w:val="250"/>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MSUs 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256.66</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MSUs vested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r>
      <w:tr>
        <w:trPr>
          <w:trHeight w:val="256"/>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MSU balance at September 30, 2023</w:t>
            </w: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335.84</w:t>
            </w:r>
          </w:p>
        </w:tc>
      </w:tr>
      <w:tr>
        <w:trPr>
          <w:trHeight w:val="21"/>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estimated the grant date fair value of the MSUs using a Monte Carlo simulation model that included the following assumptions:</w:t>
      </w:r>
    </w:p>
    <w:p>
      <w:pPr>
        <w:spacing w:after="0" w:line="26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gridSpan w:val="2"/>
          </w:tcPr>
          <w:p>
            <w:pPr>
              <w:ind w:left="878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26"/>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50"/>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3.04</w:t>
            </w:r>
          </w:p>
        </w:tc>
      </w:tr>
      <w:tr>
        <w:trPr>
          <w:trHeight w:val="263"/>
        </w:trPr>
        <w:tc>
          <w:tcPr>
            <w:tcW w:w="91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bl>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September 30, 2023, there was $21,666 of total unrecognized compensation cost, net of estimated forfeitures, related to unvested MSUs. That cost is expected to be recognized over a period of 1.8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Litigation</w:t>
      </w:r>
    </w:p>
    <w:p>
      <w:pPr>
        <w:spacing w:after="0" w:line="18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On September 11, 2023, a second potential class action complaint was filed against the Company with the Circuit Court of Cook County that alleges violations of the Illinois Biometric Information Privacy Act that overlap with claims in the first action. The Company is unable to estimate any reasonably possible loss, or range of loss, with respect to these matters at this time. The Company intends to vigorously defend against these lawsuits.</w:t>
      </w:r>
    </w:p>
    <w:p>
      <w:pPr>
        <w:spacing w:after="0" w:line="13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Company's effective tax rate was (338.2)% and 22.3% for the three months ended September 30, 2022 and 2023, respectively. The Company's effective tax rate for the three months ended September 30, 2022 was lower than the federal statutory rate of 21% primarily due to excess tax benefits from employee stock-based compensation, state and local income taxes, and a decrease to the valuation allowance. The Company's effective tax rate for the three months ended September 30, 2023 was higher than the federal statutory rate of 21% primarily due to state and local income taxes, partially offset by federal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as of the balance sheet date. The following table presents the calculation of basic and diluted net income per share:</w:t>
      </w:r>
    </w:p>
    <w:p>
      <w:pPr>
        <w:spacing w:after="0" w:line="206"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6"/>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30,352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34,517</w:t>
            </w:r>
          </w:p>
        </w:tc>
      </w:tr>
      <w:tr>
        <w:trPr>
          <w:trHeight w:val="277"/>
        </w:trPr>
        <w:tc>
          <w:tcPr>
            <w:tcW w:w="8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55,453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56,037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Employee stock options, restricted stock units and market share units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r>
      <w:tr>
        <w:trPr>
          <w:trHeight w:val="257"/>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56,664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56,881</w:t>
            </w:r>
          </w:p>
        </w:tc>
      </w:tr>
      <w:tr>
        <w:trPr>
          <w:trHeight w:val="270"/>
        </w:trPr>
        <w:tc>
          <w:tcPr>
            <w:tcW w:w="8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6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bl>
    <w:p>
      <w:pPr>
        <w:spacing w:after="0" w:line="25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following table summarizes the outstanding restricted stock units and market share units as of September 30, 2022 and 2023 that were excluded from the diluted per share calculation for the periods presented because to include them would have been antidilutive:</w:t>
      </w:r>
    </w:p>
    <w:p>
      <w:pPr>
        <w:spacing w:after="0" w:line="151"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 share units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6"/>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jc w:val="right"/>
              <w:ind w:right="2374"/>
              <w:spacing w:after="0"/>
              <w:rPr>
                <w:sz w:val="20"/>
                <w:szCs w:val="20"/>
                <w:color w:val="auto"/>
              </w:rPr>
            </w:pPr>
            <w:r>
              <w:rPr>
                <w:rFonts w:ascii="Arial" w:cs="Arial" w:eastAsia="Arial" w:hAnsi="Arial"/>
                <w:sz w:val="18"/>
                <w:szCs w:val="18"/>
                <w:color w:val="auto"/>
              </w:rPr>
              <w:t>17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1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2023 filed with the SEC on August 4,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6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4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Paylocity Holding Corporation is a Delaware corporation, which was formed in November 2013. Our business operations are conducted by our wholly owned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8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Growth</w:t>
      </w:r>
    </w:p>
    <w:p>
      <w:pPr>
        <w:spacing w:after="0" w:line="185"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$253.3 million for the three months ended September 30, 2022 to $317.6 million for the three months ended September 30, 2023, representing a 25% year-over-year increase. The increase in year-over-year revenue growth was driven by the strong performance by our sales team and growth in interest income on funds held for clients attributable to rising interest rates and higher average daily balances for funds held for clients due to the addition of</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new clients as compared to the prior fiscal year. Our revenue growth in future periods may be impacted by fluctuations in client employee counts, potential increases in client losses, a changing interest rate environment, uncertainties around market and economic conditions including inflation risk, among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19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1"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17"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defined below.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76"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89"/>
              </w:rPr>
              <w:t>(in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168,737</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216,119</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capitalized internal-use software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Amortization of certain acquired intangibles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Stock-based compensation expense and employer payroll taxes related to stock releases and option exercises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20" w:type="dxa"/>
            <w:vAlign w:val="bottom"/>
            <w:tcBorders>
              <w:bottom w:val="single" w:sz="8" w:color="CCEEFF"/>
            </w:tcBorders>
            <w:shd w:val="clear" w:color="auto" w:fill="CCEEFF"/>
          </w:tcPr>
          <w:p>
            <w:pPr>
              <w:spacing w:after="0"/>
              <w:rPr>
                <w:sz w:val="24"/>
                <w:szCs w:val="24"/>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182,697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233,110</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89"/>
              </w:rPr>
              <w:t>(in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30,352</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34,517</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61,725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Stock-based compensation expense and employer payroll taxes related to stock releases and option exercises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82"/>
        </w:trPr>
        <w:tc>
          <w:tcPr>
            <w:tcW w:w="220" w:type="dxa"/>
            <w:vAlign w:val="bottom"/>
            <w:tcBorders>
              <w:bottom w:val="single" w:sz="8" w:color="CCEEFF"/>
            </w:tcBorders>
            <w:shd w:val="clear" w:color="auto" w:fill="CCEEFF"/>
          </w:tcPr>
          <w:p>
            <w:pPr>
              <w:spacing w:after="0"/>
              <w:rPr>
                <w:sz w:val="24"/>
                <w:szCs w:val="24"/>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104,886</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0"/>
              </w:rPr>
              <w:t>(1)</w:t>
            </w:r>
          </w:p>
        </w:tc>
        <w:tc>
          <w:tcPr>
            <w:tcW w:w="79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Represents acquisition-related costs.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20" w:type="dxa"/>
            <w:vAlign w:val="bottom"/>
            <w:vMerge w:val="continue"/>
          </w:tcPr>
          <w:p>
            <w:pPr>
              <w:spacing w:after="0"/>
              <w:rPr>
                <w:sz w:val="24"/>
                <w:szCs w:val="24"/>
                <w:color w:val="auto"/>
              </w:rPr>
            </w:pPr>
          </w:p>
        </w:tc>
        <w:tc>
          <w:tcPr>
            <w:tcW w:w="7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0"/>
              </w:rPr>
              <w:t>(2)</w:t>
            </w:r>
          </w:p>
        </w:tc>
        <w:tc>
          <w:tcPr>
            <w:tcW w:w="7960" w:type="dxa"/>
            <w:vAlign w:val="bottom"/>
          </w:tcPr>
          <w:p>
            <w:pPr>
              <w:ind w:left="420"/>
              <w:spacing w:after="0"/>
              <w:rPr>
                <w:sz w:val="20"/>
                <w:szCs w:val="20"/>
                <w:color w:val="auto"/>
              </w:rPr>
            </w:pPr>
            <w:r>
              <w:rPr>
                <w:rFonts w:ascii="Arial" w:cs="Arial" w:eastAsia="Arial" w:hAnsi="Arial"/>
                <w:sz w:val="18"/>
                <w:szCs w:val="18"/>
                <w:color w:val="auto"/>
              </w:rPr>
              <w:t>Represents acquisition and other nonrecurring transaction-related costs.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20" w:type="dxa"/>
            <w:vAlign w:val="bottom"/>
          </w:tcPr>
          <w:p>
            <w:pPr>
              <w:spacing w:after="0"/>
              <w:rPr>
                <w:sz w:val="24"/>
                <w:szCs w:val="24"/>
                <w:color w:val="auto"/>
              </w:rPr>
            </w:pPr>
          </w:p>
        </w:tc>
        <w:tc>
          <w:tcPr>
            <w:tcW w:w="7960" w:type="dxa"/>
            <w:vAlign w:val="bottom"/>
          </w:tcPr>
          <w:p>
            <w:pPr>
              <w:ind w:left="53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7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 Implementations of our payroll solutions typically require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140 employees.</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a good indicator of our financial results in any given period. Recurring and other revenue accounted for 97% and 92% of our total revenues for the three months ended September 30, 2022 and 2023, respectively.</w:t>
      </w:r>
    </w:p>
    <w:p>
      <w:pPr>
        <w:spacing w:after="0" w:line="16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5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also capitalize a portion of our internal-use software costs, which are then primarily amortized as Cost of revenues. We amortized $7.0 million and $9.5 million of capitalized internal-use software costs during the three months ended September 30, 2022 and 2023,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8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9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2022 and 2023.</w:t>
      </w:r>
    </w:p>
    <w:p>
      <w:pPr>
        <w:spacing w:after="0" w:line="189"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17"/>
        </w:trPr>
        <w:tc>
          <w:tcPr>
            <w:tcW w:w="8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8"/>
                <w:szCs w:val="18"/>
                <w:color w:val="auto"/>
              </w:rPr>
            </w:pP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portion of research and development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40,093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44,605</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51,843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63,535</w:t>
            </w:r>
          </w:p>
        </w:tc>
      </w:tr>
    </w:tbl>
    <w:p>
      <w:pPr>
        <w:spacing w:after="0" w:line="2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20"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8"/>
                <w:szCs w:val="18"/>
                <w:color w:val="auto"/>
              </w:rPr>
            </w:pPr>
          </w:p>
        </w:tc>
      </w:tr>
      <w:tr>
        <w:trPr>
          <w:trHeight w:val="26"/>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Recurring and other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291,685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income on funds held for clients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317,586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101,467</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168,737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216,119</w:t>
            </w:r>
          </w:p>
        </w:tc>
      </w:tr>
      <w:tr>
        <w:trPr>
          <w:trHeight w:val="210"/>
        </w:trPr>
        <w:tc>
          <w:tcPr>
            <w:tcW w:w="8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80,403</w:t>
            </w: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44,605</w:t>
            </w: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49,922</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174,930</w:t>
            </w:r>
          </w:p>
        </w:tc>
      </w:tr>
      <w:tr>
        <w:trPr>
          <w:trHeight w:val="223"/>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41,189</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r>
      <w:tr>
        <w:trPr>
          <w:trHeight w:val="223"/>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21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9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Recurring and other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8960" w:type="dxa"/>
            <w:vAlign w:val="bottom"/>
            <w:gridSpan w:val="2"/>
          </w:tcPr>
          <w:p>
            <w:pPr>
              <w:ind w:left="240"/>
              <w:spacing w:after="0"/>
              <w:rPr>
                <w:sz w:val="20"/>
                <w:szCs w:val="20"/>
                <w:color w:val="auto"/>
              </w:rPr>
            </w:pPr>
            <w:r>
              <w:rPr>
                <w:rFonts w:ascii="Arial" w:cs="Arial" w:eastAsia="Arial" w:hAnsi="Arial"/>
                <w:sz w:val="18"/>
                <w:szCs w:val="18"/>
                <w:color w:val="auto"/>
              </w:rPr>
              <w:t>Interest income on funds held for clients</w:t>
            </w:r>
          </w:p>
        </w:tc>
        <w:tc>
          <w:tcPr>
            <w:tcW w:w="5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5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896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22</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9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2022 and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245,406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291,685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25,901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18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Recurring and other revenue for the three months ended September 30, 2023 increased by $46.3 million, or 19%, to $291.7 million from $245.4 million for three months ended September 30, 2022. Recurring and other revenue increased primarily as a result of incremental revenues from new and existing clients due to the strong performance by our sales team.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198"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Interest income on funds held for clients for the three months ended September 30, 2023 increased by $18.0 million, or 229%, to $25.9 million from $7.9 million for the three months ended September 30, 2022. Interest income on funds held for clients increased primarily due to higher interest rates and higher average daily balances for funds held due to the addition of new clients to our client base as compared to the prior fiscal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ind w:left="60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84,543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101,467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16,924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w w:val="92"/>
              </w:rPr>
              <w:t>33 %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67 %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8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Cost of revenues for the three months ended September 30, 2023 increased by $16.9 million, or 20%, to $101.5 million from $84.5 million for the three months ended September 30, 2022. Cost of revenues increased primarily as a result of the continued growth of our business, in particular, $9.8 million in additional employee-related costs resulting from additional personnel necessary to provide services to new and existing clients, $3.7 million in additional delivery and other processing costs, and $2.5 million in additional amortization of internal use software. Gross margin increased from 67% for the three months ended September 30, 2022 to 68% for the three months ended September 30, 2023.</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71,063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80,403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9,340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2"/>
              </w:rPr>
              <w:t>28 %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Sales and marketing expenses for the three months ended September 30, 2023 increased by $9.3 million, or 13%, to $80.4 million from $71.1 million for the three months ended September 30, 2022. The increase in sales and marketing expense was primarily due to $6.8 million of additional employee-related costs, including those incurred to expand our sales team.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40,093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44,605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4,512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2"/>
              </w:rPr>
              <w:t>16 %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2023 increased by $4.5 million, or 11%, to $44.6 million from $40.1 million for the three months ended September 30, 2022. The increase in research and development expenses was primarily due to $8.6 million of additional employee-related costs related to additional development personnel, partially offset by $6.0 million in higher period-over-period capitalized internal-use software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50,492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49,922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60" w:type="dxa"/>
            <w:vAlign w:val="bottom"/>
          </w:tcPr>
          <w:p>
            <w:pPr>
              <w:spacing w:after="0"/>
              <w:rPr>
                <w:sz w:val="20"/>
                <w:szCs w:val="20"/>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92"/>
              </w:rPr>
              <w:t>20 %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 and administrative expenses for the three months ended September 30, 2023 decreased by $0.6 million, or 1%, to $49.9 million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$50.5 million for the three months ended September 30, 2022. General and administrative expenses did not materially change compared to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2022 as we continue to focus on achieving cost efficiencies as our business scales.</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Other income for the three months ended September 30, 2023 increased by $3.2 million as compared to the three months ended September 30, 2022. The change in other income was primarily due to higher interest income earned on our cash and cash equivalents as a result of higher interest rates.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180" w:firstLine="648"/>
        <w:spacing w:after="0" w:line="231" w:lineRule="auto"/>
        <w:rPr>
          <w:sz w:val="20"/>
          <w:szCs w:val="20"/>
          <w:color w:val="auto"/>
        </w:rPr>
      </w:pPr>
      <w:r>
        <w:rPr>
          <w:rFonts w:ascii="Arial" w:cs="Arial" w:eastAsia="Arial" w:hAnsi="Arial"/>
          <w:sz w:val="18"/>
          <w:szCs w:val="18"/>
          <w:color w:val="auto"/>
        </w:rPr>
        <w:t>Our effective tax rate was (338.2)% and 22.3% for the three months ended September 30, 2022 and 2023, respectively. Our effective tax rate for the three months ended September 30, 2022 was lower than the federal statutory rate of 21% primarily due to excess tax benefits from employee stock-based compensation, state and local income taxes, and a decrease to the valuation allowance. Our effective tax rate for the three months ended September 30, 2023 was higher than the federal statutory rate of 21% primarily due to state and local income taxes, partially offset by federal research and development tax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3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2023 included in our Annual Report on Form 10-K filed with the SEC on August 4,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September 30, 2023, our principal source of liquidity was $305.0 million of cash and cash equivalents. We maintain a credit agreement that provides for a $550.0 million revolving credit facility, which may be increased up to $825.0 million. No amounts were drawn on the revolving credit facility as of September 30, 2023. Refer to Note 7 of the Notes to the Unaudited Consolidated Financial Statements for additional detail on the amended credit agreement.</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may invest portions of our excess cash and cash equivalents in highly liquid, investment-grade marketable securities. These investments may consist of money market funds, commercial paper, corporate debt issuances, asset-backed debt securities, certificates of deposit, U.S. treasury securities, U.S. government agency securities and other securities with credit quality ratings of A-1 or higher. As of September 30, 2023, we did not have any corporate investments classified as available-for-sale securities.</w:t>
      </w:r>
    </w:p>
    <w:p>
      <w:pPr>
        <w:spacing w:after="0" w:line="14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1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Funds held for clients and client fund obligations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0"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same time we debit the client’s account for payroll and tax obligations and thus are able to reduce collectability and accounts receivable risks.</w:t>
      </w:r>
    </w:p>
    <w:p>
      <w:pPr>
        <w:spacing w:after="0" w:line="19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(92,567)</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101,216</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(3,454)</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8180" w:type="dxa"/>
            <w:vAlign w:val="bottom"/>
          </w:tcPr>
          <w:p>
            <w:pPr>
              <w:ind w:left="4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(89,476)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(9,404)</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Net change in client fund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(1,688,339)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(93,566)</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(122,402)</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funds held for clients'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Net cash provided by operating activities was $16.4 million and $62.1 million for the three months ended September 30, 2022 and 2023, respectively. The change in net cash provided by operating activities from the three months ended September 30, 2022 to the three months ended September 30, 2023 was primarily due to improved operating results after adjusting for non-cash items including stock-based compensation expense, depreciation and amortization expense and deferred income tax expense (benefit), accompanied by net changes in operating assets and liabilities during the three months ended September 30, 2023 as compared to the three months ended September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Net cash used in investing activities was $89.5 million and $9.4 million for the three months ended September 30, 2022 and 2023,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31"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The change in net cash used in investing activities was primarily due to $58.4 million in additional proceeds from the sales and maturities of available-for-sale securities and $26.4 million in fewer purchases of available-for-sale securities, partially offset by $4.2 million in additional capitalized internal-use software costs during the three months ended September 30, 2023 as compared to the three months ended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Net cash used in financing activities was $1,763.3 million and $122.4 million for the three months ended September 30, 2022 and 2023, respectively. The change in net cash used in financing activities was primarily the result of a decrease in client fund obligations of $1,594.8 million due to the timing of client funds collected and related remittance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those funds to client employees and taxing authorities during the three months ended September 30, 2023 as compared to the three months ended September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September 30, 2023, our principal commitments consisted of $79.5 million in operating lease obligations, of which $10.7 million is due in the next twelve months. We also had $53.4 million in purchase obligations, of which $31.8 million is due in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$3.4 million and $3.5 million for the three months ended September 30, 2022 and 2023, respectively, exclusive of capitalized internal-use software costs of $10.0 million and $14.2 million for the same periods,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0"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4, 2023 for risks related to our business.</w:t>
      </w:r>
    </w:p>
    <w:p>
      <w:pPr>
        <w:spacing w:after="0" w:line="13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have not used, nor do we intend to use, derivatives to mitigate the impact of interest rate or other exposure or for trading or speculative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2023, we had cash and cash equivalents of $305.0 million and funds held for clients of $2,528.4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money market funds, commercial paper, corporate debt issuances, asset-backed debt securities, certificates of deposit, U.S. treasury securities, U.S. government agency securities and other.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5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2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Based upon a sensitivity model that measures market value changes caused by interest rate fluctuations, an immediate 100-basis point increase in interest rates would have resulted in a decrease in the market value of our available-for-sale securities by $5.9 million as of September 30, 2023. An immediate 100-basis point decrease in interest rates would have resulted in an increase in the market value of our available-for-sale securities by</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$5.9 million as of September 30, 2023. Fluctuations in the value of our available-for-sale securities caused by changes in interest rates are recorded in other comprehensive income and are only realized if we sell the underlying securities.</w:t>
      </w:r>
    </w:p>
    <w:p>
      <w:pPr>
        <w:spacing w:after="0" w:line="14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212529"/>
        </w:rPr>
        <w:t xml:space="preserve">Additionally, as described in </w:t>
      </w:r>
      <w:r>
        <w:rPr>
          <w:rFonts w:ascii="Arial" w:cs="Arial" w:eastAsia="Arial" w:hAnsi="Arial"/>
          <w:sz w:val="18"/>
          <w:szCs w:val="18"/>
          <w:color w:val="000000"/>
        </w:rPr>
        <w:t>Note 7 of the Notes to the Unaudited Consolidated Financial Statements,</w:t>
      </w:r>
      <w:r>
        <w:rPr>
          <w:rFonts w:ascii="Arial" w:cs="Arial" w:eastAsia="Arial" w:hAnsi="Arial"/>
          <w:sz w:val="18"/>
          <w:szCs w:val="18"/>
          <w:color w:val="212529"/>
        </w:rPr>
        <w:t xml:space="preserve"> we maintain a credit agreement that provides for a revolving credit facility (“credit facility”) in the aggregate amount of </w:t>
      </w:r>
      <w:r>
        <w:rPr>
          <w:rFonts w:ascii="Arial" w:cs="Arial" w:eastAsia="Arial" w:hAnsi="Arial"/>
          <w:sz w:val="18"/>
          <w:szCs w:val="18"/>
          <w:color w:val="000000"/>
        </w:rPr>
        <w:t>$550.0</w:t>
      </w:r>
      <w:r>
        <w:rPr>
          <w:rFonts w:ascii="Arial" w:cs="Arial" w:eastAsia="Arial" w:hAnsi="Arial"/>
          <w:sz w:val="18"/>
          <w:szCs w:val="18"/>
          <w:color w:val="212529"/>
        </w:rPr>
        <w:t xml:space="preserve"> million, which may be increased up to </w:t>
      </w:r>
      <w:r>
        <w:rPr>
          <w:rFonts w:ascii="Arial" w:cs="Arial" w:eastAsia="Arial" w:hAnsi="Arial"/>
          <w:sz w:val="18"/>
          <w:szCs w:val="18"/>
          <w:color w:val="000000"/>
        </w:rPr>
        <w:t>$825.0</w:t>
      </w:r>
      <w:r>
        <w:rPr>
          <w:rFonts w:ascii="Arial" w:cs="Arial" w:eastAsia="Arial" w:hAnsi="Arial"/>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Arial" w:cs="Arial" w:eastAsia="Arial" w:hAnsi="Arial"/>
          <w:sz w:val="18"/>
          <w:szCs w:val="18"/>
          <w:color w:val="000000"/>
        </w:rPr>
        <w:t>September 30, 2023</w:t>
      </w:r>
      <w:r>
        <w:rPr>
          <w:rFonts w:ascii="Arial" w:cs="Arial" w:eastAsia="Arial" w:hAnsi="Arial"/>
          <w:sz w:val="18"/>
          <w:szCs w:val="18"/>
          <w:color w:val="212529"/>
        </w:rPr>
        <w:t>, there were no amounts drawn on the credit facility. To the extent that we draw additional amounts under the credit facility, we may be exposed to increased market risk from changes in the underlying index rates, which affects our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2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management, with the participation of our Co-Chief Executive Officers and Chief Financial Officer, has evaluated the effectiveness of our disclosure controls and procedures as of September 30, 2023, the end of the period covered by this Quarterly Report on Form 10-Q. Based upon such evaluation, our Co-Chief Executive Officers and Chief Financial Officer have concluded that our disclosure controls and procedures were effective as of such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0"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material changes in our risk factors disclosed in “Item 1A. Risk Factors” of our Annual Report on Form 10-K for the fiscal year ended June 30, 2023 filed with the SEC on August 4,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(b)Use of Proceeds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60"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3"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During the three months ended September 30, 2023, the following directors and/or officers adopted a “Rule 10b5-1 trading arrangement,” as defined in Item 408(a) of Regulation S-K intending to satisfy the affirmative defense of Rule 10b5-1(c):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Total Shares of Common</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and Title</w:t>
            </w: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Stock to be Sold (1)</w:t>
            </w:r>
          </w:p>
        </w:tc>
        <w:tc>
          <w:tcPr>
            <w:tcW w:w="8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Duration (2)</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Adoption Date</w:t>
            </w:r>
          </w:p>
        </w:tc>
        <w:tc>
          <w:tcPr>
            <w:tcW w:w="8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R. Beauchamp</w:t>
            </w:r>
          </w:p>
        </w:tc>
        <w:tc>
          <w:tcPr>
            <w:tcW w:w="100" w:type="dxa"/>
            <w:vAlign w:val="bottom"/>
            <w:shd w:val="clear" w:color="auto" w:fill="CCEEFF"/>
          </w:tcPr>
          <w:p>
            <w:pPr>
              <w:spacing w:after="0"/>
              <w:rPr>
                <w:sz w:val="19"/>
                <w:szCs w:val="19"/>
                <w:color w:val="auto"/>
              </w:rPr>
            </w:pPr>
          </w:p>
        </w:tc>
        <w:tc>
          <w:tcPr>
            <w:tcW w:w="2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Up to 222,116 (3)</w:t>
            </w:r>
          </w:p>
        </w:tc>
        <w:tc>
          <w:tcPr>
            <w:tcW w:w="2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November 6, 2023 -</w:t>
            </w:r>
          </w:p>
        </w:tc>
        <w:tc>
          <w:tcPr>
            <w:tcW w:w="2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August 7, 2023</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August 30, 2024</w:t>
            </w:r>
          </w:p>
        </w:tc>
        <w:tc>
          <w:tcPr>
            <w:tcW w:w="0" w:type="dxa"/>
            <w:vAlign w:val="bottom"/>
          </w:tcPr>
          <w:p>
            <w:pPr>
              <w:spacing w:after="0"/>
              <w:rPr>
                <w:sz w:val="1"/>
                <w:szCs w:val="1"/>
                <w:color w:val="auto"/>
              </w:rPr>
            </w:pPr>
          </w:p>
        </w:tc>
      </w:tr>
      <w:tr>
        <w:trPr>
          <w:trHeight w:val="26"/>
        </w:trPr>
        <w:tc>
          <w:tcPr>
            <w:tcW w:w="3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gridSpan w:val="2"/>
            <w:vMerge w:val="continue"/>
            <w:shd w:val="clear" w:color="auto" w:fill="CCEEFF"/>
          </w:tcPr>
          <w:p>
            <w:pPr>
              <w:spacing w:after="0"/>
              <w:rPr>
                <w:sz w:val="2"/>
                <w:szCs w:val="2"/>
                <w:color w:val="auto"/>
              </w:rPr>
            </w:pPr>
          </w:p>
        </w:tc>
        <w:tc>
          <w:tcPr>
            <w:tcW w:w="2120" w:type="dxa"/>
            <w:vAlign w:val="bottom"/>
            <w:gridSpan w:val="2"/>
            <w:vMerge w:val="continue"/>
            <w:shd w:val="clear" w:color="auto" w:fill="CCEEFF"/>
          </w:tcPr>
          <w:p>
            <w:pPr>
              <w:spacing w:after="0"/>
              <w:rPr>
                <w:sz w:val="2"/>
                <w:szCs w:val="2"/>
                <w:color w:val="auto"/>
              </w:rPr>
            </w:pPr>
          </w:p>
        </w:tc>
        <w:tc>
          <w:tcPr>
            <w:tcW w:w="2020" w:type="dxa"/>
            <w:vAlign w:val="bottom"/>
            <w:gridSpan w:val="2"/>
            <w:vMerge w:val="continue"/>
            <w:shd w:val="clear" w:color="auto" w:fill="CCEEFF"/>
          </w:tcPr>
          <w:p>
            <w:pPr>
              <w:spacing w:after="0"/>
              <w:rPr>
                <w:sz w:val="2"/>
                <w:szCs w:val="2"/>
                <w:color w:val="auto"/>
              </w:rPr>
            </w:pPr>
          </w:p>
        </w:tc>
        <w:tc>
          <w:tcPr>
            <w:tcW w:w="194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7"/>
              </w:rPr>
              <w:t>Co-Chief Executive Officer and Director</w:t>
            </w:r>
          </w:p>
        </w:tc>
        <w:tc>
          <w:tcPr>
            <w:tcW w:w="2040" w:type="dxa"/>
            <w:vAlign w:val="bottom"/>
            <w:gridSpan w:val="2"/>
            <w:vMerge w:val="continue"/>
            <w:shd w:val="clear" w:color="auto" w:fill="CCEEFF"/>
          </w:tcPr>
          <w:p>
            <w:pPr>
              <w:spacing w:after="0"/>
              <w:rPr>
                <w:sz w:val="12"/>
                <w:szCs w:val="12"/>
                <w:color w:val="auto"/>
              </w:rPr>
            </w:pPr>
          </w:p>
        </w:tc>
        <w:tc>
          <w:tcPr>
            <w:tcW w:w="2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August 30, 2024</w:t>
            </w:r>
          </w:p>
        </w:tc>
        <w:tc>
          <w:tcPr>
            <w:tcW w:w="2020" w:type="dxa"/>
            <w:vAlign w:val="bottom"/>
            <w:gridSpan w:val="2"/>
            <w:vMerge w:val="continue"/>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120" w:type="dxa"/>
            <w:vAlign w:val="bottom"/>
            <w:gridSpan w:val="2"/>
            <w:vMerge w:val="continue"/>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gridSpan w:val="2"/>
            <w:vMerge w:val="continue"/>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120" w:type="dxa"/>
            <w:vAlign w:val="bottom"/>
            <w:gridSpan w:val="2"/>
            <w:vMerge w:val="continue"/>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Rachit Lohani</w:t>
            </w:r>
          </w:p>
        </w:tc>
        <w:tc>
          <w:tcPr>
            <w:tcW w:w="2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Up to 8,344 (4)</w:t>
            </w:r>
          </w:p>
        </w:tc>
        <w:tc>
          <w:tcPr>
            <w:tcW w:w="2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December 5, 2023 -</w:t>
            </w:r>
          </w:p>
        </w:tc>
        <w:tc>
          <w:tcPr>
            <w:tcW w:w="2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September 5, 2023</w:t>
            </w: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September 30, 2025</w:t>
            </w:r>
          </w:p>
        </w:tc>
        <w:tc>
          <w:tcPr>
            <w:tcW w:w="0" w:type="dxa"/>
            <w:vAlign w:val="bottom"/>
          </w:tcPr>
          <w:p>
            <w:pPr>
              <w:spacing w:after="0"/>
              <w:rPr>
                <w:sz w:val="1"/>
                <w:szCs w:val="1"/>
                <w:color w:val="auto"/>
              </w:rPr>
            </w:pPr>
          </w:p>
        </w:tc>
      </w:tr>
      <w:tr>
        <w:trPr>
          <w:trHeight w:val="67"/>
        </w:trPr>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Technology Officer</w:t>
            </w:r>
          </w:p>
        </w:tc>
        <w:tc>
          <w:tcPr>
            <w:tcW w:w="2040" w:type="dxa"/>
            <w:vAlign w:val="bottom"/>
            <w:gridSpan w:val="2"/>
            <w:vMerge w:val="continue"/>
          </w:tcPr>
          <w:p>
            <w:pPr>
              <w:spacing w:after="0"/>
              <w:rPr>
                <w:sz w:val="12"/>
                <w:szCs w:val="12"/>
                <w:color w:val="auto"/>
              </w:rPr>
            </w:pPr>
          </w:p>
        </w:tc>
        <w:tc>
          <w:tcPr>
            <w:tcW w:w="2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September 30, 2025</w:t>
            </w:r>
          </w:p>
        </w:tc>
        <w:tc>
          <w:tcPr>
            <w:tcW w:w="2020" w:type="dxa"/>
            <w:vAlign w:val="bottom"/>
            <w:gridSpan w:val="2"/>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120" w:type="dxa"/>
            <w:vAlign w:val="bottom"/>
            <w:gridSpan w:val="2"/>
            <w:vMerge w:val="continue"/>
          </w:tcPr>
          <w:p>
            <w:pPr>
              <w:spacing w:after="0"/>
              <w:rPr>
                <w:sz w:val="7"/>
                <w:szCs w:val="7"/>
                <w:color w:val="auto"/>
              </w:rPr>
            </w:pPr>
          </w:p>
        </w:tc>
        <w:tc>
          <w:tcPr>
            <w:tcW w:w="1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120" w:type="dxa"/>
            <w:vAlign w:val="bottom"/>
            <w:gridSpan w:val="2"/>
            <w:vMerge w:val="continue"/>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Ryan Glenn</w:t>
            </w:r>
          </w:p>
        </w:tc>
        <w:tc>
          <w:tcPr>
            <w:tcW w:w="2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Up to 7,900 (4)</w:t>
            </w:r>
          </w:p>
        </w:tc>
        <w:tc>
          <w:tcPr>
            <w:tcW w:w="2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January 10, 2024 -</w:t>
            </w:r>
          </w:p>
        </w:tc>
        <w:tc>
          <w:tcPr>
            <w:tcW w:w="2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September 14, 2023</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December 31, 2024</w:t>
            </w:r>
          </w:p>
        </w:tc>
        <w:tc>
          <w:tcPr>
            <w:tcW w:w="0" w:type="dxa"/>
            <w:vAlign w:val="bottom"/>
          </w:tcPr>
          <w:p>
            <w:pPr>
              <w:spacing w:after="0"/>
              <w:rPr>
                <w:sz w:val="1"/>
                <w:szCs w:val="1"/>
                <w:color w:val="auto"/>
              </w:rPr>
            </w:pPr>
          </w:p>
        </w:tc>
      </w:tr>
      <w:tr>
        <w:trPr>
          <w:trHeight w:val="67"/>
        </w:trPr>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gridSpan w:val="2"/>
            <w:vMerge w:val="continue"/>
            <w:shd w:val="clear" w:color="auto" w:fill="CCEEFF"/>
          </w:tcPr>
          <w:p>
            <w:pPr>
              <w:spacing w:after="0"/>
              <w:rPr>
                <w:sz w:val="5"/>
                <w:szCs w:val="5"/>
                <w:color w:val="auto"/>
              </w:rPr>
            </w:pPr>
          </w:p>
        </w:tc>
        <w:tc>
          <w:tcPr>
            <w:tcW w:w="2120" w:type="dxa"/>
            <w:vAlign w:val="bottom"/>
            <w:gridSpan w:val="2"/>
            <w:vMerge w:val="continue"/>
            <w:shd w:val="clear" w:color="auto" w:fill="CCEEFF"/>
          </w:tcPr>
          <w:p>
            <w:pPr>
              <w:spacing w:after="0"/>
              <w:rPr>
                <w:sz w:val="5"/>
                <w:szCs w:val="5"/>
                <w:color w:val="auto"/>
              </w:rPr>
            </w:pPr>
          </w:p>
        </w:tc>
        <w:tc>
          <w:tcPr>
            <w:tcW w:w="2020" w:type="dxa"/>
            <w:vAlign w:val="bottom"/>
            <w:gridSpan w:val="2"/>
            <w:vMerge w:val="continue"/>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1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w:t>
            </w:r>
          </w:p>
        </w:tc>
        <w:tc>
          <w:tcPr>
            <w:tcW w:w="2040" w:type="dxa"/>
            <w:vAlign w:val="bottom"/>
            <w:gridSpan w:val="2"/>
            <w:vMerge w:val="continue"/>
            <w:shd w:val="clear" w:color="auto" w:fill="CCEEFF"/>
          </w:tcPr>
          <w:p>
            <w:pPr>
              <w:spacing w:after="0"/>
              <w:rPr>
                <w:sz w:val="12"/>
                <w:szCs w:val="12"/>
                <w:color w:val="auto"/>
              </w:rPr>
            </w:pPr>
          </w:p>
        </w:tc>
        <w:tc>
          <w:tcPr>
            <w:tcW w:w="2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December 31, 2024</w:t>
            </w:r>
          </w:p>
        </w:tc>
        <w:tc>
          <w:tcPr>
            <w:tcW w:w="2020" w:type="dxa"/>
            <w:vAlign w:val="bottom"/>
            <w:gridSpan w:val="2"/>
            <w:vMerge w:val="continue"/>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120" w:type="dxa"/>
            <w:vAlign w:val="bottom"/>
            <w:gridSpan w:val="2"/>
            <w:vMerge w:val="continue"/>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gridSpan w:val="2"/>
            <w:vMerge w:val="continue"/>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2"/>
            <w:vMerge w:val="continue"/>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Katherine Ross</w:t>
            </w:r>
          </w:p>
        </w:tc>
        <w:tc>
          <w:tcPr>
            <w:tcW w:w="2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Up to 7,220 (4)</w:t>
            </w:r>
          </w:p>
        </w:tc>
        <w:tc>
          <w:tcPr>
            <w:tcW w:w="2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December 15, 2023 -</w:t>
            </w:r>
          </w:p>
        </w:tc>
        <w:tc>
          <w:tcPr>
            <w:tcW w:w="2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September 15, 2023</w:t>
            </w: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December 31, 2024</w:t>
            </w:r>
          </w:p>
        </w:tc>
        <w:tc>
          <w:tcPr>
            <w:tcW w:w="0" w:type="dxa"/>
            <w:vAlign w:val="bottom"/>
          </w:tcPr>
          <w:p>
            <w:pPr>
              <w:spacing w:after="0"/>
              <w:rPr>
                <w:sz w:val="1"/>
                <w:szCs w:val="1"/>
                <w:color w:val="auto"/>
              </w:rPr>
            </w:pPr>
          </w:p>
        </w:tc>
      </w:tr>
      <w:tr>
        <w:trPr>
          <w:trHeight w:val="67"/>
        </w:trPr>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8"/>
                <w:szCs w:val="18"/>
                <w:color w:val="auto"/>
              </w:rPr>
              <w:t>Senior Vice President of Operations</w:t>
            </w:r>
          </w:p>
        </w:tc>
        <w:tc>
          <w:tcPr>
            <w:tcW w:w="2040" w:type="dxa"/>
            <w:vAlign w:val="bottom"/>
            <w:gridSpan w:val="2"/>
            <w:vMerge w:val="continue"/>
          </w:tcPr>
          <w:p>
            <w:pPr>
              <w:spacing w:after="0"/>
              <w:rPr>
                <w:sz w:val="12"/>
                <w:szCs w:val="12"/>
                <w:color w:val="auto"/>
              </w:rPr>
            </w:pPr>
          </w:p>
        </w:tc>
        <w:tc>
          <w:tcPr>
            <w:tcW w:w="2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December 31, 2024</w:t>
            </w:r>
          </w:p>
        </w:tc>
        <w:tc>
          <w:tcPr>
            <w:tcW w:w="2020" w:type="dxa"/>
            <w:vAlign w:val="bottom"/>
            <w:gridSpan w:val="2"/>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120" w:type="dxa"/>
            <w:vAlign w:val="bottom"/>
            <w:gridSpan w:val="2"/>
            <w:vMerge w:val="continue"/>
          </w:tcPr>
          <w:p>
            <w:pPr>
              <w:spacing w:after="0"/>
              <w:rPr>
                <w:sz w:val="7"/>
                <w:szCs w:val="7"/>
                <w:color w:val="auto"/>
              </w:rPr>
            </w:pPr>
          </w:p>
        </w:tc>
        <w:tc>
          <w:tcPr>
            <w:tcW w:w="1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120" w:type="dxa"/>
            <w:vAlign w:val="bottom"/>
            <w:gridSpan w:val="2"/>
            <w:vMerge w:val="continue"/>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I. Sarowitz</w:t>
            </w:r>
          </w:p>
        </w:tc>
        <w:tc>
          <w:tcPr>
            <w:tcW w:w="19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1,100,000</w:t>
            </w:r>
          </w:p>
        </w:tc>
        <w:tc>
          <w:tcPr>
            <w:tcW w:w="80" w:type="dxa"/>
            <w:vAlign w:val="bottom"/>
            <w:shd w:val="clear" w:color="auto" w:fill="CCEEFF"/>
          </w:tcPr>
          <w:p>
            <w:pPr>
              <w:spacing w:after="0"/>
              <w:rPr>
                <w:sz w:val="20"/>
                <w:szCs w:val="20"/>
                <w:color w:val="auto"/>
              </w:rPr>
            </w:pPr>
          </w:p>
        </w:tc>
        <w:tc>
          <w:tcPr>
            <w:tcW w:w="2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January 2, 2024 -</w:t>
            </w:r>
          </w:p>
        </w:tc>
        <w:tc>
          <w:tcPr>
            <w:tcW w:w="2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September 15, 2023</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December 31, 2024</w:t>
            </w:r>
          </w:p>
        </w:tc>
        <w:tc>
          <w:tcPr>
            <w:tcW w:w="0" w:type="dxa"/>
            <w:vAlign w:val="bottom"/>
          </w:tcPr>
          <w:p>
            <w:pPr>
              <w:spacing w:after="0"/>
              <w:rPr>
                <w:sz w:val="1"/>
                <w:szCs w:val="1"/>
                <w:color w:val="auto"/>
              </w:rPr>
            </w:pPr>
          </w:p>
        </w:tc>
      </w:tr>
      <w:tr>
        <w:trPr>
          <w:trHeight w:val="67"/>
        </w:trPr>
        <w:tc>
          <w:tcPr>
            <w:tcW w:w="3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20" w:type="dxa"/>
            <w:vAlign w:val="bottom"/>
            <w:gridSpan w:val="2"/>
            <w:vMerge w:val="continue"/>
            <w:shd w:val="clear" w:color="auto" w:fill="CCEEFF"/>
          </w:tcPr>
          <w:p>
            <w:pPr>
              <w:spacing w:after="0"/>
              <w:rPr>
                <w:sz w:val="5"/>
                <w:szCs w:val="5"/>
                <w:color w:val="auto"/>
              </w:rPr>
            </w:pPr>
          </w:p>
        </w:tc>
        <w:tc>
          <w:tcPr>
            <w:tcW w:w="2020" w:type="dxa"/>
            <w:vAlign w:val="bottom"/>
            <w:gridSpan w:val="2"/>
            <w:vMerge w:val="continue"/>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19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December 31, 2024</w:t>
            </w:r>
          </w:p>
        </w:tc>
        <w:tc>
          <w:tcPr>
            <w:tcW w:w="2020" w:type="dxa"/>
            <w:vAlign w:val="bottom"/>
            <w:gridSpan w:val="2"/>
            <w:vMerge w:val="continue"/>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120" w:type="dxa"/>
            <w:vAlign w:val="bottom"/>
            <w:gridSpan w:val="2"/>
            <w:vMerge w:val="continue"/>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gridSpan w:val="2"/>
            <w:vMerge w:val="continue"/>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2"/>
            <w:vMerge w:val="continue"/>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of sales is determined, in part, based on pricing triggers outlined in each adopting person's trading arrangement.</w:t>
      </w:r>
    </w:p>
    <w:p>
      <w:pPr>
        <w:spacing w:after="0" w:line="49" w:lineRule="exact"/>
        <w:rPr>
          <w:rFonts w:ascii="Arial" w:cs="Arial" w:eastAsia="Arial" w:hAnsi="Arial"/>
          <w:sz w:val="18"/>
          <w:szCs w:val="18"/>
          <w:color w:val="auto"/>
        </w:rPr>
      </w:pPr>
    </w:p>
    <w:p>
      <w:pPr>
        <w:ind w:left="660" w:right="260" w:hanging="652"/>
        <w:spacing w:after="0" w:line="246"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trading arrangement permits transactions through and including the earlier to occur of (a) the completion of all sales or (b) the expiration date listed in the table.</w:t>
      </w:r>
    </w:p>
    <w:p>
      <w:pPr>
        <w:spacing w:after="0" w:line="7" w:lineRule="exact"/>
        <w:rPr>
          <w:rFonts w:ascii="Arial" w:cs="Arial" w:eastAsia="Arial" w:hAnsi="Arial"/>
          <w:sz w:val="18"/>
          <w:szCs w:val="18"/>
          <w:color w:val="auto"/>
        </w:rPr>
      </w:pPr>
    </w:p>
    <w:p>
      <w:pPr>
        <w:ind w:left="660" w:right="40" w:hanging="652"/>
        <w:spacing w:after="0" w:line="290" w:lineRule="auto"/>
        <w:tabs>
          <w:tab w:leader="none" w:pos="4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sale of up to 100,000 shares based on pricing triggers and the exercise of 122,116 stock options that expire in March 2024 and the related sale of the net shares acquired upon exercise after withholding by the Company of shares in payment of exercise price and applicable taxes.</w:t>
      </w:r>
    </w:p>
    <w:p>
      <w:pPr>
        <w:ind w:left="660" w:right="200" w:hanging="652"/>
        <w:spacing w:after="0" w:line="272" w:lineRule="auto"/>
        <w:tabs>
          <w:tab w:leader="none" w:pos="4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shares subject to certain outstanding equity awards with time- and/or market-based vesting conditions. For shares subject to market-based vesting conditions, the number of shares included in the table above assumes the maximum achievement of the market-based market conditions. Additionally, for both time- and market-based vesting awards, the actual number of shares that may be sold will be net of the number of shares withheld by the Company to satisfy tax withholding obligations arising from the vesting of such awards, which is not determinable at this time.</w:t>
      </w:r>
    </w:p>
    <w:p>
      <w:pPr>
        <w:spacing w:after="0" w:line="23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No directors or officers terminated a Rule 10b5-1 trading arrangement or entered into or terminated a “non-Rule 10b5-1 trading arrangement” as defined in Item 408(a) of Regulation S-K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80" w:type="dxa"/>
            <w:vAlign w:val="bottom"/>
            <w:gridSpan w:val="9"/>
          </w:tcPr>
          <w:p>
            <w:pPr>
              <w:ind w:left="17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60" w:type="dxa"/>
            <w:vAlign w:val="bottom"/>
            <w:gridSpan w:val="2"/>
          </w:tcPr>
          <w:p>
            <w:pPr>
              <w:ind w:left="20"/>
              <w:spacing w:after="0"/>
              <w:rPr>
                <w:rFonts w:ascii="Arial" w:cs="Arial" w:eastAsia="Arial" w:hAnsi="Arial"/>
                <w:sz w:val="18"/>
                <w:szCs w:val="18"/>
                <w:color w:val="0000FF"/>
                <w:w w:val="87"/>
              </w:rPr>
            </w:pPr>
            <w:hyperlink r:id="rId6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4"/>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Second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62">
              <w:r>
                <w:rPr>
                  <w:rFonts w:ascii="Arial" w:cs="Arial" w:eastAsia="Arial" w:hAnsi="Arial"/>
                  <w:sz w:val="18"/>
                  <w:szCs w:val="18"/>
                  <w:color w:val="0000FF"/>
                </w:rPr>
                <w:t>Form 8-K on December 3, 2021 (Registration No. 001-36348)).</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0" w:type="dxa"/>
            <w:vAlign w:val="bottom"/>
            <w:gridSpan w:val="2"/>
          </w:tcPr>
          <w:p>
            <w:pPr>
              <w:ind w:left="20"/>
              <w:spacing w:after="0"/>
              <w:rPr>
                <w:rFonts w:ascii="Arial" w:cs="Arial" w:eastAsia="Arial" w:hAnsi="Arial"/>
                <w:sz w:val="18"/>
                <w:szCs w:val="18"/>
                <w:color w:val="0000FF"/>
                <w:w w:val="87"/>
              </w:rPr>
            </w:pPr>
            <w:hyperlink r:id="rId6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rFonts w:ascii="Arial" w:cs="Arial" w:eastAsia="Arial" w:hAnsi="Arial"/>
                <w:sz w:val="18"/>
                <w:szCs w:val="18"/>
                <w:color w:val="0000FF"/>
                <w:w w:val="97"/>
              </w:rPr>
            </w:pPr>
            <w:hyperlink r:id="rId63">
              <w:r>
                <w:rPr>
                  <w:rFonts w:ascii="Arial" w:cs="Arial" w:eastAsia="Arial" w:hAnsi="Arial"/>
                  <w:sz w:val="18"/>
                  <w:szCs w:val="18"/>
                  <w:color w:val="0000FF"/>
                  <w:w w:val="97"/>
                </w:rPr>
                <w:t>Second Amended and Restated Bylaws of Paylocity Holding Corporation (filed as Exhibit 3.2 of Paylocity Holding Corporation’s</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Current Report on Form 8-K on December 3, 2021 (File No. 001-36348)).</w:t>
              </w:r>
            </w:hyperlink>
          </w:p>
        </w:tc>
        <w:tc>
          <w:tcPr>
            <w:tcW w:w="4000" w:type="dxa"/>
            <w:vAlign w:val="bottom"/>
            <w:tcBorders>
              <w:top w:val="single" w:sz="8" w:color="0000FF"/>
            </w:tcBorders>
            <w:gridSpan w:val="2"/>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0000FF"/>
                <w:w w:val="91"/>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4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0000FF"/>
                <w:w w:val="91"/>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4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3*</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0000FF"/>
                <w:w w:val="91"/>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0000FF"/>
                <w:w w:val="93"/>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4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0000FF"/>
                <w:w w:val="93"/>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4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3**</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0000FF"/>
                <w:w w:val="96"/>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Officer.</w:t>
            </w:r>
          </w:p>
        </w:tc>
        <w:tc>
          <w:tcPr>
            <w:tcW w:w="540" w:type="dxa"/>
            <w:vAlign w:val="bottom"/>
            <w:gridSpan w:val="6"/>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4"/>
          </w:tcPr>
          <w:p>
            <w:pPr>
              <w:spacing w:after="0"/>
              <w:rPr>
                <w:sz w:val="20"/>
                <w:szCs w:val="20"/>
                <w:color w:val="auto"/>
              </w:rPr>
            </w:pPr>
            <w:r>
              <w:rPr>
                <w:rFonts w:ascii="Arial" w:cs="Arial" w:eastAsia="Arial" w:hAnsi="Arial"/>
                <w:sz w:val="18"/>
                <w:szCs w:val="18"/>
                <w:color w:val="auto"/>
                <w:w w:val="96"/>
              </w:rPr>
              <w:t>Inline XBRL Instance Document (the instance document does not appear in the Interactive Data File because its XBRL tags are</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44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0"/>
        </w:trPr>
        <w:tc>
          <w:tcPr>
            <w:tcW w:w="260" w:type="dxa"/>
            <w:vAlign w:val="bottom"/>
            <w:tcBorders>
              <w:bottom w:val="single" w:sz="8" w:color="auto"/>
            </w:tcBorders>
            <w:gridSpan w:val="2"/>
          </w:tcPr>
          <w:p>
            <w:pPr>
              <w:spacing w:after="0"/>
              <w:rPr>
                <w:sz w:val="23"/>
                <w:szCs w:val="23"/>
                <w:color w:val="auto"/>
              </w:rPr>
            </w:pPr>
          </w:p>
        </w:tc>
        <w:tc>
          <w:tcPr>
            <w:tcW w:w="1120" w:type="dxa"/>
            <w:vAlign w:val="bottom"/>
            <w:tcBorders>
              <w:bottom w:val="single" w:sz="8" w:color="auto"/>
            </w:tcBorders>
            <w:gridSpan w:val="4"/>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71"/>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0"/>
              <w:spacing w:after="0"/>
              <w:rPr>
                <w:sz w:val="20"/>
                <w:szCs w:val="20"/>
                <w:color w:val="auto"/>
              </w:rPr>
            </w:pPr>
            <w:r>
              <w:rPr>
                <w:rFonts w:ascii="Arial" w:cs="Arial" w:eastAsia="Arial" w:hAnsi="Arial"/>
                <w:sz w:val="18"/>
                <w:szCs w:val="18"/>
                <w:color w:val="auto"/>
                <w:w w:val="96"/>
              </w:rPr>
              <w:t>Filed herewith</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0980" w:type="dxa"/>
            <w:vAlign w:val="bottom"/>
            <w:gridSpan w:val="18"/>
          </w:tcPr>
          <w:p>
            <w:pPr>
              <w:ind w:left="100"/>
              <w:spacing w:after="0"/>
              <w:rPr>
                <w:sz w:val="20"/>
                <w:szCs w:val="20"/>
                <w:color w:val="auto"/>
              </w:rPr>
            </w:pPr>
            <w:r>
              <w:rPr>
                <w:rFonts w:ascii="Arial" w:cs="Arial" w:eastAsia="Arial" w:hAnsi="Arial"/>
                <w:sz w:val="18"/>
                <w:szCs w:val="18"/>
                <w:color w:val="auto"/>
              </w:rPr>
              <w:t>Furnished herewith</w:t>
            </w:r>
          </w:p>
        </w:tc>
      </w:tr>
      <w:tr>
        <w:trPr>
          <w:trHeight w:val="82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6"/>
          </w:tcPr>
          <w:p>
            <w:pPr>
              <w:ind w:left="416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40"/>
              <w:spacing w:after="0"/>
              <w:rPr>
                <w:sz w:val="20"/>
                <w:szCs w:val="20"/>
                <w:color w:val="auto"/>
              </w:rPr>
            </w:pPr>
            <w:r>
              <w:rPr>
                <w:rFonts w:ascii="Arial" w:cs="Arial" w:eastAsia="Arial" w:hAnsi="Arial"/>
                <w:sz w:val="18"/>
                <w:szCs w:val="18"/>
                <w:color w:val="auto"/>
              </w:rPr>
              <w:t>November 3, 2023</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218"/>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Steven R. Beauchamp</w:t>
            </w:r>
          </w:p>
        </w:tc>
      </w:tr>
      <w:tr>
        <w:trPr>
          <w:trHeight w:val="180"/>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540" w:type="dxa"/>
            <w:vAlign w:val="bottom"/>
          </w:tcPr>
          <w:p>
            <w:pPr>
              <w:ind w:left="1800"/>
              <w:spacing w:after="0" w:line="181" w:lineRule="exact"/>
              <w:rPr>
                <w:sz w:val="20"/>
                <w:szCs w:val="20"/>
                <w:color w:val="auto"/>
              </w:rPr>
            </w:pPr>
            <w:r>
              <w:rPr>
                <w:rFonts w:ascii="Arial" w:cs="Arial" w:eastAsia="Arial" w:hAnsi="Arial"/>
                <w:sz w:val="18"/>
                <w:szCs w:val="18"/>
                <w:b w:val="1"/>
                <w:bCs w:val="1"/>
                <w:color w:val="auto"/>
              </w:rPr>
              <w:t>Title:</w:t>
            </w:r>
          </w:p>
        </w:tc>
        <w:tc>
          <w:tcPr>
            <w:tcW w:w="49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Co-Chief Executive Officer (Principal Executive Officer) and</w:t>
            </w:r>
          </w:p>
        </w:tc>
      </w:tr>
      <w:tr>
        <w:trPr>
          <w:trHeight w:val="234"/>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29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40"/>
              <w:spacing w:after="0"/>
              <w:rPr>
                <w:sz w:val="20"/>
                <w:szCs w:val="20"/>
                <w:color w:val="auto"/>
              </w:rPr>
            </w:pPr>
            <w:r>
              <w:rPr>
                <w:rFonts w:ascii="Arial" w:cs="Arial" w:eastAsia="Arial" w:hAnsi="Arial"/>
                <w:sz w:val="18"/>
                <w:szCs w:val="18"/>
                <w:color w:val="auto"/>
              </w:rPr>
              <w:t>November 3, 2023</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218"/>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Toby J. Williams</w:t>
            </w:r>
          </w:p>
        </w:tc>
      </w:tr>
      <w:tr>
        <w:trPr>
          <w:trHeight w:val="180"/>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540" w:type="dxa"/>
            <w:vAlign w:val="bottom"/>
          </w:tcPr>
          <w:p>
            <w:pPr>
              <w:ind w:left="1800"/>
              <w:spacing w:after="0" w:line="181" w:lineRule="exact"/>
              <w:rPr>
                <w:sz w:val="20"/>
                <w:szCs w:val="20"/>
                <w:color w:val="auto"/>
              </w:rPr>
            </w:pPr>
            <w:r>
              <w:rPr>
                <w:rFonts w:ascii="Arial" w:cs="Arial" w:eastAsia="Arial" w:hAnsi="Arial"/>
                <w:sz w:val="18"/>
                <w:szCs w:val="18"/>
                <w:b w:val="1"/>
                <w:bCs w:val="1"/>
                <w:color w:val="auto"/>
              </w:rPr>
              <w:t>Title:</w:t>
            </w:r>
          </w:p>
        </w:tc>
        <w:tc>
          <w:tcPr>
            <w:tcW w:w="49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President, Co-Chief Executive Officer (Principal Executive</w:t>
            </w:r>
          </w:p>
        </w:tc>
      </w:tr>
      <w:tr>
        <w:trPr>
          <w:trHeight w:val="234"/>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Officer) and Director</w:t>
            </w:r>
          </w:p>
        </w:tc>
      </w:tr>
      <w:tr>
        <w:trPr>
          <w:trHeight w:val="29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40"/>
              <w:spacing w:after="0"/>
              <w:rPr>
                <w:sz w:val="20"/>
                <w:szCs w:val="20"/>
                <w:color w:val="auto"/>
              </w:rPr>
            </w:pPr>
            <w:r>
              <w:rPr>
                <w:rFonts w:ascii="Arial" w:cs="Arial" w:eastAsia="Arial" w:hAnsi="Arial"/>
                <w:sz w:val="18"/>
                <w:szCs w:val="18"/>
                <w:color w:val="auto"/>
              </w:rPr>
              <w:t>November 3, 2023</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Ryan Glenn</w:t>
            </w:r>
          </w:p>
        </w:tc>
      </w:tr>
      <w:tr>
        <w:trPr>
          <w:trHeight w:val="218"/>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Ryan Glenn</w:t>
            </w:r>
          </w:p>
        </w:tc>
      </w:tr>
      <w:tr>
        <w:trPr>
          <w:trHeight w:val="180"/>
        </w:trPr>
        <w:tc>
          <w:tcPr>
            <w:tcW w:w="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540" w:type="dxa"/>
            <w:vAlign w:val="bottom"/>
          </w:tcPr>
          <w:p>
            <w:pPr>
              <w:ind w:left="1800"/>
              <w:spacing w:after="0" w:line="181" w:lineRule="exact"/>
              <w:rPr>
                <w:sz w:val="20"/>
                <w:szCs w:val="20"/>
                <w:color w:val="auto"/>
              </w:rPr>
            </w:pPr>
            <w:r>
              <w:rPr>
                <w:rFonts w:ascii="Arial" w:cs="Arial" w:eastAsia="Arial" w:hAnsi="Arial"/>
                <w:sz w:val="18"/>
                <w:szCs w:val="18"/>
                <w:b w:val="1"/>
                <w:bCs w:val="1"/>
                <w:color w:val="auto"/>
              </w:rPr>
              <w:t>Title:</w:t>
            </w:r>
          </w:p>
        </w:tc>
        <w:tc>
          <w:tcPr>
            <w:tcW w:w="49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Chief Financial Officer and Treasurer (Principal Financial</w:t>
            </w:r>
          </w:p>
        </w:tc>
      </w:tr>
      <w:tr>
        <w:trPr>
          <w:trHeight w:val="234"/>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r>
      <w:tr>
        <w:trPr>
          <w:trHeight w:val="913"/>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ind w:left="1760"/>
              <w:spacing w:after="0"/>
              <w:rPr>
                <w:sz w:val="20"/>
                <w:szCs w:val="20"/>
                <w:color w:val="auto"/>
              </w:rPr>
            </w:pPr>
            <w:r>
              <w:rPr>
                <w:rFonts w:ascii="Arial" w:cs="Arial" w:eastAsia="Arial" w:hAnsi="Arial"/>
                <w:sz w:val="18"/>
                <w:szCs w:val="18"/>
                <w:color w:val="auto"/>
              </w:rPr>
              <w:t>33</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60"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w:t>
      </w:r>
    </w:p>
    <w:p>
      <w:pPr>
        <w:spacing w:after="0" w:line="198" w:lineRule="exact"/>
        <w:rPr>
          <w:rFonts w:ascii="Arial" w:cs="Arial" w:eastAsia="Arial" w:hAnsi="Arial"/>
          <w:sz w:val="18"/>
          <w:szCs w:val="18"/>
          <w:color w:val="auto"/>
        </w:rPr>
      </w:pPr>
    </w:p>
    <w:p>
      <w:pPr>
        <w:ind w:left="340" w:right="80" w:firstLine="640"/>
        <w:spacing w:after="0" w:line="263" w:lineRule="auto"/>
        <w:tabs>
          <w:tab w:leader="none" w:pos="13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320" w:firstLine="640"/>
        <w:spacing w:after="0" w:line="342" w:lineRule="auto"/>
        <w:tabs>
          <w:tab w:leader="none" w:pos="1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340" w:right="40" w:firstLine="640"/>
        <w:spacing w:after="0" w:line="291" w:lineRule="auto"/>
        <w:tabs>
          <w:tab w:leader="none" w:pos="1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980" w:right="200" w:firstLine="648"/>
        <w:spacing w:after="0" w:line="286" w:lineRule="auto"/>
        <w:tabs>
          <w:tab w:leader="none" w:pos="1942"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980" w:right="220" w:firstLine="648"/>
        <w:spacing w:after="0" w:line="263" w:lineRule="auto"/>
        <w:tabs>
          <w:tab w:leader="none" w:pos="19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140" w:firstLine="648"/>
        <w:spacing w:after="0" w:line="263" w:lineRule="auto"/>
        <w:tabs>
          <w:tab w:leader="none" w:pos="19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980" w:right="720" w:firstLine="648"/>
        <w:spacing w:after="0" w:line="286" w:lineRule="auto"/>
        <w:tabs>
          <w:tab w:leader="none" w:pos="1952"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40" w:right="280" w:firstLine="640"/>
        <w:spacing w:after="0" w:line="342" w:lineRule="auto"/>
        <w:tabs>
          <w:tab w:leader="none" w:pos="1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80" w:firstLine="648"/>
        <w:spacing w:after="0" w:line="342" w:lineRule="auto"/>
        <w:tabs>
          <w:tab w:leader="none" w:pos="19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80" w:firstLine="648"/>
        <w:spacing w:after="0" w:line="277" w:lineRule="auto"/>
        <w:tabs>
          <w:tab w:leader="none" w:pos="19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Date: November 3, 2023</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405"/>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88"/>
              </w:rPr>
              <w:t>Steven R. Beauchamp</w:t>
            </w:r>
          </w:p>
        </w:tc>
      </w:tr>
      <w:tr>
        <w:trPr>
          <w:trHeight w:val="373"/>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 (Principal Executive Officer) and</w:t>
            </w:r>
          </w:p>
        </w:tc>
      </w:tr>
      <w:tr>
        <w:trPr>
          <w:trHeight w:val="234"/>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bl>
    <w:p>
      <w:pPr>
        <w:sectPr>
          <w:pgSz w:w="11900" w:h="16838" w:orient="portrait"/>
          <w:cols w:equalWidth="0" w:num="1">
            <w:col w:w="11240"/>
          </w:cols>
          <w:pgMar w:left="320" w:top="110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w:t>
      </w:r>
    </w:p>
    <w:p>
      <w:pPr>
        <w:spacing w:after="0" w:line="198" w:lineRule="exact"/>
        <w:rPr>
          <w:rFonts w:ascii="Arial" w:cs="Arial" w:eastAsia="Arial" w:hAnsi="Arial"/>
          <w:sz w:val="18"/>
          <w:szCs w:val="18"/>
          <w:color w:val="auto"/>
        </w:rPr>
      </w:pPr>
    </w:p>
    <w:p>
      <w:pPr>
        <w:ind w:left="340" w:right="80" w:firstLine="640"/>
        <w:spacing w:after="0" w:line="263"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320" w:firstLine="640"/>
        <w:spacing w:after="0" w:line="342" w:lineRule="auto"/>
        <w:tabs>
          <w:tab w:leader="none" w:pos="1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340" w:right="40" w:firstLine="640"/>
        <w:spacing w:after="0" w:line="291" w:lineRule="auto"/>
        <w:tabs>
          <w:tab w:leader="none" w:pos="1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980" w:right="200" w:firstLine="648"/>
        <w:spacing w:after="0" w:line="286" w:lineRule="auto"/>
        <w:tabs>
          <w:tab w:leader="none" w:pos="1942"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980" w:right="220" w:firstLine="648"/>
        <w:spacing w:after="0" w:line="263" w:lineRule="auto"/>
        <w:tabs>
          <w:tab w:leader="none" w:pos="19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140" w:firstLine="648"/>
        <w:spacing w:after="0" w:line="263" w:lineRule="auto"/>
        <w:tabs>
          <w:tab w:leader="none" w:pos="1942"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980" w:right="720" w:firstLine="648"/>
        <w:spacing w:after="0" w:line="286" w:lineRule="auto"/>
        <w:tabs>
          <w:tab w:leader="none" w:pos="1952"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40" w:right="280" w:firstLine="640"/>
        <w:spacing w:after="0" w:line="342" w:lineRule="auto"/>
        <w:tabs>
          <w:tab w:leader="none" w:pos="1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80" w:firstLine="648"/>
        <w:spacing w:after="0" w:line="342" w:lineRule="auto"/>
        <w:tabs>
          <w:tab w:leader="none" w:pos="1942"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80" w:firstLine="648"/>
        <w:spacing w:after="0" w:line="277" w:lineRule="auto"/>
        <w:tabs>
          <w:tab w:leader="none" w:pos="19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Date: November 3, 2023</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405"/>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0"/>
              </w:rPr>
              <w:t>Toby J. Williams</w:t>
            </w:r>
          </w:p>
        </w:tc>
      </w:tr>
      <w:tr>
        <w:trPr>
          <w:trHeight w:val="373"/>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Co-Chief Executive Officer (Principal Executive Officer)</w:t>
            </w:r>
          </w:p>
        </w:tc>
      </w:tr>
      <w:tr>
        <w:trPr>
          <w:trHeight w:val="234"/>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and Director</w:t>
            </w:r>
          </w:p>
        </w:tc>
      </w:tr>
    </w:tbl>
    <w:p>
      <w:pPr>
        <w:sectPr>
          <w:pgSz w:w="11900" w:h="16838" w:orient="portrait"/>
          <w:cols w:equalWidth="0" w:num="1">
            <w:col w:w="11240"/>
          </w:cols>
          <w:pgMar w:left="320" w:top="110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w:t>
      </w:r>
    </w:p>
    <w:p>
      <w:pPr>
        <w:spacing w:after="0" w:line="198" w:lineRule="exact"/>
        <w:rPr>
          <w:rFonts w:ascii="Arial" w:cs="Arial" w:eastAsia="Arial" w:hAnsi="Arial"/>
          <w:sz w:val="18"/>
          <w:szCs w:val="18"/>
          <w:color w:val="auto"/>
        </w:rPr>
      </w:pPr>
    </w:p>
    <w:p>
      <w:pPr>
        <w:ind w:left="340" w:right="80" w:firstLine="640"/>
        <w:spacing w:after="0" w:line="263" w:lineRule="auto"/>
        <w:tabs>
          <w:tab w:leader="none" w:pos="13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320" w:firstLine="640"/>
        <w:spacing w:after="0" w:line="342" w:lineRule="auto"/>
        <w:tabs>
          <w:tab w:leader="none" w:pos="13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340" w:right="40" w:firstLine="640"/>
        <w:spacing w:after="0" w:line="291" w:lineRule="auto"/>
        <w:tabs>
          <w:tab w:leader="none" w:pos="13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980" w:right="200" w:firstLine="648"/>
        <w:spacing w:after="0" w:line="286" w:lineRule="auto"/>
        <w:tabs>
          <w:tab w:leader="none" w:pos="1942"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980" w:right="220" w:firstLine="648"/>
        <w:spacing w:after="0" w:line="263" w:lineRule="auto"/>
        <w:tabs>
          <w:tab w:leader="none" w:pos="19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140" w:firstLine="648"/>
        <w:spacing w:after="0" w:line="263" w:lineRule="auto"/>
        <w:tabs>
          <w:tab w:leader="none" w:pos="19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980" w:right="720" w:firstLine="648"/>
        <w:spacing w:after="0" w:line="286" w:lineRule="auto"/>
        <w:tabs>
          <w:tab w:leader="none" w:pos="19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340" w:right="280" w:firstLine="640"/>
        <w:spacing w:after="0" w:line="342" w:lineRule="auto"/>
        <w:tabs>
          <w:tab w:leader="none" w:pos="13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80" w:firstLine="648"/>
        <w:spacing w:after="0" w:line="342" w:lineRule="auto"/>
        <w:tabs>
          <w:tab w:leader="none" w:pos="194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80" w:firstLine="648"/>
        <w:spacing w:after="0" w:line="277" w:lineRule="auto"/>
        <w:tabs>
          <w:tab w:leader="none" w:pos="19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Date: November 3, 2023</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Ryan Glenn</w:t>
            </w:r>
          </w:p>
        </w:tc>
      </w:tr>
      <w:tr>
        <w:trPr>
          <w:trHeight w:val="405"/>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Ryan Glenn</w:t>
            </w:r>
          </w:p>
        </w:tc>
      </w:tr>
      <w:tr>
        <w:trPr>
          <w:trHeight w:val="418"/>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and Treasurer (Principal Financial Officer)</w:t>
            </w:r>
          </w:p>
        </w:tc>
      </w:tr>
    </w:tbl>
    <w:p>
      <w:pPr>
        <w:sectPr>
          <w:pgSz w:w="11900" w:h="16838" w:orient="portrait"/>
          <w:cols w:equalWidth="0" w:num="1">
            <w:col w:w="11240"/>
          </w:cols>
          <w:pgMar w:left="320" w:top="110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November 3, 2023</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412"/>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88"/>
              </w:rPr>
              <w:t>Steven R. Beauchamp</w:t>
            </w:r>
          </w:p>
        </w:tc>
      </w:tr>
      <w:tr>
        <w:trPr>
          <w:trHeight w:val="364"/>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 (Principal Executive Officer) and</w:t>
            </w:r>
          </w:p>
        </w:tc>
      </w:tr>
      <w:tr>
        <w:trPr>
          <w:trHeight w:val="234"/>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bl>
    <w:p>
      <w:pPr>
        <w:spacing w:after="0" w:line="25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November 3, 2023</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412"/>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0"/>
              </w:rPr>
              <w:t>Toby J. Williams</w:t>
            </w:r>
          </w:p>
        </w:tc>
      </w:tr>
      <w:tr>
        <w:trPr>
          <w:trHeight w:val="364"/>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Co-Chief Executive Officer (Principal Executive Officer)</w:t>
            </w:r>
          </w:p>
        </w:tc>
      </w:tr>
      <w:tr>
        <w:trPr>
          <w:trHeight w:val="234"/>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and Director</w:t>
            </w:r>
          </w:p>
        </w:tc>
      </w:tr>
    </w:tbl>
    <w:p>
      <w:pPr>
        <w:spacing w:after="0" w:line="25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ind w:right="180"/>
        <w:spacing w:after="0" w:line="255" w:lineRule="auto"/>
        <w:rPr>
          <w:sz w:val="20"/>
          <w:szCs w:val="20"/>
          <w:color w:val="auto"/>
        </w:rPr>
      </w:pPr>
      <w:r>
        <w:rPr>
          <w:rFonts w:ascii="Arial" w:cs="Arial" w:eastAsia="Arial" w:hAnsi="Arial"/>
          <w:sz w:val="18"/>
          <w:szCs w:val="18"/>
          <w:color w:val="auto"/>
        </w:rPr>
        <w:t>10-Q of the Company for the period ended September 30,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November 3, 2023</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Ryan Glenn</w:t>
            </w:r>
          </w:p>
        </w:tc>
      </w:tr>
      <w:tr>
        <w:trPr>
          <w:trHeight w:val="412"/>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Ryan Glenn</w:t>
            </w:r>
          </w:p>
        </w:tc>
      </w:tr>
      <w:tr>
        <w:trPr>
          <w:trHeight w:val="418"/>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and Treasurer (Principal Financial Officer)</w:t>
            </w:r>
          </w:p>
        </w:tc>
      </w:tr>
    </w:tbl>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4"/>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2" Type="http://schemas.openxmlformats.org/officeDocument/2006/relationships/hyperlink" Target="https://www.sec.gov/Archives/edgar/data/1591698/000159169821000013/pcty-20211201xexhibit31.htm" TargetMode="External"/><Relationship Id="rId63" Type="http://schemas.openxmlformats.org/officeDocument/2006/relationships/hyperlink" Target="https://www.sec.gov/Archives/edgar/data/1591698/000159169821000013/pcty-20211201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2023-11-03T09:07:47Z</dcterms:created>
  <dcterms:modified xsi:type="dcterms:W3CDTF">2023-11-03T09:07:47Z</dcterms:modified>
</cp:coreProperties>
</file>