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2024</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55,887,207 shares of Common Stock, $0.001 par value per share, as of January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106,891</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62,823</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695,549</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3,541,707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4,237,256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366,180</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5,293,774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3,538,149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3,705,618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4,121,634</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2024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2024 and December 31, 2024;</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55,514 shares issued and outstanding at June 30, 2024 and 55,884 shares issued and outstanding at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411,373</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760,494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1,172,140</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540" w:right="238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5"/>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590,101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680,819</w:t>
            </w: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739,936</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239,505</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435,081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500,431</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181,564</w:t>
            </w: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103,415</w:t>
            </w:r>
          </w:p>
        </w:tc>
      </w:tr>
      <w:tr>
        <w:trPr>
          <w:trHeight w:val="230"/>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104,685</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389,664</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110,767</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115,702</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88,191</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4"/>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56,855</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56,906</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56,536</w:t>
            </w:r>
          </w:p>
        </w:tc>
      </w:tr>
      <w:tr>
        <w:trPr>
          <w:trHeight w:val="21"/>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5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8"/>
          </w:tcPr>
          <w:p>
            <w:pPr>
              <w:ind w:left="340"/>
              <w:spacing w:after="0"/>
              <w:rPr>
                <w:sz w:val="20"/>
                <w:szCs w:val="20"/>
                <w:color w:val="auto"/>
              </w:rPr>
            </w:pPr>
            <w:r>
              <w:rPr>
                <w:rFonts w:ascii="Times New Roman" w:cs="Times New Roman" w:eastAsia="Times New Roman" w:hAnsi="Times New Roman"/>
                <w:sz w:val="12"/>
                <w:szCs w:val="12"/>
                <w:b w:val="1"/>
                <w:bCs w:val="1"/>
                <w:color w:val="auto"/>
              </w:rPr>
              <w:t>Three Months Ended December 31, 2023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43"/>
        </w:trPr>
        <w:tc>
          <w:tcPr>
            <w:tcW w:w="4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4"/>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4"/>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72"/>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September 30, 2023</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56,167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395,771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501,207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892,639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48,120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4,929</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38,116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56,313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446,860</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539,323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986,773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gridSpan w:val="18"/>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7"/>
              </w:rPr>
              <w:t>Three Months Ended December 31, 2024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1"/>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restart"/>
          </w:tcPr>
          <w:p>
            <w:pPr>
              <w:ind w:left="12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September 30, 2024</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55,738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376,952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723,029</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5,875</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1,105,912</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47,967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employee stock purchase plan</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(17,339)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(17,339)</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(8,638)</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(8,638)</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net of tax</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(4,886)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(4,886)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(772)</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(772)</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37,465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411,373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760,494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1,172,140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gridSpan w:val="18"/>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7"/>
              </w:rPr>
              <w:t>Six Months Ended December 31, 2023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6"/>
          </w:tcPr>
          <w:p>
            <w:pPr>
              <w:jc w:val="right"/>
              <w:ind w:right="620"/>
              <w:spacing w:after="0" w:line="132"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4"/>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4"/>
            <w:vMerge w:val="restart"/>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restart"/>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4"/>
            <w:vMerge w:val="restart"/>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51"/>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2023</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380,632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466,690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(4,515)</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842,863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92,084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(35,874)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5,049</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72,633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72,633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446,860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539,323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986,773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18"/>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7"/>
              </w:rPr>
              <w:t>Six Months Ended December 31, 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1"/>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restart"/>
          </w:tcPr>
          <w:p>
            <w:pPr>
              <w:ind w:left="12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2024</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55,514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360,488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673,456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(936)</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1,033,064</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85,967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employee stock purchase plan</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(41,697)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(41,697)</w:t>
            </w: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(8,638)</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(8,638)</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(772)</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(772)</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87,038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411,373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760,494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1,172,140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ectPr>
          <w:pgSz w:w="11900" w:h="16838" w:orient="portrait"/>
          <w:cols w:equalWidth="0" w:num="1">
            <w:col w:w="11180"/>
          </w:cols>
          <w:pgMar w:left="320" w:top="25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87,038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80,018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and funds held for clients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(278,001)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(300,966)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545,384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835,525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680,215</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3,126,253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3,525,884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55,730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482,364</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2,759,349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3,043,520</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3,126,253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3,525,884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payroll and spend management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payroll and spend management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2024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2024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ASU is effective for fiscal years beginning after December 15, 2023 and interim periods within fiscal years beginning after December 15, 2024, with early adoption permitted, and will be applied retrospectively to all prior periods presented in the financial statements. The Company does not expect to early adopt this standard and continues to evaluate the impact of this ASU on its consolidated financial statement disclosures.</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continues to evaluate the impact of this ASU on its consolidated financial statement disclosures including the method and timing of adoption.</w:t>
      </w:r>
    </w:p>
    <w:p>
      <w:pPr>
        <w:spacing w:after="0" w:line="14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4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contracts from recurring service fees. While the majority of its agreements are generally cancellable by the client on 60 days’ notice or less, the Company also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651,214</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29,605</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4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14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25,152</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(9,483)</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as follows: $18,356 in fiscal 2025, $8,826 in fiscal 2026 and $1,451 in fiscal 2027 and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3"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utilizes the portfolio approach to account for both the cost of obtaining a contract and the cost of fulfilling a contract. These capitalized costs are amortized over the expected period of benefit, which has been determined to be generally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259,166</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December 31, 2023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259,166</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2" w:lineRule="exact"/>
        <w:rPr>
          <w:sz w:val="20"/>
          <w:szCs w:val="20"/>
          <w:color w:val="auto"/>
        </w:rPr>
      </w:pPr>
    </w:p>
    <w:p>
      <w:pPr>
        <w:ind w:right="64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$100,963 as of December 31, 2024,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pacing w:after="0" w:line="203"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allocation of the purchase price for Trace was approximately $6,809 of goodwill, $4,200 of proprietary technology, and other immaterial assets and liabilities which reflect certain immaterial measurement period adjustments recorded during the six months ended December 31, 2024. Pro forma information is not presented for the Trace acquisition because the effects of the acquisition are not material to the Company’s consolidated financial statements.</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$320,355, net of cash acquired and preliminary purchase price adjustments, which was funded by borrowings under its credit facility. Refer to Note 8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preliminary allocation of the purchase price for Airbase was as follows: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9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fund obligations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all assets acquired and liabilities assumed for Airbase are currently provisional and are subject to change over the measurement period as the Company continues to evaluate and analyze the estimates and assumptions used in the valuation. The measurement period will end no later than one year from the acquisition date.</w:t>
      </w:r>
    </w:p>
    <w:p>
      <w:pPr>
        <w:spacing w:after="0" w:line="14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results from both of the above acquisitions have been included in the Company’s consolidated financial statements since the closing of the respective transactions. The goodwill related to both of these transactions is primarily attributable to the assembled workforce and growth opportunities from the expansion and enhancement of the Company’s product offerings. The goodwill associated with both of these acquisitions is not deductible for income tax purposes. Direct costs related to both of the acquisitions were not material and were expensed as incurred as General and administrative expense in the Unaudited Consolidated Statements of Operations and Comprehensive Income.</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0" w:type="dxa"/>
            <w:vAlign w:val="bottom"/>
            <w:gridSpan w:val="3"/>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r>
      <w:tr>
        <w:trPr>
          <w:trHeight w:val="196"/>
        </w:trPr>
        <w:tc>
          <w:tcPr>
            <w:tcW w:w="4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376,980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746,334</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00" w:type="dxa"/>
            <w:vAlign w:val="bottom"/>
          </w:tcPr>
          <w:p>
            <w:pPr>
              <w:spacing w:after="0"/>
              <w:rPr>
                <w:sz w:val="20"/>
                <w:szCs w:val="20"/>
                <w:color w:val="auto"/>
              </w:rPr>
            </w:pPr>
          </w:p>
        </w:tc>
        <w:tc>
          <w:tcPr>
            <w:tcW w:w="1020" w:type="dxa"/>
            <w:vAlign w:val="bottom"/>
          </w:tcPr>
          <w:p>
            <w:pPr>
              <w:jc w:val="center"/>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40,332</w:t>
            </w:r>
          </w:p>
        </w:tc>
        <w:tc>
          <w:tcPr>
            <w:tcW w:w="100" w:type="dxa"/>
            <w:vAlign w:val="bottom"/>
          </w:tcPr>
          <w:p>
            <w:pPr>
              <w:spacing w:after="0"/>
              <w:rPr>
                <w:sz w:val="20"/>
                <w:szCs w:val="20"/>
                <w:color w:val="auto"/>
              </w:rPr>
            </w:pP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due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2,375</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617</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(535)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248</w:t>
      </w:r>
    </w:p>
    <w:p>
      <w:pPr>
        <w:spacing w:after="0" w:line="6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324,269</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360,819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(207,857)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(236,467)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5"/>
              </w:rPr>
              <w:t>116,412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124,352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$10,676 and $14,833 for the three months ended December 31, 2023 and 2024, respectively, and $20,211 and $28,610 for the six months ended December 31, 2023 and 2024, respectively.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(96,617)</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$5,179 and $5,149 for the three months ended December 31, 2023 and 2024, respectively, and $10,229 and $10,377 for the six months ended December 31, 2023 and 2024,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six months ended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234,086</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342,949</w:t>
            </w:r>
          </w:p>
        </w:tc>
      </w:tr>
      <w:tr>
        <w:trPr>
          <w:trHeight w:val="21"/>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p>
      <w:pPr>
        <w:sectPr>
          <w:pgSz w:w="11900" w:h="16838" w:orient="portrait"/>
          <w:cols w:equalWidth="0" w:num="1">
            <w:col w:w="11240"/>
          </w:cols>
          <w:pgMar w:left="320" w:top="2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$2,525 and $5,678 for the three months ended December 31, 2023 and 2024, respectively, and $5,061 and $8,225 for the six months ended December 31, 2023 and 2024, respectively, and is included in Cost of revenues and General and administrative.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December 31, 2024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0" w:type="dxa"/>
            <w:vAlign w:val="bottom"/>
          </w:tcPr>
          <w:p>
            <w:pPr>
              <w:spacing w:after="0"/>
              <w:rPr>
                <w:sz w:val="1"/>
                <w:szCs w:val="1"/>
                <w:color w:val="auto"/>
              </w:rPr>
            </w:pPr>
          </w:p>
        </w:tc>
      </w:tr>
      <w:tr>
        <w:trPr>
          <w:trHeight w:val="28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75,144</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37,666</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509,145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3,354,814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3,043,520</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80,563</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496,527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498,187</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4,022,411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2024 and December 31, 2024.</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2024 and December 31,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4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3,541,707</w:t>
            </w:r>
          </w:p>
        </w:tc>
        <w:tc>
          <w:tcPr>
            <w:tcW w:w="0" w:type="dxa"/>
            <w:vAlign w:val="bottom"/>
          </w:tcPr>
          <w:p>
            <w:pPr>
              <w:spacing w:after="0"/>
              <w:rPr>
                <w:sz w:val="1"/>
                <w:szCs w:val="1"/>
                <w:color w:val="auto"/>
              </w:rPr>
            </w:pPr>
          </w:p>
        </w:tc>
      </w:tr>
      <w:tr>
        <w:trPr>
          <w:trHeight w:val="27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4,024,071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116,936</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276,376</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88,523</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181,543</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six months ended December 31, 2023 or 2024. All securities in the Company’s portfolio held an A-1 rating or better as of December 31, 2024.</w:t>
      </w:r>
    </w:p>
    <w:p>
      <w:pPr>
        <w:spacing w:after="0" w:line="14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six months ended December 31, 2023 or 2024. There were no realized gains or losses on the sale of available-for-sale securities for the three or six months ended December 31, 2023 or 2024.</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December 31,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496,527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498,187</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used to measure fair value. The hierarchy requires entities to maximize the use of observable inputs and minimize the use of unobservable inputs. The three levels of inputs used to measure fair value are as follows:</w:t>
      </w:r>
    </w:p>
    <w:p>
      <w:pPr>
        <w:spacing w:after="0" w:line="12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2024 and December 31, 2024 based upon the short-term nature of these assets and liabilities.</w:t>
      </w:r>
    </w:p>
    <w:p>
      <w:pPr>
        <w:spacing w:after="0" w:line="15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2024 or December 31, 2024.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2,845,669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3,043,520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3,525,884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borrowings outstanding will mature and be payable upon expiration. The Company had no outstanding borrowings under the credit facility at June 30, 2024. During the six months ended December 31, 2024, the Company borrowed $325,000 to fund the acquisition of Airbase Inc. in October 2024, which remained outstanding at December 31, 2024. Refer to Note 4 for further details on the Company's acquisition of Airbase Inc.</w:t>
      </w:r>
    </w:p>
    <w:p>
      <w:pPr>
        <w:spacing w:after="0" w:line="148"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Borrowings are to be used to fund working capital, capital expenditures and general corporate purposes, including share repurchases and permitted acquisitions, investments, and distributions. The Company generally may borrow, prepay and reborrow under the credit facility and terminate or reduce the lenders’ commitments at any time prior to revolving credit facility expiration without a premium or a penalty, other than customary “breakage” costs.</w:t>
      </w:r>
    </w:p>
    <w:p>
      <w:pPr>
        <w:spacing w:after="0" w:line="11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Any borrowings under the credit facility will bear interest, at the Company’s option, at a rate per annum determined by reference to either the Term Secured Overnight Financing Rate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December 31, 2024,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The 2023 Plan serves as the successor to the 2014 Plan and permits the granting of market share units ("MSUs"), performance stock units ("PSUs"), restricted stock units ("RSUs") and other equity incentives at the discretion of the compensation committee of the Company’s board of directors ("Committee"). No new awards have been or will be issued under the 2014 Plan since the effective date of the 2023 Plan. Outstanding awards under the 2014 Plan continue to be subject to the terms and conditions of the 2014 Plan.</w:t>
      </w:r>
    </w:p>
    <w:p>
      <w:pPr>
        <w:spacing w:after="0" w:line="1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1,565 shares available for future grant under the 2023 Plan, and 1,887 shares were subject to outstanding options or awards. Generally, the Company issues previously unissued shares for the exercise of stock options or vesting of awards; however, shares previously subject to granted awards that are forfeited or net settled at exercise or release may be reissued under the 2023 Plan to satisfy future issuances.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PSUs, MSUs and the Company's Employee Stock Purchase Plan is included in the following line items in the accompanying Unaudited Consolidated Statements of Operations and Comprehensive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10,043</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11,313</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16,377</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26,257</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43,208</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capitalized $3,916 and $3,623 of stock-based compensation expense in its capitalized internal-use software costs in the three months ended December 31, 2023 and 2024, respectively, and $7,965 and $7,454 for the six months ended December 31, 2023 and 2024, respectively.</w:t>
      </w:r>
    </w:p>
    <w:p>
      <w:pPr>
        <w:spacing w:after="0" w:line="14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six months ended December 31, 2024. The table below presents stock option activity during the six months ended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$2,206 and $9,322 during the three months ended December 31, 2023 and 2024, respectively, and $4,700 and $22,819 for the six months ended December 31, 2023 and 2024, respectively.</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2023 Plan with terms determined at the discretion of the Committee. RSUs are time-based awards that generally vest over four years following the grant date.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RSU activity during the six months ended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207.03</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December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During the six months ended December 31, 2024, the Company granted approximately 55 PSUs with a grant date fair value of $155.95 per share, all which remained outstanding at December 31, 2024. The actual number of PSUs that will be eligible to vest is based on the achievement of Recurring and other revenue targets over a one-year period with vesting taking place annually over three years. Up to 200% of the target number of shares subject to each PSU are eligible to be earned.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vest at the end of each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MSU activity during the six months ended December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335.79</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r>
      <w:tr>
        <w:trPr>
          <w:trHeight w:val="277"/>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December 31,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w:t>
            </w:r>
          </w:p>
        </w:tc>
      </w:tr>
    </w:tbl>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there was $172,556 of total unrecognized compensation cost, net of estimated forfeitures, related to unvested RSUs, PSUs and MSUs. That cost is expected to be recognized over a weighted average period of 1.7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these matters at this time. The Company intends to vigorously defend against these lawsuits.</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of these matters that are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28.8% and 20.0% for the three months ended December 31, 2023 and 2024, respectively. The Company's effective tax rate for the three months ended December 31, 2023 was higher than the federal statutory rate of 21% primarily due to state and local income taxes. The Company's effective tax rate for the three months ended December 31, 2024 was lower than the federal statutory rate of 21% primarily due to excess tax benefit from stock-based compensation.</w:t>
      </w:r>
    </w:p>
    <w:p>
      <w:pPr>
        <w:spacing w:after="0" w:line="13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25.8% and 24.8% for the six months ended December 31, 2023 and 2024, respectively. The Company's effective tax rate for both the six months ended December 31, 2023 and 2024 was higher than the federal statutory rate of 21% primarily due to state and local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RSUs, PSUs and MSUs as of the balance sheet date. The following table presents the calculation of basic and diluted net income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38,116</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37,465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87,038</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56,244</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RSUs and MSUs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56,855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56,740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5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December 31, 2023 and 2024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6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60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50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2024 filed with the SEC on August 2,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payroll and spend management software solutions that deliver a comprehensive platform for the modern workforce. Our platform offers an intuitive, easy-to-use product suite that helps businesses attract and retain talent, build culture and connection with their employees, and streamline and automate HR, payroll and spend management processes. We are expanding the spend management capabilities of our platform beyond expense management to include bill pay and accounts payable automation, corporate cards, and procurement capabilities through the acquisition of Airbase Inc. in October 2024. This integrated platform will enable HR and finance leaders to manage all their spend, including payroll, on a single platform.</w:t>
      </w:r>
    </w:p>
    <w:p>
      <w:pPr>
        <w:spacing w:after="0" w:line="16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across our entire organization as we grow our business over the long term. These investments include increasing the number of personnel across all functional areas, along with improving our solutions and infrastructure to support our growth. The timing and amount of these investments will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$326.4 million for the three months ended December 31, 2023 to $377.0 million for the three months ended December 31, 2024, representing a 16% year-over-year increase. Total revenues increased from $643.9 million for the six months ended December 31, 2023 to $739.9 million for the six months ended December 31, 2024, representing a 15% year-over-year increase. The increase in year-over-year revenue growth was driven by the strong performance by our sales team.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described below. We define Adjusted EBITDA as net income before interest expense, income tax expense (benefit), depreciation and amortization expense, stock-based compensation expense and employer payroll taxes related to stock releases and option exercises and other items as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6"/>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218,962</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435,081</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500,431</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82"/>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1"/>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87,038</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47,212</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168,160</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80,570</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r>
      <w:tr>
        <w:trPr>
          <w:trHeight w:val="28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680" w:hanging="652"/>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 adjustments related to certain roles that have been eliminated. We exclude one-off severance costs that we incur as part of the normal course of our business operations.</w:t>
      </w:r>
    </w:p>
    <w:p>
      <w:pPr>
        <w:ind w:left="660" w:right="360" w:hanging="652"/>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HCM and payroll software solutions, which are recurring in nature. Recurring fees for each client generally include a base fee in addition to a fee based on the number of client employees and the number of products a client uses. We also charge fees for our preparation of W-2 documents and annual required filings on behalf of our clients. We charge implementation fees for professional services provided to implement our HCM and payroll solutions.</w:t>
      </w:r>
    </w:p>
    <w:p>
      <w:pPr>
        <w:spacing w:after="0" w:line="1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91% and 92% of our total revenues for the three months ended December 31, 2023 and 2024, respectively, and 92% of our total revenues for the both the six months ended December 31, 2023 and 2024.</w:t>
      </w:r>
    </w:p>
    <w:p>
      <w:pPr>
        <w:spacing w:after="0" w:line="15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$10.7 million and $14.8 million of capitalized internal-use software costs during the three months ended December 31, 2023 and 2024, respectively, and $20.2 million and $28.6 million of capitalized internal-use software costs for the six months ended December 31, 2023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as well as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generally amortize them over a period of 7 years.</w:t>
      </w:r>
    </w:p>
    <w:p>
      <w:pPr>
        <w:spacing w:after="0" w:line="13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2023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18,435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46,139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56,155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103,415</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64,574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139,965</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increase in absolute dollars as our company continues to grow, we expect to realize cost efficiencies as our business scales.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680,819</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59,117</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739,936</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239,505</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500,431</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181,564</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103,415</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104,685</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169,256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344,186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389,664</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110,767</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115,702</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2023 and 2024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7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298,416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347,714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December 31, 2024 increased by $49.3 million, or 17%, to $347.7 million from $298.4 million for the three months ended December 31, 2023.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on funds held for clients for the three months ended December 31, 2024 increased by $1.3 million, or 5%, to $29.3 million from</w:t>
      </w:r>
    </w:p>
    <w:p>
      <w:pPr>
        <w:spacing w:after="0" w:line="50"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$27.9 million for the three months ended December 31, 2023. Interest income on funds held for clients increased primarily due to higher average daily balances for funds held due to the addition of new clients to our client base as compared to the prior fiscal year, partially offset by lower interest rates.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107,399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124,545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17,146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December 31, 2024 increased by $17.1 million, or 16%, to $124.5 million from $107.4 million for the three months ended December 31, 2023. Cost of revenues increased primarily as a result of the continued growth of our business, in particular, $6.4 million in additional employee-related costs, $4.2 million in additional amortization of internal use software, $3.8 million in additional processing and delivery related costs and $2.9 in additional amortization of certain intangible assets. Gross margin remained consistent at 67% for both the three months ended December 31, 2023 and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79,777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93,133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2024 increased by $13.4 million, or 17%, to $93.1 million from $79.8 million for the three months ended December 31, 2023. The increase in sales and marketing expense was primarily due to $12.3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46,139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December 31, 2024 increased by $10.0 million, or 22%, to $56.2 million from</w:t>
      </w:r>
    </w:p>
    <w:p>
      <w:pPr>
        <w:spacing w:after="0" w:line="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$46.1 million for the three months ended December 31, 2023. The increase in research and development expenses was primarily due to $8.3 million of additional employee-related costs related to additional development personnel.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43,340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56,524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13,184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2024 increased by $13.2 million, or 30%, to $56.5 million from $43.3 million for the three months ended December 31, 2023. General and administrative expenses increased primarily due to $5.1 million in additional employee-related costs during the three months ended December 31, 2024 and a $4.3 million gain related to lease exit activity during the three months ended December 31, 2023.</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December 31, 2024 decreased by $3.6 million as compared to the three months ended December 31, 2023. The change in other income was primarily due to $4.7 million in additional interest expense related to borrowings under our revolving credit facility to fund the October 2024 acquisition of Airbase Inc.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28.8% and 20.0% for the three months ended December 31, 2023 and 2024, respectively. Our effective tax rate for the three months ended December 31, 2023 was higher than the federal statutory rate of 21% primarily due to an increase in state and local income taxes. Our effective tax rate for the three months ended December 31, 2024 was lower than the federal statutory rate of 21% primarily due to excess tax benefit from stock-based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2023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590,101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680,819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53,846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six months ended December 31, 2024 increased by $90.7 million, or 15%, to $680.8 million from $590.1 million for the six months ended December 31, 2023.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six months ended December 31, 2024 increased by $5.3 million, or 10%, to $59.1 million from $53.8 million for the six months ended December 31, 2023. Interest income on funds held for clients increased primarily due to higher average daily balances for funds held due to the addition of new clients to our client base as compared to the prior fiscal year partially offset by lower interest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208,866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239,505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30,639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six months ended December 31, 2024 increased by $30.6 million, or 15%, to $239.5 million from $208.9 million for the six months ended December 31, 2023. Cost of revenues increased primarily as a result of the continued growth of our business, in particular, $12.7 million in additional employee-related costs, $8.4 million in additional amortization of internal use software, $7.5 million in additional processing and delivery related costs and $3.1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million in additional amortization of certain intangible assets. Gross margin remained consistent at 68% for both the six months ended December 31, 2023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160,180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181,564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21,384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six months ended December 31, 2024 increased by $21.4 million, or 13%, to $181.6 million from $160.2 million for the six months ended December 31, 2023. The increase in sales and marketing expense was primarily due to $20.2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90,744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103,415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12,671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December 31, 2024 increased by $12.7 million, or 14%, to $103.4 million from $90.7 million for the six months ended December 31, 2023. The increase in research and development expenses was primarily due to $11.5 million of additional employee-related costs related to additional development personnel.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93,262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104,685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11,423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December 31, 2024 increased by $11.4 million, or 12%, to $104.7 million from $93.3 million for the six months ended December 31, 2023. General and administrative expenses increased primarily due to $7.0 million in additional employee-related costs during the six months ended December 31, 2024 and a $4.3 million gain related to lease exit activity during the six months ended December 31, 2023, partially offset by a $5.2 million reduction in stock-based compensation expense attributable to executive award forfeitures.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Other income for the six months ended December 31, 2024 decreased by $2.1 million as compared to the six months ended December 31, 2023. The change in other income was primarily due to $4.9 million in additional interest expense related to borrowings under our revolving credit facility to fund the October 2024 acquisition of Airbase Inc., partially offset by a $2.7 million increase in interest income earned on our cash and cash equivalents as a result of higher average daily balances of those corporate cash and cash equivalents.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60" w:firstLine="648"/>
        <w:spacing w:after="0" w:line="313" w:lineRule="auto"/>
        <w:rPr>
          <w:sz w:val="20"/>
          <w:szCs w:val="20"/>
          <w:color w:val="auto"/>
        </w:rPr>
      </w:pPr>
      <w:r>
        <w:rPr>
          <w:rFonts w:ascii="Times New Roman" w:cs="Times New Roman" w:eastAsia="Times New Roman" w:hAnsi="Times New Roman"/>
          <w:sz w:val="18"/>
          <w:szCs w:val="18"/>
          <w:color w:val="auto"/>
        </w:rPr>
        <w:t>Our effective tax rate was 25.8% and 24.8% for the six months ended December 31, 2023 and 2024, respectively. Our effective tax rate for the six months ended December 31, 2023 and 2024 was higher than the federal statutory rate of 21% primarily due to state and local income taxes.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2024 included in our Annual Report on Form 10-K filed with the SEC on August 2,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December 31, 2024, our principal source of liquidity was $482.4 million of cash and cash equivalents. We maintain a credit agreement that provides for a $550.0 million revolving credit facility, which may be increased up to $825.0 million. In September 2024, we borrowed $325.0 million under this credit facility to fund the acquisition of Airbase Inc. in October 2024, which remained outstanding at December 31, 2024. Refer to Notes 4 and 8 of the Notes to the Unaudited Consolidated Financial Statements for additional detail on the Airbase acquisition and credit agreement, respectively.</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the six months ended December 31, 2024, we repurchased an aggregate of 44 thousand shares for approximately $8.6 million at an average cost per share of $197.90 under the Repurchase Program. As of December 31, 2024, approximately $341.4 million remains authorized for repurchases under the Repurchase Program.</w:t>
      </w:r>
    </w:p>
    <w:p>
      <w:pPr>
        <w:spacing w:after="0" w:line="14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December 31, 2024, we did not have any corporate investments classified as available-for-sale securities.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3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65"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(66,122)</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and funds held for clients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(278,001)</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545,384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(37,005)</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835,525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680,215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$137.2 million and $145.7 million for the six months ended December 31, 2023 and 2024, respectively. The change in net cash provided by operating activities from the six months ended December 31, 2023 to the six months ended December 31, 2024 was primarily due to improved operating results after adjusting for non-cash items including stock-based compensation expense, depreciation and amortization expense and deferred income tax expense (benefit) and other, partially offset by changes in operating assets and liabilities during the six months ended December 31, 2024 as compared to the six months ended December 31,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$62.2 million and $301.0 million for the six months ended December 31, 2023 and 2024,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$266.0 million in additional amounts paid for acquisitions, net of cash and funds held for clients acquired, and $70.8 million less in proceeds from the sales and maturities of available-for-sale securities, partially offset by $98.7 million less in purchases of available-for-sale securities during the six months ended December 31, 2024 as compared to the six months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Net cash provided by financing activities was $629.9 million and $835.5 million for the six months ended December 31, 2023 and 2024, respectively. The change in net cash provided by financing activities was primarily due to $325.0 million in borrowings under our credit facility, partially offset by a decrease in the net change in client fund obligations of $97.0 million due to the timing of client funds collected and related remittance of those funds to client employees and taxing authorities during the six months ended December 31, 2024 as compared to the six months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480" w:firstLine="648"/>
        <w:spacing w:after="0" w:line="289" w:lineRule="auto"/>
        <w:rPr>
          <w:sz w:val="20"/>
          <w:szCs w:val="20"/>
          <w:color w:val="auto"/>
        </w:rPr>
      </w:pPr>
      <w:r>
        <w:rPr>
          <w:rFonts w:ascii="Times New Roman" w:cs="Times New Roman" w:eastAsia="Times New Roman" w:hAnsi="Times New Roman"/>
          <w:sz w:val="17"/>
          <w:szCs w:val="17"/>
          <w:color w:val="auto"/>
        </w:rPr>
        <w:t>At December 31, 2024, our principal commitments consisted of $325.0 million in borrowings on our revolving credit facility, which is contractually not due in the next twelve months, and related interest payments, as well as $66.8 million in operating lease obligations, of which $10.5 million is due in the next twelve months. We also had $70.9 million in purchase obligations, of which $44.8 million is due in the next twelve months.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$6.1 million and $5.3 million for the six months ended December 31, 2023 and 2024, respectively, exclusive of capitalized internal-use software costs of $29.5 million and $29.6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2, 2024 for risks related to our business.</w:t>
      </w:r>
    </w:p>
    <w:p>
      <w:pPr>
        <w:spacing w:after="0" w:line="14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$482.4 million and funds held for clients of $3,541.7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$10.8 million as of December 31, 2024.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$10.8 million as of December 31, 2024.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 xml:space="preserve">$325.0 million in 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market risk from changes in the underlying index rates, which affects our interest expense. A hypothetical change of 100 basis points in interest rates would not have had a significant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December 31, 2024,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2024 filed with the SEC on August 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purchases of common stock during the three months ended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Value of Shares that May</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Plans or Programs (2)</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 November 30,</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346,293,384</w:t>
            </w:r>
          </w:p>
        </w:tc>
        <w:tc>
          <w:tcPr>
            <w:tcW w:w="0" w:type="dxa"/>
            <w:vAlign w:val="bottom"/>
          </w:tcPr>
          <w:p>
            <w:pPr>
              <w:spacing w:after="0"/>
              <w:rPr>
                <w:sz w:val="1"/>
                <w:szCs w:val="1"/>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341,362,298</w:t>
            </w:r>
          </w:p>
        </w:tc>
        <w:tc>
          <w:tcPr>
            <w:tcW w:w="0" w:type="dxa"/>
            <w:vAlign w:val="bottom"/>
          </w:tcPr>
          <w:p>
            <w:pPr>
              <w:spacing w:after="0"/>
              <w:rPr>
                <w:sz w:val="1"/>
                <w:szCs w:val="1"/>
                <w:color w:val="auto"/>
              </w:rPr>
            </w:pPr>
          </w:p>
        </w:tc>
      </w:tr>
      <w:tr>
        <w:trPr>
          <w:trHeight w:val="223"/>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580" w:firstLine="8"/>
        <w:spacing w:after="0" w:line="266" w:lineRule="auto"/>
        <w:tabs>
          <w:tab w:leader="none" w:pos="3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following directors and/or officers (as defined in Rule 16a-1(f)) adopted a “Rule 10b5-1 trading arrangement,” as defined in Item 408(a) of Regulation S-K intending to satisfy the affirmative defense of Rule 10b5-1(c):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Duration (1)</w:t>
            </w:r>
          </w:p>
        </w:tc>
        <w:tc>
          <w:tcPr>
            <w:tcW w:w="2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3060" w:type="dxa"/>
            <w:vAlign w:val="bottom"/>
            <w:vMerge w:val="continue"/>
          </w:tcPr>
          <w:p>
            <w:pPr>
              <w:spacing w:after="0"/>
              <w:rPr>
                <w:sz w:val="21"/>
                <w:szCs w:val="21"/>
                <w:color w:val="auto"/>
              </w:rPr>
            </w:pPr>
          </w:p>
        </w:tc>
        <w:tc>
          <w:tcPr>
            <w:tcW w:w="2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2080" w:type="dxa"/>
            <w:vAlign w:val="bottom"/>
            <w:vMerge w:val="continue"/>
          </w:tcPr>
          <w:p>
            <w:pPr>
              <w:spacing w:after="0"/>
              <w:rPr>
                <w:sz w:val="21"/>
                <w:szCs w:val="21"/>
                <w:color w:val="auto"/>
              </w:rPr>
            </w:pPr>
          </w:p>
        </w:tc>
        <w:tc>
          <w:tcPr>
            <w:tcW w:w="200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R. Beauchamp (2)</w:t>
            </w:r>
          </w:p>
        </w:tc>
        <w:tc>
          <w:tcPr>
            <w:tcW w:w="23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142,500 (2)</w:t>
            </w:r>
          </w:p>
        </w:tc>
        <w:tc>
          <w:tcPr>
            <w:tcW w:w="20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February 14, 2025 -</w:t>
            </w:r>
          </w:p>
        </w:tc>
        <w:tc>
          <w:tcPr>
            <w:tcW w:w="200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November 15, 2024</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
        </w:trPr>
        <w:tc>
          <w:tcPr>
            <w:tcW w:w="3060" w:type="dxa"/>
            <w:vAlign w:val="bottom"/>
            <w:shd w:val="clear" w:color="auto" w:fill="CCEEFF"/>
          </w:tcPr>
          <w:p>
            <w:pPr>
              <w:spacing w:after="0" w:line="20" w:lineRule="exact"/>
              <w:rPr>
                <w:sz w:val="1"/>
                <w:szCs w:val="1"/>
                <w:color w:val="auto"/>
              </w:rPr>
            </w:pPr>
          </w:p>
        </w:tc>
        <w:tc>
          <w:tcPr>
            <w:tcW w:w="2320" w:type="dxa"/>
            <w:vAlign w:val="bottom"/>
            <w:vMerge w:val="continue"/>
            <w:shd w:val="clear" w:color="auto" w:fill="CCEEFF"/>
          </w:tcPr>
          <w:p>
            <w:pPr>
              <w:spacing w:after="0" w:line="20" w:lineRule="exact"/>
              <w:rPr>
                <w:sz w:val="1"/>
                <w:szCs w:val="1"/>
                <w:color w:val="auto"/>
              </w:rPr>
            </w:pPr>
          </w:p>
        </w:tc>
        <w:tc>
          <w:tcPr>
            <w:tcW w:w="2080" w:type="dxa"/>
            <w:vAlign w:val="bottom"/>
            <w:vMerge w:val="continue"/>
            <w:shd w:val="clear" w:color="auto" w:fill="CCEEFF"/>
          </w:tcPr>
          <w:p>
            <w:pPr>
              <w:spacing w:after="0" w:line="20" w:lineRule="exact"/>
              <w:rPr>
                <w:sz w:val="1"/>
                <w:szCs w:val="1"/>
                <w:color w:val="auto"/>
              </w:rPr>
            </w:pPr>
          </w:p>
        </w:tc>
        <w:tc>
          <w:tcPr>
            <w:tcW w:w="2000" w:type="dxa"/>
            <w:vAlign w:val="bottom"/>
            <w:vMerge w:val="continue"/>
            <w:shd w:val="clear" w:color="auto" w:fill="CCEEFF"/>
          </w:tcPr>
          <w:p>
            <w:pPr>
              <w:spacing w:after="0" w:line="20" w:lineRule="exact"/>
              <w:rPr>
                <w:sz w:val="1"/>
                <w:szCs w:val="1"/>
                <w:color w:val="auto"/>
              </w:rPr>
            </w:pPr>
          </w:p>
        </w:tc>
        <w:tc>
          <w:tcPr>
            <w:tcW w:w="174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2320" w:type="dxa"/>
            <w:vAlign w:val="bottom"/>
            <w:vMerge w:val="continue"/>
            <w:shd w:val="clear" w:color="auto" w:fill="CCEEFF"/>
          </w:tcPr>
          <w:p>
            <w:pPr>
              <w:spacing w:after="0"/>
              <w:rPr>
                <w:sz w:val="12"/>
                <w:szCs w:val="12"/>
                <w:color w:val="auto"/>
              </w:rPr>
            </w:pPr>
          </w:p>
        </w:tc>
        <w:tc>
          <w:tcPr>
            <w:tcW w:w="20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2025</w:t>
            </w:r>
          </w:p>
        </w:tc>
        <w:tc>
          <w:tcPr>
            <w:tcW w:w="2000" w:type="dxa"/>
            <w:vAlign w:val="bottom"/>
            <w:vMerge w:val="continue"/>
            <w:shd w:val="clear" w:color="auto" w:fill="CCEEFF"/>
          </w:tcPr>
          <w:p>
            <w:pPr>
              <w:spacing w:after="0"/>
              <w:rPr>
                <w:sz w:val="12"/>
                <w:szCs w:val="12"/>
                <w:color w:val="auto"/>
              </w:rPr>
            </w:pPr>
          </w:p>
        </w:tc>
        <w:tc>
          <w:tcPr>
            <w:tcW w:w="1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060" w:type="dxa"/>
            <w:vAlign w:val="bottom"/>
            <w:vMerge w:val="continue"/>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2080" w:type="dxa"/>
            <w:vAlign w:val="bottom"/>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60" w:type="dxa"/>
            <w:vAlign w:val="bottom"/>
            <w:vMerge w:val="continue"/>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Glenn</w:t>
            </w:r>
          </w:p>
        </w:tc>
        <w:tc>
          <w:tcPr>
            <w:tcW w:w="2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Up to 9,586 (3)(4)</w:t>
            </w:r>
          </w:p>
        </w:tc>
        <w:tc>
          <w:tcPr>
            <w:tcW w:w="2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February 19, 2025 -</w:t>
            </w:r>
          </w:p>
        </w:tc>
        <w:tc>
          <w:tcPr>
            <w:tcW w:w="2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20" w:type="dxa"/>
            <w:vAlign w:val="bottom"/>
          </w:tcPr>
          <w:p>
            <w:pPr>
              <w:spacing w:after="0"/>
              <w:rPr>
                <w:sz w:val="21"/>
                <w:szCs w:val="21"/>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30, 2025</w:t>
            </w: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November 20,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30, 2025</w:t>
            </w: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Rost</w:t>
            </w:r>
          </w:p>
        </w:tc>
        <w:tc>
          <w:tcPr>
            <w:tcW w:w="23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tc>
        <w:tc>
          <w:tcPr>
            <w:tcW w:w="2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Up to 3,537 (4)</w:t>
            </w:r>
          </w:p>
        </w:tc>
        <w:tc>
          <w:tcPr>
            <w:tcW w:w="20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February 19, 2025 -</w:t>
            </w:r>
          </w:p>
        </w:tc>
        <w:tc>
          <w:tcPr>
            <w:tcW w:w="20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60" w:type="dxa"/>
            <w:vAlign w:val="bottom"/>
            <w:vMerge w:val="continue"/>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80" w:type="dxa"/>
            <w:vAlign w:val="bottom"/>
            <w:vMerge w:val="continue"/>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Treasurer</w:t>
            </w:r>
          </w:p>
        </w:tc>
        <w:tc>
          <w:tcPr>
            <w:tcW w:w="232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February 20, 2026</w:t>
            </w: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November 20,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I. Sarowitz (5)</w:t>
            </w:r>
          </w:p>
        </w:tc>
        <w:tc>
          <w:tcPr>
            <w:tcW w:w="2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490,000 (3)</w:t>
            </w: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208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color w:val="auto"/>
              </w:rPr>
              <w:t>March 18, 2025 -</w:t>
            </w:r>
          </w:p>
        </w:tc>
        <w:tc>
          <w:tcPr>
            <w:tcW w:w="2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1"/>
                <w:szCs w:val="21"/>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2025</w:t>
            </w: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17,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Scutt</w:t>
            </w:r>
          </w:p>
        </w:tc>
        <w:tc>
          <w:tcPr>
            <w:tcW w:w="4400" w:type="dxa"/>
            <w:vAlign w:val="bottom"/>
            <w:gridSpan w:val="2"/>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Up to 10,256 (4)   March 13, 2025 - August</w:t>
            </w:r>
          </w:p>
        </w:tc>
        <w:tc>
          <w:tcPr>
            <w:tcW w:w="2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060" w:type="dxa"/>
            <w:vAlign w:val="bottom"/>
            <w:shd w:val="clear" w:color="auto" w:fill="CCEEFF"/>
          </w:tcPr>
          <w:p>
            <w:pPr>
              <w:spacing w:after="0"/>
              <w:rPr>
                <w:sz w:val="10"/>
                <w:szCs w:val="10"/>
                <w:color w:val="auto"/>
              </w:rPr>
            </w:pPr>
          </w:p>
        </w:tc>
        <w:tc>
          <w:tcPr>
            <w:tcW w:w="4400" w:type="dxa"/>
            <w:vAlign w:val="bottom"/>
            <w:gridSpan w:val="2"/>
            <w:vMerge w:val="continue"/>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Sales</w:t>
            </w:r>
          </w:p>
        </w:tc>
        <w:tc>
          <w:tcPr>
            <w:tcW w:w="232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25, 2025</w:t>
            </w: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December 12,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25, 2025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right="320" w:hanging="652"/>
        <w:spacing w:after="0" w:line="258" w:lineRule="auto"/>
        <w:tabs>
          <w:tab w:leader="none" w:pos="3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ind w:left="660" w:hanging="652"/>
        <w:spacing w:after="0" w:line="250"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Beauchamp’s Rule 10b5-1 trading arrangement includes 120,000 shares held directly by Mr. Beauchamp and 22,500 shares to be sold by the IRIE Foundation, over which Mr. Beauchamp has voting and dispositive power.</w:t>
      </w: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sold is determined, in part, based on pricing triggers outlined in the adopting person's trading arrangement.</w:t>
      </w:r>
    </w:p>
    <w:p>
      <w:pPr>
        <w:spacing w:after="0" w:line="49" w:lineRule="exact"/>
        <w:rPr>
          <w:rFonts w:ascii="Times New Roman" w:cs="Times New Roman" w:eastAsia="Times New Roman" w:hAnsi="Times New Roman"/>
          <w:sz w:val="18"/>
          <w:szCs w:val="18"/>
          <w:color w:val="auto"/>
        </w:rPr>
      </w:pPr>
    </w:p>
    <w:p>
      <w:pPr>
        <w:ind w:left="660" w:right="60" w:hanging="652"/>
        <w:spacing w:after="0" w:line="23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subject to certain outstanding equity awards with time- and/or performance-based vesting conditions. For shares subject to performance-based vesting conditions, the number of shares included in the table above assumes the target achievement of the performance-based conditions. Additionally, for both time- and performance-based vesting awards, the actual number of shares that may be sold will be net of the number of shares withheld by the Company to satisfy tax withholding obligations arising from the vesting of such awards, which is not determinable at this time.</w:t>
      </w:r>
    </w:p>
    <w:p>
      <w:pPr>
        <w:spacing w:after="0" w:line="1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arrangement was entered into by Jessica Sarowitz, Mr. Sarowitz’s spouse.</w:t>
      </w:r>
    </w:p>
    <w:p>
      <w:pPr>
        <w:spacing w:after="0" w:line="33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December 31, 2024.</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60" w:type="dxa"/>
            <w:vAlign w:val="bottom"/>
            <w:gridSpan w:val="12"/>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8"/>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Agreement and Plan of Merger, dated August 29, 2024, by and among Paylocity Corporation, Project Alpine Merger Sub, Inc. Airbase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9840" w:type="dxa"/>
            <w:vAlign w:val="bottom"/>
            <w:gridSpan w:val="17"/>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 and Shareholder Representative Services LLC (filed as Exhibit 2.1 of Paylocity Holding Corporation's Current Report on Form 8-K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on September 4, 2024 (File No. 001-36348)).</w:t>
              </w:r>
            </w:hyperlink>
          </w:p>
        </w:tc>
        <w:tc>
          <w:tcPr>
            <w:tcW w:w="65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8"/>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8-K on December 4, 2023 (File No. 001-36348)).</w:t>
              </w:r>
            </w:hyperlink>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8"/>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Second Amendment to Credit Agreement, dated as of October 1, 2024, by and among Paylocity Holding Corporation, the Guarantor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4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party thereto, the Lenders party thereto and PNC Bank, National Association, as Administrative Agent.</w:t>
            </w:r>
          </w:p>
        </w:tc>
        <w:tc>
          <w:tcPr>
            <w:tcW w:w="21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13a-4 and 15d-14 as adopted pursuant to Section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2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8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7, 2025</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7, 2025</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CREDIT AGREEMENT</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THIS SECOND Amendment to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made as of October 1, 2024, by and among</w:t>
      </w:r>
      <w:r>
        <w:rPr>
          <w:rFonts w:ascii="Times New Roman" w:cs="Times New Roman" w:eastAsia="Times New Roman" w:hAnsi="Times New Roman"/>
          <w:sz w:val="20"/>
          <w:szCs w:val="20"/>
          <w:b w:val="1"/>
          <w:bCs w:val="1"/>
          <w:color w:val="auto"/>
        </w:rPr>
        <w:t xml:space="preserve"> PAYLOCITY HOLDING CORPORATION</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each of the Guarantors (as hereinafter defined),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Lenders (as hereinafter defined), and </w:t>
      </w: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in its capacity as administrative agent for the Lenders (hereinafter referred to in such capacity as the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A. The Borrower, the entities from time to time party thereto as guarantors (each, a “</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and together with the Borrower, collectively, the “</w:t>
      </w:r>
      <w:r>
        <w:rPr>
          <w:rFonts w:ascii="Times New Roman" w:cs="Times New Roman" w:eastAsia="Times New Roman" w:hAnsi="Times New Roman"/>
          <w:sz w:val="19"/>
          <w:szCs w:val="19"/>
          <w:b w:val="1"/>
          <w:bCs w:val="1"/>
          <w:color w:val="auto"/>
        </w:rPr>
        <w:t>Loan Parties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color w:val="auto"/>
        </w:rPr>
        <w:t>Loan Party</w:t>
      </w:r>
      <w:r>
        <w:rPr>
          <w:rFonts w:ascii="Times New Roman" w:cs="Times New Roman" w:eastAsia="Times New Roman" w:hAnsi="Times New Roman"/>
          <w:sz w:val="19"/>
          <w:szCs w:val="19"/>
          <w:color w:val="auto"/>
        </w:rPr>
        <w:t>”), the lenders from time to time party thereto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and Administrative Agent are parties to that certain Credit Agreement, dated as of July 17, 2019 (as amended, restated, refinanced, supplemented or otherwise modified from time to time,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pursuant to which the Lenders have agreed to make one or more loans or other extensions of credit to the Borrower upon the terms and conditions set forth therein.</w:t>
      </w:r>
    </w:p>
    <w:p>
      <w:pPr>
        <w:spacing w:after="0" w:line="20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B. The Loan Parties have requested that the Administrative Agent and the Lenders agree to amend certain provisions of the Credit Agreement, and the Administrative Agent and the Lenders are willing to make such amendments in the manner, and on the terms and conditions, provided for herein.</w:t>
      </w:r>
    </w:p>
    <w:p>
      <w:pPr>
        <w:spacing w:after="0" w:line="21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NOW, THEREFORE, in consideration of the mutual conditions and agreements set forth in the Credit Agreement, the other Loan Documents and this Amendment, and other valuable consideration, the receipt and sufficiency of which are hereby acknowledged, the parties hereby agree as follows:</w:t>
      </w:r>
    </w:p>
    <w:p>
      <w:pPr>
        <w:spacing w:after="0" w:line="194" w:lineRule="exact"/>
        <w:rPr>
          <w:sz w:val="20"/>
          <w:szCs w:val="20"/>
          <w:color w:val="auto"/>
        </w:rPr>
      </w:pPr>
    </w:p>
    <w:p>
      <w:pPr>
        <w:ind w:firstLine="1304"/>
        <w:spacing w:after="0" w:line="269" w:lineRule="auto"/>
        <w:tabs>
          <w:tab w:leader="none" w:pos="194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Recitals</w:t>
      </w:r>
      <w:r>
        <w:rPr>
          <w:rFonts w:ascii="Times New Roman" w:cs="Times New Roman" w:eastAsia="Times New Roman" w:hAnsi="Times New Roman"/>
          <w:sz w:val="20"/>
          <w:szCs w:val="20"/>
          <w:color w:val="auto"/>
        </w:rPr>
        <w:t>. The accuracy of the Recitals set forth above is confirmed by the Loan Parties and incorporated herein as express representations of the Loan Parties.</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firstLine="644"/>
        <w:spacing w:after="0" w:line="269" w:lineRule="auto"/>
        <w:tabs>
          <w:tab w:leader="none" w:pos="194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Credit Agreement (Certain Definitions) shall be amended by amending and restating the last sentence of the definition of Excluded Subsidiary to read as follows:</w:t>
      </w:r>
    </w:p>
    <w:p>
      <w:pPr>
        <w:spacing w:after="0" w:line="173" w:lineRule="exact"/>
        <w:rPr>
          <w:sz w:val="20"/>
          <w:szCs w:val="20"/>
          <w:color w:val="auto"/>
        </w:rPr>
      </w:pPr>
    </w:p>
    <w:p>
      <w:pPr>
        <w:jc w:val="both"/>
        <w:ind w:left="1300" w:firstLine="648"/>
        <w:spacing w:after="0" w:line="247" w:lineRule="auto"/>
        <w:rPr>
          <w:sz w:val="20"/>
          <w:szCs w:val="20"/>
          <w:color w:val="auto"/>
        </w:rPr>
      </w:pPr>
      <w:r>
        <w:rPr>
          <w:rFonts w:ascii="Times New Roman" w:cs="Times New Roman" w:eastAsia="Times New Roman" w:hAnsi="Times New Roman"/>
          <w:sz w:val="20"/>
          <w:szCs w:val="20"/>
          <w:color w:val="auto"/>
        </w:rPr>
        <w:t xml:space="preserve">As of the Second Amendment Effective Date, the Excluded Subsidiaries are listed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which such schedule may be updated from time to time by the Borrower by delivering an updated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to the Administrative Agent.</w:t>
      </w:r>
    </w:p>
    <w:p>
      <w:pPr>
        <w:spacing w:after="0" w:line="208" w:lineRule="exact"/>
        <w:rPr>
          <w:sz w:val="20"/>
          <w:szCs w:val="20"/>
          <w:color w:val="auto"/>
        </w:rPr>
      </w:pPr>
    </w:p>
    <w:p>
      <w:pPr>
        <w:ind w:left="660" w:right="20" w:firstLine="644"/>
        <w:spacing w:after="0" w:line="255" w:lineRule="auto"/>
        <w:tabs>
          <w:tab w:leader="none" w:pos="19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Credit Agreement (Certain Definitions) shall be further amended by inserting the following new defined terms in their appropriate alphabetical order to read as follows:</w:t>
      </w:r>
    </w:p>
    <w:p>
      <w:pPr>
        <w:spacing w:after="0" w:line="186" w:lineRule="exact"/>
        <w:rPr>
          <w:sz w:val="20"/>
          <w:szCs w:val="20"/>
          <w:color w:val="auto"/>
        </w:rPr>
      </w:pPr>
    </w:p>
    <w:p>
      <w:pPr>
        <w:ind w:left="1380" w:firstLine="729"/>
        <w:spacing w:after="0" w:line="269" w:lineRule="auto"/>
        <w:rPr>
          <w:sz w:val="20"/>
          <w:szCs w:val="20"/>
          <w:color w:val="auto"/>
        </w:rPr>
      </w:pPr>
      <w:r>
        <w:rPr>
          <w:rFonts w:ascii="Times New Roman" w:cs="Times New Roman" w:eastAsia="Times New Roman" w:hAnsi="Times New Roman"/>
          <w:sz w:val="20"/>
          <w:szCs w:val="20"/>
          <w:u w:val="single" w:color="auto"/>
          <w:color w:val="auto"/>
        </w:rPr>
        <w:t>Airbase</w:t>
      </w:r>
      <w:r>
        <w:rPr>
          <w:rFonts w:ascii="Times New Roman" w:cs="Times New Roman" w:eastAsia="Times New Roman" w:hAnsi="Times New Roman"/>
          <w:sz w:val="20"/>
          <w:szCs w:val="20"/>
          <w:color w:val="auto"/>
        </w:rPr>
        <w:t xml:space="preserve"> means Airbase Inc., a Delaware corporation, which will become a Subsidiary of the Borrower after the Second Amendment Effective Date.</w:t>
      </w:r>
    </w:p>
    <w:p>
      <w:pPr>
        <w:spacing w:after="0" w:line="17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u w:val="single" w:color="auto"/>
          <w:color w:val="auto"/>
        </w:rPr>
        <w:t>Airbase Customer</w:t>
      </w:r>
      <w:r>
        <w:rPr>
          <w:rFonts w:ascii="Times New Roman" w:cs="Times New Roman" w:eastAsia="Times New Roman" w:hAnsi="Times New Roman"/>
          <w:sz w:val="20"/>
          <w:szCs w:val="20"/>
          <w:color w:val="auto"/>
        </w:rPr>
        <w:t xml:space="preserve"> has the meaning set forth in Section 8.1.12.</w:t>
      </w:r>
    </w:p>
    <w:p>
      <w:pPr>
        <w:spacing w:after="0" w:line="2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xml:space="preserve"> means October 1, 2024.</w:t>
      </w:r>
    </w:p>
    <w:p>
      <w:pPr>
        <w:sectPr>
          <w:pgSz w:w="11900" w:h="16838" w:orient="portrait"/>
          <w:cols w:equalWidth="0" w:num="1">
            <w:col w:w="11240"/>
          </w:cols>
          <w:pgMar w:left="320" w:top="1071" w:right="339" w:bottom="1440" w:gutter="0" w:footer="0" w:header="0"/>
        </w:sectPr>
      </w:pPr>
    </w:p>
    <w:bookmarkStart w:id="39" w:name="page40"/>
    <w:bookmarkEnd w:id="39"/>
    <w:p>
      <w:pPr>
        <w:ind w:left="-460" w:firstLine="644"/>
        <w:spacing w:after="0" w:line="255" w:lineRule="auto"/>
        <w:tabs>
          <w:tab w:leader="none" w:pos="82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8.1.12 of the Credit Agreement (No Commingling of Customer Funds; Sweep of Interest Income) shall be amended and restated in its entirety to read as follows:</w:t>
      </w:r>
    </w:p>
    <w:p>
      <w:pPr>
        <w:spacing w:after="0" w:line="196" w:lineRule="exact"/>
        <w:rPr>
          <w:sz w:val="20"/>
          <w:szCs w:val="20"/>
          <w:color w:val="auto"/>
        </w:rPr>
      </w:pPr>
    </w:p>
    <w:p>
      <w:pPr>
        <w:jc w:val="both"/>
        <w:ind w:left="180" w:right="640" w:firstLine="648"/>
        <w:spacing w:after="0" w:line="234" w:lineRule="auto"/>
        <w:rPr>
          <w:sz w:val="20"/>
          <w:szCs w:val="20"/>
          <w:color w:val="auto"/>
        </w:rPr>
      </w:pPr>
      <w:r>
        <w:rPr>
          <w:rFonts w:ascii="Times New Roman" w:cs="Times New Roman" w:eastAsia="Times New Roman" w:hAnsi="Times New Roman"/>
          <w:sz w:val="20"/>
          <w:szCs w:val="20"/>
          <w:b w:val="1"/>
          <w:bCs w:val="1"/>
          <w:u w:val="single" w:color="auto"/>
          <w:color w:val="auto"/>
        </w:rPr>
        <w:t>8.1.12 No Commingling of Customer Funds; Sweep of Interest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None of Borrower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Party nor any of their respective Subsidiaries shall deposit any funds into a Segregated Customer Funds Account or direct or permit any other Person to deposit any funds into such Segregated Customer Funds Account, other than Customer Funds. Borrower and the other Loan Parties shall cause all amounts on deposit or investment in the Segregated Customer Funds Accounts that constitute interest income (or otherwise no longer constitute Customer Funds) to be swept on at least a quarterly basis to a Controlled Deposit Account. Notwithstanding the foregoing, Airbase utilizes some of the products and services that it provides to customers, which results in certain of Airbase’s funds being deposited into the customer account in its capacity as a bona fide customer; therefore, during the eighteen (18) month period following the Second Amendment Effective Date, Airbase shall be permitted to commingle up to $2,000,000 of its funds (measured at any given time) with Customer Funds in the ordinary course of business.</w:t>
      </w:r>
    </w:p>
    <w:p>
      <w:pPr>
        <w:spacing w:after="0" w:line="210" w:lineRule="exact"/>
        <w:rPr>
          <w:sz w:val="20"/>
          <w:szCs w:val="20"/>
          <w:color w:val="auto"/>
        </w:rPr>
      </w:pPr>
    </w:p>
    <w:p>
      <w:pPr>
        <w:ind w:left="-460" w:firstLine="644"/>
        <w:spacing w:after="0" w:line="269" w:lineRule="auto"/>
        <w:tabs>
          <w:tab w:leader="none" w:pos="8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of the Credit Agreement (Excluded Subsidiaries) shall be amended and restated in its entirety to read as set forth on Annex I attached hereto.</w:t>
      </w:r>
    </w:p>
    <w:p>
      <w:pPr>
        <w:spacing w:after="0" w:line="173" w:lineRule="exact"/>
        <w:rPr>
          <w:sz w:val="20"/>
          <w:szCs w:val="20"/>
          <w:color w:val="auto"/>
        </w:rPr>
      </w:pPr>
    </w:p>
    <w:p>
      <w:pPr>
        <w:jc w:val="both"/>
        <w:ind w:left="-1120" w:firstLine="1304"/>
        <w:spacing w:after="0" w:line="247" w:lineRule="auto"/>
        <w:tabs>
          <w:tab w:leader="none" w:pos="8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 The obligations of Administrative Agent and the Lenders hereunder, and this Amendment, will be effective on the date (the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upon Administrative Agent’s confirmation of satisfaction (or waiver) of each of the following conditions, each in a manner in form and substance acceptable to Administrative Agent:</w:t>
      </w:r>
    </w:p>
    <w:p>
      <w:pPr>
        <w:spacing w:after="0" w:line="208" w:lineRule="exact"/>
        <w:rPr>
          <w:sz w:val="20"/>
          <w:szCs w:val="20"/>
          <w:color w:val="auto"/>
        </w:rPr>
      </w:pPr>
    </w:p>
    <w:p>
      <w:pPr>
        <w:ind w:left="-460" w:firstLine="644"/>
        <w:spacing w:after="0" w:line="255" w:lineRule="auto"/>
        <w:tabs>
          <w:tab w:leader="none" w:pos="8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herein are true and correct pursuant to the terms thereof;</w:t>
      </w:r>
    </w:p>
    <w:p>
      <w:pPr>
        <w:spacing w:after="0" w:line="186" w:lineRule="exact"/>
        <w:rPr>
          <w:rFonts w:ascii="Times New Roman" w:cs="Times New Roman" w:eastAsia="Times New Roman" w:hAnsi="Times New Roman"/>
          <w:sz w:val="20"/>
          <w:szCs w:val="20"/>
          <w:color w:val="auto"/>
        </w:rPr>
      </w:pPr>
    </w:p>
    <w:p>
      <w:pPr>
        <w:ind w:left="-460" w:right="20" w:firstLine="644"/>
        <w:spacing w:after="0" w:line="269" w:lineRule="auto"/>
        <w:tabs>
          <w:tab w:leader="none" w:pos="8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Loan Parties shall have delivered to Administrative Agent a copy of this Amendment executed by the Loan Parties, the Lenders and the Administrative Agent; and</w:t>
      </w:r>
    </w:p>
    <w:p>
      <w:pPr>
        <w:spacing w:after="0" w:line="172" w:lineRule="exact"/>
        <w:rPr>
          <w:rFonts w:ascii="Times New Roman" w:cs="Times New Roman" w:eastAsia="Times New Roman" w:hAnsi="Times New Roman"/>
          <w:sz w:val="20"/>
          <w:szCs w:val="20"/>
          <w:color w:val="auto"/>
        </w:rPr>
      </w:pPr>
    </w:p>
    <w:p>
      <w:pPr>
        <w:ind w:left="-460" w:firstLine="644"/>
        <w:spacing w:after="0" w:line="269" w:lineRule="auto"/>
        <w:tabs>
          <w:tab w:leader="none" w:pos="8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Payment of all other fees and expenses payable on the Amendment Effective Date (including, without limitation, reasonable fees, charges and disbursements of counsel for the Administrative Agent).</w:t>
      </w:r>
    </w:p>
    <w:p>
      <w:pPr>
        <w:spacing w:after="0" w:line="173" w:lineRule="exact"/>
        <w:rPr>
          <w:sz w:val="20"/>
          <w:szCs w:val="20"/>
          <w:color w:val="auto"/>
        </w:rPr>
      </w:pPr>
    </w:p>
    <w:p>
      <w:pPr>
        <w:ind w:left="-1120" w:firstLine="1304"/>
        <w:spacing w:after="0" w:line="269" w:lineRule="auto"/>
        <w:tabs>
          <w:tab w:leader="none" w:pos="82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To induce Lenders and Administrative Agent to enter into this Amendment, each Loan Party represents and warrants to Lenders and Administrative Agent as of the date hereof as follows:</w:t>
      </w:r>
    </w:p>
    <w:p>
      <w:pPr>
        <w:spacing w:after="0" w:line="173" w:lineRule="exact"/>
        <w:rPr>
          <w:sz w:val="20"/>
          <w:szCs w:val="20"/>
          <w:color w:val="auto"/>
        </w:rPr>
      </w:pPr>
    </w:p>
    <w:p>
      <w:pPr>
        <w:jc w:val="both"/>
        <w:ind w:left="-460" w:firstLine="644"/>
        <w:spacing w:after="0" w:line="236" w:lineRule="auto"/>
        <w:tabs>
          <w:tab w:leader="none" w:pos="82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has all requisite power and authority to enter into this Amendment and to perform all its respective Obligations hereunder and under the Credit Agreement (as amended by this Amendment). This Amendment has been duly executed and delivered by each Loan Party and the Credit Agreement, as amended by this Amendment, constitute the legal, valid and binding obligation of each Loan Party enforceable in accordance with their terms, subject to applicable bankruptcy, insolvency, reorganization, moratorium or other laws affecting creditors’ rights generally and subject to general principles of equity relating to creditors’ rights generally, regardless of whether considered in a proceeding in equity or at law. The execution and delivery of this Amendment and performance of this Amendment and the Credit Agreement (as amended by this Amendment) (i) are within each Loan Party’s corporate powers and have been duly authorized</w:t>
      </w:r>
    </w:p>
    <w:p>
      <w:pPr>
        <w:sectPr>
          <w:pgSz w:w="11900" w:h="16838" w:orient="portrait"/>
          <w:cols w:equalWidth="0" w:num="1">
            <w:col w:w="10120"/>
          </w:cols>
          <w:pgMar w:left="1440" w:top="1413" w:right="339" w:bottom="1440" w:gutter="0" w:footer="0" w:header="0"/>
        </w:sectPr>
      </w:pPr>
    </w:p>
    <w:bookmarkStart w:id="40" w:name="page41"/>
    <w:bookmarkEnd w:id="40"/>
    <w:p>
      <w:pPr>
        <w:jc w:val="both"/>
        <w:spacing w:after="0" w:line="237" w:lineRule="auto"/>
        <w:rPr>
          <w:sz w:val="20"/>
          <w:szCs w:val="20"/>
          <w:color w:val="auto"/>
        </w:rPr>
      </w:pPr>
      <w:r>
        <w:rPr>
          <w:rFonts w:ascii="Times New Roman" w:cs="Times New Roman" w:eastAsia="Times New Roman" w:hAnsi="Times New Roman"/>
          <w:sz w:val="20"/>
          <w:szCs w:val="20"/>
          <w:color w:val="auto"/>
        </w:rPr>
        <w:t>by all necessary corporate action, (ii) are not in contravention of the terms of any Loan Party’s organizational documents, (iii) are not in contravention of the terms of any material agreement to which any Loan Party is a party, any law or regulation, or any judgment, order, writ, injunction or decree of any court or Official Body binding on or affecting a Loan Party, except the contravention of which would not reasonably be likely to have a Material Adverse Change, (iv) will not require the consent of any Official Body or any Person party to a material agreement to which any Loan Party is a party, except those consents which will have been duly obtained, made or compiled prior to date hereof and which are in full force and effect, and (v) will not result in the creation of any Lien, except for a Permitted Lien, upon any asset of any Loan Party.</w:t>
      </w:r>
    </w:p>
    <w:p>
      <w:pPr>
        <w:spacing w:after="0" w:line="206" w:lineRule="exact"/>
        <w:rPr>
          <w:sz w:val="20"/>
          <w:szCs w:val="20"/>
          <w:color w:val="auto"/>
        </w:rPr>
      </w:pPr>
    </w:p>
    <w:p>
      <w:pPr>
        <w:jc w:val="both"/>
        <w:ind w:firstLine="644"/>
        <w:spacing w:after="0" w:line="236" w:lineRule="auto"/>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after giving effect to this Amendment, (i) the representations and warranties of the Loan Parties that are subject to materiality or Material Adverse Change qualifications are true and correct in all respects and the representations and warranties of the Loan Parties that are not subject to materiality or Material Adverse Change qualifications, are true and correct in all material respects, in each case, except to the extent that such representations and warranties specifically refer to an earlier date, in which case they are true and correct in all respects or in all material respects (as applicable) as of such earlier date, and except that for purposes of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of the Credit Agreement shall be deemed to refer to the most recent financial statements furnished pursuant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of the Credit Agreement and (ii) no Event of Default or Potential Default has occurred and is continuing or shall result from this Amendment.</w:t>
      </w:r>
    </w:p>
    <w:p>
      <w:pPr>
        <w:spacing w:after="0" w:line="202" w:lineRule="exact"/>
        <w:rPr>
          <w:sz w:val="20"/>
          <w:szCs w:val="20"/>
          <w:color w:val="auto"/>
        </w:rPr>
      </w:pPr>
    </w:p>
    <w:p>
      <w:pPr>
        <w:jc w:val="both"/>
        <w:ind w:left="-660" w:firstLine="1304"/>
        <w:spacing w:after="0" w:line="237"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Except as specifically modified by this Amendment, the Credit Agreement, and the other Loan Documents (including all guaranty agreements, collateral agreements, and subordination agreements) remain in full force and effect in accordance with their respective terms and are hereby ratified, reaffirmed and confirmed by the Loan Parties and nothing herein shall be construed or deemed a novation or discharge of any Lien or Obligation of any Loan Party under any Loan Document. For avoidance of doubt, each Guarantor hereby agrees, confirms and reaffirms that it is a “Company” under the Intercompany Subordination Agreement and a “Payor” under that certain Master Intercompany Note dated as of July 17, 2019, executed in connection therewith and bound by the terms of each of the foregoing.</w:t>
      </w:r>
    </w:p>
    <w:p>
      <w:pPr>
        <w:spacing w:after="0" w:line="205" w:lineRule="exact"/>
        <w:rPr>
          <w:rFonts w:ascii="Times New Roman" w:cs="Times New Roman" w:eastAsia="Times New Roman" w:hAnsi="Times New Roman"/>
          <w:sz w:val="20"/>
          <w:szCs w:val="20"/>
          <w:color w:val="auto"/>
        </w:rPr>
      </w:pPr>
    </w:p>
    <w:p>
      <w:pPr>
        <w:ind w:left="1300" w:hanging="656"/>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1300" w:hanging="656"/>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1304"/>
        <w:spacing w:after="0" w:line="235"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Reviewed by Attorneys</w:t>
      </w:r>
      <w:r>
        <w:rPr>
          <w:rFonts w:ascii="Times New Roman" w:cs="Times New Roman" w:eastAsia="Times New Roman" w:hAnsi="Times New Roman"/>
          <w:sz w:val="20"/>
          <w:szCs w:val="20"/>
          <w:color w:val="auto"/>
        </w:rPr>
        <w:t>. Each of the Borrower and each other Loan Party represents and warrants to the Administrative Agent and the Lenders that it (a) understands fully the terms of this Amendment and the consequences of the execution and delivery of this Amendment, (b) has been afforded an opportunity to have this Amendment reviewed by, and to discuss this Amendment and document executed in connection herewith with, such attorneys and other persons as such Loan Party may wish, (c) has entered into this Amendment and executed and delivered all documents in connection herewith of its own free will and accord and without threat, duress or other coercion of any kind by any Person and (d) is not relying upon oral representations or statements inconsistent with the terms and provisions of this Amendment. The parties hereto acknowledge and agree that neither this Amendment nor the other documents executed pursuant hereto shall be construed more favorably in favor of one than the other based upon which party drafted the same, it being acknowledged that all parties hereto contributed substantially to the negotiation and preparation of this Amendment and the other documents executed pursuant hereto or in connection herewith.</w:t>
      </w:r>
    </w:p>
    <w:p>
      <w:pPr>
        <w:sectPr>
          <w:pgSz w:w="11900" w:h="16838" w:orient="portrait"/>
          <w:cols w:equalWidth="0" w:num="1">
            <w:col w:w="10580"/>
          </w:cols>
          <w:pgMar w:left="980" w:top="1413" w:right="339" w:bottom="1440" w:gutter="0" w:footer="0" w:header="0"/>
        </w:sectPr>
      </w:pPr>
    </w:p>
    <w:bookmarkStart w:id="41" w:name="page42"/>
    <w:bookmarkEnd w:id="41"/>
    <w:p>
      <w:pPr>
        <w:jc w:val="both"/>
        <w:ind w:left="-1120" w:firstLine="1304"/>
        <w:spacing w:after="0" w:line="247" w:lineRule="auto"/>
        <w:tabs>
          <w:tab w:leader="none" w:pos="82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Amendment, together with the Credit Agreement and the other Loan Documents, incorporates all negotiations of the parties hereto with respect to the subject matter hereof and is the final expression and agreement of the parties hereto with respect to the subject matter hereof.</w:t>
      </w:r>
    </w:p>
    <w:p>
      <w:pPr>
        <w:spacing w:after="0" w:line="194" w:lineRule="exact"/>
        <w:rPr>
          <w:rFonts w:ascii="Times New Roman" w:cs="Times New Roman" w:eastAsia="Times New Roman" w:hAnsi="Times New Roman"/>
          <w:sz w:val="20"/>
          <w:szCs w:val="20"/>
          <w:color w:val="auto"/>
        </w:rPr>
      </w:pPr>
    </w:p>
    <w:p>
      <w:pPr>
        <w:jc w:val="both"/>
        <w:ind w:left="-1120" w:firstLine="1304"/>
        <w:spacing w:after="0" w:line="237" w:lineRule="auto"/>
        <w:tabs>
          <w:tab w:leader="none" w:pos="8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The provisions of this Amendment are intended to be severable. If any provision of this Amendment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if and to the extent that the enforceability of any provisions in this Amendment relating to Defaulting Lenders shall be limited by Debtor Relief Laws, as determined in good faith by the Administrative Agent or the Issuing Lender, as applicable, then such provisions shall be deemed to be in effect only to the extent not so limited.</w:t>
      </w:r>
    </w:p>
    <w:p>
      <w:pPr>
        <w:spacing w:after="0" w:line="205" w:lineRule="exact"/>
        <w:rPr>
          <w:rFonts w:ascii="Times New Roman" w:cs="Times New Roman" w:eastAsia="Times New Roman" w:hAnsi="Times New Roman"/>
          <w:sz w:val="20"/>
          <w:szCs w:val="20"/>
          <w:color w:val="auto"/>
        </w:rPr>
      </w:pPr>
    </w:p>
    <w:p>
      <w:pPr>
        <w:jc w:val="both"/>
        <w:ind w:left="-1120" w:firstLine="1304"/>
        <w:spacing w:after="0" w:line="239" w:lineRule="auto"/>
        <w:tabs>
          <w:tab w:leader="none" w:pos="80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of Amendment</w:t>
      </w:r>
      <w:r>
        <w:rPr>
          <w:rFonts w:ascii="Times New Roman" w:cs="Times New Roman" w:eastAsia="Times New Roman" w:hAnsi="Times New Roman"/>
          <w:sz w:val="20"/>
          <w:szCs w:val="20"/>
          <w:color w:val="auto"/>
        </w:rPr>
        <w:t>. The submission of this Amendment to the parties or their agents or attorneys for review or signature does not constitute a commitment by Administrative Agent or Lenders to amend or otherwise modify any of the provisions of the Credit Agreement or any other Loan Document and this Amendment shall have no binding force or effect until the Amendment Effective Date.</w:t>
      </w:r>
    </w:p>
    <w:p>
      <w:pPr>
        <w:spacing w:after="0" w:line="217" w:lineRule="exact"/>
        <w:rPr>
          <w:rFonts w:ascii="Times New Roman" w:cs="Times New Roman" w:eastAsia="Times New Roman" w:hAnsi="Times New Roman"/>
          <w:sz w:val="20"/>
          <w:szCs w:val="20"/>
          <w:color w:val="auto"/>
        </w:rPr>
      </w:pPr>
    </w:p>
    <w:p>
      <w:pPr>
        <w:jc w:val="both"/>
        <w:ind w:left="-1120" w:firstLine="1304"/>
        <w:spacing w:after="0" w:line="235" w:lineRule="auto"/>
        <w:tabs>
          <w:tab w:leader="none" w:pos="8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Electronic Signatures</w:t>
      </w:r>
      <w:r>
        <w:rPr>
          <w:rFonts w:ascii="Times New Roman" w:cs="Times New Roman" w:eastAsia="Times New Roman" w:hAnsi="Times New Roman"/>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4" w:lineRule="exact"/>
        <w:rPr>
          <w:rFonts w:ascii="Times New Roman" w:cs="Times New Roman" w:eastAsia="Times New Roman" w:hAnsi="Times New Roman"/>
          <w:sz w:val="20"/>
          <w:szCs w:val="20"/>
          <w:color w:val="auto"/>
        </w:rPr>
      </w:pPr>
    </w:p>
    <w:p>
      <w:pPr>
        <w:ind w:left="-1120" w:firstLine="1304"/>
        <w:spacing w:after="0" w:line="255" w:lineRule="auto"/>
        <w:tabs>
          <w:tab w:leader="none" w:pos="8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deemed to be a contract under the Laws of the State of New York without regard to its conflict of laws principles.</w:t>
      </w:r>
    </w:p>
    <w:p>
      <w:pPr>
        <w:spacing w:after="0" w:line="199" w:lineRule="exact"/>
        <w:rPr>
          <w:rFonts w:ascii="Times New Roman" w:cs="Times New Roman" w:eastAsia="Times New Roman" w:hAnsi="Times New Roman"/>
          <w:sz w:val="20"/>
          <w:szCs w:val="20"/>
          <w:color w:val="auto"/>
        </w:rPr>
      </w:pPr>
    </w:p>
    <w:p>
      <w:pPr>
        <w:jc w:val="both"/>
        <w:ind w:left="-1120" w:firstLine="1304"/>
        <w:spacing w:after="0"/>
        <w:tabs>
          <w:tab w:leader="none" w:pos="8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Amendment shall be binding upon, and inure to the benefit of, the Administrative Agent, the Lenders and their respective successors and assigns, and the Loan Parties and each of their respective successors and permitted assigns, except that the Loan Parties may not assign or transfer their obligations hereunder or any interest herein.</w:t>
      </w:r>
    </w:p>
    <w:p>
      <w:pPr>
        <w:spacing w:after="0" w:line="214" w:lineRule="exact"/>
        <w:rPr>
          <w:rFonts w:ascii="Times New Roman" w:cs="Times New Roman" w:eastAsia="Times New Roman" w:hAnsi="Times New Roman"/>
          <w:sz w:val="20"/>
          <w:szCs w:val="20"/>
          <w:color w:val="auto"/>
        </w:rPr>
      </w:pPr>
    </w:p>
    <w:p>
      <w:pPr>
        <w:jc w:val="both"/>
        <w:ind w:left="-1120" w:firstLine="1304"/>
        <w:spacing w:after="0" w:line="247" w:lineRule="auto"/>
        <w:tabs>
          <w:tab w:leader="none" w:pos="8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 Costs</w:t>
      </w:r>
      <w:r>
        <w:rPr>
          <w:rFonts w:ascii="Times New Roman" w:cs="Times New Roman" w:eastAsia="Times New Roman" w:hAnsi="Times New Roman"/>
          <w:sz w:val="20"/>
          <w:szCs w:val="20"/>
          <w:color w:val="auto"/>
        </w:rPr>
        <w:t>. The Loan Parties agree to promptly pay, upon written demand, all reasonable and documented out-of-pocket attorneys’ fees and costs incurred by the Administrative Agent in connection with the negotiation, documentation, and execution of this Amendment and documentation relating thereto.</w:t>
      </w:r>
    </w:p>
    <w:p>
      <w:pPr>
        <w:spacing w:after="0" w:line="194" w:lineRule="exact"/>
        <w:rPr>
          <w:rFonts w:ascii="Times New Roman" w:cs="Times New Roman" w:eastAsia="Times New Roman" w:hAnsi="Times New Roman"/>
          <w:sz w:val="20"/>
          <w:szCs w:val="20"/>
          <w:color w:val="auto"/>
        </w:rPr>
      </w:pPr>
    </w:p>
    <w:p>
      <w:pPr>
        <w:jc w:val="both"/>
        <w:ind w:left="-1120" w:firstLine="1304"/>
        <w:spacing w:after="0" w:line="237" w:lineRule="auto"/>
        <w:tabs>
          <w:tab w:leader="none" w:pos="8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HERETO HEREBY IRREVOCABLY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ADMINISTRATIVE AGENT OR ATTORNEY OF ANY OTHER PERSON HAS REPRESENTED, EXPRESSLY OR OTHERWISE, THAT SUCH OTHER PERSON WOULD NOT, IN THE EVENT OF</w:t>
      </w:r>
    </w:p>
    <w:p>
      <w:pPr>
        <w:sectPr>
          <w:pgSz w:w="11900" w:h="16838" w:orient="portrait"/>
          <w:cols w:equalWidth="0" w:num="1">
            <w:col w:w="10120"/>
          </w:cols>
          <w:pgMar w:left="1440" w:top="1413"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20"/>
          <w:szCs w:val="20"/>
          <w:color w:val="auto"/>
        </w:rPr>
        <w:t>LITIGATION, SEEK TO ENFORCE THE FOREGOING WAIVER AND (B) ACKNOWLEDGES THAT IT AND THE OTHER PARTIES HERETO HAVE BEEN INDUCED TO ENTER INTO THIS AMENDMENT BY, AMONG OTHER THINGS, THE MUTUAL WAIVERS AND CERTIFICATIONS IN THIS SECTION 16.</w:t>
      </w:r>
    </w:p>
    <w:p>
      <w:pPr>
        <w:spacing w:after="0" w:line="194" w:lineRule="exact"/>
        <w:rPr>
          <w:sz w:val="20"/>
          <w:szCs w:val="20"/>
          <w:color w:val="auto"/>
        </w:rPr>
      </w:pPr>
    </w:p>
    <w:p>
      <w:pPr>
        <w:jc w:val="both"/>
        <w:ind w:firstLine="1304"/>
        <w:spacing w:after="0" w:line="237" w:lineRule="auto"/>
        <w:tabs>
          <w:tab w:leader="none" w:pos="193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Agreement</w:t>
      </w:r>
      <w:r>
        <w:rPr>
          <w:rFonts w:ascii="Times New Roman" w:cs="Times New Roman" w:eastAsia="Times New Roman" w:hAnsi="Times New Roman"/>
          <w:sz w:val="20"/>
          <w:szCs w:val="20"/>
          <w:color w:val="auto"/>
        </w:rPr>
        <w:t>. This Amendment, the Credit Agreement and the other Loan Documents contain the entire understanding among the Loan Parties, Lenders and Administrative Agent and supersede all prior agreements and understandings, if any, relating to the subject matter hereof. Any promises, representations, warranties, or guarantees not herein contained and hereinafter made have no force and effect unless in writing. Neither this Amendment nor any portion or provisions hereof may be changed, modified, amended, waived, supplemented, discharged, cancelled, or terminated orally or by any course of dealing, or in any manner other than by an agreement in writing, signed by the party to be charged.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IN WITNESS WHEREOF, the parties hereto have duly executed this Amendment as of the date first written above.</w:t>
      </w:r>
    </w:p>
    <w:p>
      <w:pPr>
        <w:spacing w:after="0" w:line="26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auto"/>
        </w:rPr>
        <w:t>BORROWERS AND GUARANTORS:</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spacing w:after="0" w:line="200" w:lineRule="exact"/>
        <w:rPr>
          <w:sz w:val="20"/>
          <w:szCs w:val="20"/>
          <w:color w:val="auto"/>
        </w:rPr>
      </w:pPr>
    </w:p>
    <w:p>
      <w:pPr>
        <w:spacing w:after="0" w:line="365" w:lineRule="exact"/>
        <w:rPr>
          <w:sz w:val="20"/>
          <w:szCs w:val="20"/>
          <w:color w:val="auto"/>
        </w:rPr>
      </w:pPr>
    </w:p>
    <w:tbl>
      <w:tblPr>
        <w:tblLayout w:type="fixed"/>
        <w:tblInd w:w="408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Nick Rost</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Nick Rost</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&amp; Chief Accounting Officer</w:t>
            </w:r>
          </w:p>
        </w:tc>
      </w:tr>
      <w:tr>
        <w:trPr>
          <w:trHeight w:val="769"/>
        </w:trPr>
        <w:tc>
          <w:tcPr>
            <w:tcW w:w="8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GUARANTORS:</w:t>
            </w:r>
          </w:p>
        </w:tc>
      </w:tr>
      <w:tr>
        <w:trPr>
          <w:trHeight w:val="513"/>
        </w:trPr>
        <w:tc>
          <w:tcPr>
            <w:tcW w:w="8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PAYLOCITY CORPORATION</w:t>
            </w:r>
          </w:p>
        </w:tc>
      </w:tr>
      <w:tr>
        <w:trPr>
          <w:trHeight w:val="105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Nick Rost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Nick Rost</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and Assistant Secretary</w:t>
            </w:r>
          </w:p>
        </w:tc>
      </w:tr>
    </w:tbl>
    <w:p>
      <w:pPr>
        <w:spacing w:after="0" w:line="200" w:lineRule="exact"/>
        <w:rPr>
          <w:sz w:val="20"/>
          <w:szCs w:val="20"/>
          <w:color w:val="auto"/>
        </w:rPr>
      </w:pPr>
    </w:p>
    <w:p>
      <w:pPr>
        <w:sectPr>
          <w:pgSz w:w="11900" w:h="16838" w:orient="portrait"/>
          <w:cols w:equalWidth="0" w:num="1">
            <w:col w:w="10440"/>
          </w:cols>
          <w:pgMar w:left="980" w:top="141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[SIGNATURE PAGE TO SECOND AMENDMENT TO CREDIT AGREEMENT (PAYLOCITY)]</w:t>
      </w:r>
    </w:p>
    <w:p>
      <w:pPr>
        <w:sectPr>
          <w:pgSz w:w="11900" w:h="16838" w:orient="portrait"/>
          <w:cols w:equalWidth="0" w:num="1">
            <w:col w:w="10440"/>
          </w:cols>
          <w:pgMar w:left="980" w:top="1413" w:right="479" w:bottom="1440" w:gutter="0" w:footer="0" w:header="0"/>
          <w:type w:val="continuous"/>
        </w:sectPr>
      </w:pPr>
    </w:p>
    <w:bookmarkStart w:id="44" w:name="page45"/>
    <w:bookmarkEnd w:id="44"/>
    <w:p>
      <w:pPr>
        <w:spacing w:after="0" w:line="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VIDGRID INC.</w:t>
      </w:r>
    </w:p>
    <w:p>
      <w:pPr>
        <w:spacing w:after="0" w:line="200" w:lineRule="exact"/>
        <w:rPr>
          <w:sz w:val="20"/>
          <w:szCs w:val="20"/>
          <w:color w:val="auto"/>
        </w:rPr>
      </w:pPr>
    </w:p>
    <w:p>
      <w:pPr>
        <w:spacing w:after="0" w:line="357"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Nick Rost</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Nick Rost</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and Assistant Secretary</w:t>
            </w:r>
          </w:p>
        </w:tc>
      </w:tr>
    </w:tbl>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SAMEPAGE LABS INC.</w:t>
      </w:r>
    </w:p>
    <w:p>
      <w:pPr>
        <w:spacing w:after="0" w:line="200" w:lineRule="exact"/>
        <w:rPr>
          <w:sz w:val="20"/>
          <w:szCs w:val="20"/>
          <w:color w:val="auto"/>
        </w:rPr>
      </w:pPr>
    </w:p>
    <w:p>
      <w:pPr>
        <w:spacing w:after="0" w:line="357"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Nick Rost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Nick Rost</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and Assistant Secretary</w:t>
            </w:r>
          </w:p>
        </w:tc>
      </w:tr>
    </w:tbl>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BLUE MARBLE PAYROLL, LLC</w:t>
      </w:r>
    </w:p>
    <w:p>
      <w:pPr>
        <w:spacing w:after="0" w:line="200" w:lineRule="exact"/>
        <w:rPr>
          <w:sz w:val="20"/>
          <w:szCs w:val="20"/>
          <w:color w:val="auto"/>
        </w:rPr>
      </w:pPr>
    </w:p>
    <w:p>
      <w:pPr>
        <w:spacing w:after="0" w:line="369"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Nick Rost</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Nick Rost</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and Assistant Secretary</w:t>
            </w:r>
          </w:p>
        </w:tc>
      </w:tr>
    </w:tbl>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CLOUDSNAP, INC.</w:t>
      </w:r>
    </w:p>
    <w:p>
      <w:pPr>
        <w:spacing w:after="0" w:line="200" w:lineRule="exact"/>
        <w:rPr>
          <w:sz w:val="20"/>
          <w:szCs w:val="20"/>
          <w:color w:val="auto"/>
        </w:rPr>
      </w:pPr>
    </w:p>
    <w:p>
      <w:pPr>
        <w:spacing w:after="0" w:line="357"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Nick Rost</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Nick Rost</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 and Assistant Secretary</w:t>
            </w:r>
          </w:p>
        </w:tc>
      </w:tr>
    </w:tbl>
    <w:p>
      <w:pPr>
        <w:spacing w:after="0" w:line="200" w:lineRule="exact"/>
        <w:rPr>
          <w:sz w:val="20"/>
          <w:szCs w:val="20"/>
          <w:color w:val="auto"/>
        </w:rPr>
      </w:pPr>
    </w:p>
    <w:p>
      <w:pPr>
        <w:sectPr>
          <w:pgSz w:w="11900" w:h="16838" w:orient="portrait"/>
          <w:cols w:equalWidth="0" w:num="1">
            <w:col w:w="9980"/>
          </w:cols>
          <w:pgMar w:left="144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[SIGNATURE PAGE TO SECOND AMENDMENT TO CREDIT AGREEMENT (PAYLOCITY)]</w:t>
      </w:r>
    </w:p>
    <w:p>
      <w:pPr>
        <w:sectPr>
          <w:pgSz w:w="11900" w:h="16838" w:orient="portrait"/>
          <w:cols w:equalWidth="0" w:num="1">
            <w:col w:w="9980"/>
          </w:cols>
          <w:pgMar w:left="1440" w:top="1440" w:right="479" w:bottom="1440" w:gutter="0" w:footer="0" w:header="0"/>
          <w:type w:val="continuous"/>
        </w:sectPr>
      </w:pPr>
    </w:p>
    <w:bookmarkStart w:id="45" w:name="page46"/>
    <w:bookmarkEnd w:id="45"/>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LENDERS AND AGENTS:</w:t>
      </w:r>
    </w:p>
    <w:p>
      <w:pPr>
        <w:spacing w:after="0" w:line="29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spacing w:after="0" w:line="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individually, as a Lender and as Administrative Agent</w:t>
      </w:r>
    </w:p>
    <w:p>
      <w:pPr>
        <w:spacing w:after="0" w:line="200" w:lineRule="exact"/>
        <w:rPr>
          <w:sz w:val="20"/>
          <w:szCs w:val="20"/>
          <w:color w:val="auto"/>
        </w:rPr>
      </w:pPr>
    </w:p>
    <w:p>
      <w:pPr>
        <w:spacing w:after="0" w:line="351"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Shane Johnson</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Shane Johnson</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[SIGNATURE PAGE TO SECOND AMENDMENT TO CREDIT AGREEMENT (PAYLOCITY)]</w:t>
      </w:r>
    </w:p>
    <w:p>
      <w:pPr>
        <w:sectPr>
          <w:pgSz w:w="11900" w:h="16838" w:orient="portrait"/>
          <w:cols w:equalWidth="0" w:num="1">
            <w:col w:w="9980"/>
          </w:cols>
          <w:pgMar w:left="1440" w:top="1440" w:right="479" w:bottom="1440" w:gutter="0" w:footer="0" w:header="0"/>
        </w:sectPr>
      </w:pPr>
    </w:p>
    <w:bookmarkStart w:id="46" w:name="page47"/>
    <w:bookmarkEnd w:id="46"/>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 xml:space="preserve">KEYBANK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357"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R. Macks</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John R. Macks</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[SIGNATURE PAGE TO SECOND AMENDMENT TO CREDIT AGREEMENT (PAYLOCITY)]</w:t>
      </w:r>
    </w:p>
    <w:p>
      <w:pPr>
        <w:sectPr>
          <w:pgSz w:w="11900" w:h="16838" w:orient="portrait"/>
          <w:cols w:equalWidth="0" w:num="1">
            <w:col w:w="9980"/>
          </w:cols>
          <w:pgMar w:left="1440" w:top="1440" w:right="479" w:bottom="1104" w:gutter="0" w:footer="0" w:header="0"/>
        </w:sectPr>
      </w:pPr>
    </w:p>
    <w:bookmarkStart w:id="47" w:name="page48"/>
    <w:bookmarkEnd w:id="47"/>
    <w:p>
      <w:pPr>
        <w:spacing w:after="0" w:line="25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 xml:space="preserve">WELLS FARGO BANK,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357" w:lineRule="exact"/>
        <w:rPr>
          <w:sz w:val="20"/>
          <w:szCs w:val="20"/>
          <w:color w:val="auto"/>
        </w:rPr>
      </w:pPr>
    </w:p>
    <w:tbl>
      <w:tblPr>
        <w:tblLayout w:type="fixed"/>
        <w:tblInd w:w="3480" w:type="dxa"/>
        <w:tblCellMar>
          <w:top w:w="0" w:type="dxa"/>
          <w:left w:w="0" w:type="dxa"/>
          <w:bottom w:w="0" w:type="dxa"/>
          <w:right w:w="0" w:type="dxa"/>
        </w:tblCellMar>
      </w:tblP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Brian Ruger</w:t>
            </w: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Brian Ruger</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[SIGNATURE PAGE TO SECOND AMENDMENT TO CREDIT AGREEMENT (PAYLOCITY)]</w:t>
      </w:r>
    </w:p>
    <w:p>
      <w:pPr>
        <w:sectPr>
          <w:pgSz w:w="11900" w:h="16838" w:orient="portrait"/>
          <w:cols w:equalWidth="0" w:num="1">
            <w:col w:w="9840"/>
          </w:cols>
          <w:pgMar w:left="1440" w:top="1440" w:right="619" w:bottom="1440" w:gutter="0" w:footer="0" w:header="0"/>
        </w:sectPr>
      </w:pPr>
    </w:p>
    <w:bookmarkStart w:id="48" w:name="page49"/>
    <w:bookmarkEnd w:id="48"/>
    <w:p>
      <w:pPr>
        <w:spacing w:after="0" w:line="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357"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Katherine L. Plotner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Katherine L. Plotner</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[SIGNATURE PAGE TO SECOND AMENDMENT TO CREDIT AGREEMENT (PAYLOCITY)]</w:t>
      </w:r>
    </w:p>
    <w:p>
      <w:pPr>
        <w:sectPr>
          <w:pgSz w:w="11900" w:h="16838" w:orient="portrait"/>
          <w:cols w:equalWidth="0" w:num="1">
            <w:col w:w="9980"/>
          </w:cols>
          <w:pgMar w:left="1440" w:top="1440" w:right="479" w:bottom="1440" w:gutter="0" w:footer="0" w:header="0"/>
        </w:sectPr>
      </w:pPr>
    </w:p>
    <w:bookmarkStart w:id="49" w:name="page50"/>
    <w:bookmarkEnd w:id="49"/>
    <w:p>
      <w:pPr>
        <w:spacing w:after="0" w:line="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 xml:space="preserve">JP MORGAN CHASE BANK N.A.,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357" w:lineRule="exact"/>
        <w:rPr>
          <w:sz w:val="20"/>
          <w:szCs w:val="20"/>
          <w:color w:val="auto"/>
        </w:rPr>
      </w:pPr>
    </w:p>
    <w:tbl>
      <w:tblPr>
        <w:tblLayout w:type="fixed"/>
        <w:tblInd w:w="362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Christine Lathrop</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Christine Lathrop</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[SIGNATURE PAGE TO SECOND AMENDMENT TO CREDIT AGREEMENT (PAYLOCITY)]</w:t>
      </w:r>
    </w:p>
    <w:p>
      <w:pPr>
        <w:sectPr>
          <w:pgSz w:w="11900" w:h="16838" w:orient="portrait"/>
          <w:cols w:equalWidth="0" w:num="1">
            <w:col w:w="9980"/>
          </w:cols>
          <w:pgMar w:left="1440" w:top="1440" w:right="479" w:bottom="1440" w:gutter="0" w:footer="0" w:header="0"/>
        </w:sectPr>
      </w:pPr>
    </w:p>
    <w:bookmarkStart w:id="50" w:name="page51"/>
    <w:bookmarkEnd w:id="50"/>
    <w:p>
      <w:pPr>
        <w:spacing w:after="0" w:line="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 xml:space="preserve">TRUIST BANK,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357" w:lineRule="exact"/>
        <w:rPr>
          <w:sz w:val="20"/>
          <w:szCs w:val="20"/>
          <w:color w:val="auto"/>
        </w:rPr>
      </w:pPr>
    </w:p>
    <w:tbl>
      <w:tblPr>
        <w:tblLayout w:type="fixed"/>
        <w:tblInd w:w="3640" w:type="dxa"/>
        <w:tblCellMar>
          <w:top w:w="0" w:type="dxa"/>
          <w:left w:w="0" w:type="dxa"/>
          <w:bottom w:w="0" w:type="dxa"/>
          <w:right w:w="0" w:type="dxa"/>
        </w:tblCellMar>
      </w:tblP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Alfonso Brigham</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Alfonso Brigham</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[SIGNATURE PAGE TO SECOND AMENDMENT TO CREDIT AGREEMENT (PAYLOCITY)]</w:t>
      </w:r>
    </w:p>
    <w:p>
      <w:pPr>
        <w:sectPr>
          <w:pgSz w:w="11900" w:h="16838" w:orient="portrait"/>
          <w:cols w:equalWidth="0" w:num="1">
            <w:col w:w="9980"/>
          </w:cols>
          <w:pgMar w:left="1440" w:top="1440" w:right="479" w:bottom="1440" w:gutter="0" w:footer="0" w:header="0"/>
        </w:sectPr>
      </w:pPr>
    </w:p>
    <w:bookmarkStart w:id="51" w:name="page52"/>
    <w:bookmarkEnd w:id="51"/>
    <w:p>
      <w:pPr>
        <w:jc w:val="center"/>
        <w:ind w:right="-1112"/>
        <w:spacing w:after="0"/>
        <w:rPr>
          <w:sz w:val="20"/>
          <w:szCs w:val="20"/>
          <w:color w:val="auto"/>
        </w:rPr>
      </w:pPr>
      <w:r>
        <w:rPr>
          <w:rFonts w:ascii="Times New Roman" w:cs="Times New Roman" w:eastAsia="Times New Roman" w:hAnsi="Times New Roman"/>
          <w:sz w:val="20"/>
          <w:szCs w:val="20"/>
          <w:b w:val="1"/>
          <w:bCs w:val="1"/>
          <w:color w:val="auto"/>
        </w:rPr>
        <w:t>ANNEX I</w:t>
      </w:r>
    </w:p>
    <w:p>
      <w:pPr>
        <w:spacing w:after="0" w:line="189"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9"/>
          <w:szCs w:val="19"/>
          <w:b w:val="1"/>
          <w:bCs w:val="1"/>
          <w:color w:val="auto"/>
        </w:rPr>
        <w:t>SCHEDULE 1.1(C)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52" w:hanging="652"/>
        <w:spacing w:after="0"/>
        <w:tabs>
          <w:tab w:leader="none" w:pos="65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Samepage S.R.O.</w:t>
      </w:r>
    </w:p>
    <w:p>
      <w:pPr>
        <w:spacing w:after="0" w:line="18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 Administration Technologies Inc.</w:t>
      </w:r>
    </w:p>
    <w:p>
      <w:pPr>
        <w:spacing w:after="0" w:line="188"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Airbase Labs India Private Limited</w:t>
      </w:r>
    </w:p>
    <w:p>
      <w:pPr>
        <w:sectPr>
          <w:pgSz w:w="11900" w:h="16838" w:orient="portrait"/>
          <w:cols w:equalWidth="0" w:num="1">
            <w:col w:w="10131"/>
          </w:cols>
          <w:pgMar w:left="328" w:top="1395"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December 31,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abstractNum>
  <w:abstractNum w:abstractNumId="4">
    <w:nsid w:val="519B500D"/>
    <w:multiLevelType w:val="hybridMultilevel"/>
    <w:lvl w:ilvl="0">
      <w:lvlJc w:val="left"/>
      <w:lvlText w:val="(%1)"/>
      <w:numFmt w:val="lowerLetter"/>
      <w:start w:val="3"/>
    </w:lvl>
  </w:abstractNum>
  <w:abstractNum w:abstractNumId="5">
    <w:nsid w:val="431BD7B7"/>
    <w:multiLevelType w:val="hybridMultilevel"/>
    <w:lvl w:ilvl="0">
      <w:lvlJc w:val="left"/>
      <w:lvlText w:val="(%1)"/>
      <w:numFmt w:val="lowerLetter"/>
      <w:start w:val="4"/>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2"/>
    </w:lvl>
  </w:abstractNum>
  <w:abstractNum w:abstractNumId="17">
    <w:nsid w:val="75A2A8D4"/>
    <w:multiLevelType w:val="hybridMultilevel"/>
    <w:lvl w:ilvl="0">
      <w:lvlJc w:val="left"/>
      <w:lvlText w:val="(%1)"/>
      <w:numFmt w:val="lowerLetter"/>
      <w:start w:val="3"/>
    </w:lvl>
  </w:abstractNum>
  <w:abstractNum w:abstractNumId="18">
    <w:nsid w:val="8EDBDAB"/>
    <w:multiLevelType w:val="hybridMultilevel"/>
    <w:lvl w:ilvl="0">
      <w:lvlJc w:val="left"/>
      <w:lvlText w:val="(%1)"/>
      <w:numFmt w:val="lowerLetter"/>
      <w:start w:val="4"/>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4"/>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decimal"/>
      <w:start w:val="9"/>
    </w:lvl>
  </w:abstractNum>
  <w:abstractNum w:abstractNumId="26">
    <w:nsid w:val="836C40E"/>
    <w:multiLevelType w:val="hybridMultilevel"/>
    <w:lvl w:ilvl="0">
      <w:lvlJc w:val="left"/>
      <w:lvlText w:val="%1."/>
      <w:numFmt w:val="decimal"/>
      <w:start w:val="17"/>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1" Type="http://schemas.openxmlformats.org/officeDocument/2006/relationships/hyperlink" Target="https://www.sec.gov/Archives/edgar/data/1591698/000159169824000222/pcty-202408298xkxexhibit21.htm" TargetMode="External"/><Relationship Id="rId62" Type="http://schemas.openxmlformats.org/officeDocument/2006/relationships/hyperlink" Target="https://www.sec.gov/Archives/edgar/data/1591698/000159169823000278/pcty-20231130xexhibit31.htm" TargetMode="External"/><Relationship Id="rId63" Type="http://schemas.openxmlformats.org/officeDocument/2006/relationships/hyperlink" Target="https://www.sec.gov/Archives/edgar/data/1591698/000159169823000278/pcty-20231130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2025-02-07T09:10:15Z</dcterms:created>
  <dcterms:modified xsi:type="dcterms:W3CDTF">2025-02-07T09:10:15Z</dcterms:modified>
</cp:coreProperties>
</file>