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December 31, 2018</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2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288"/>
              <w:spacing w:after="0"/>
              <w:rPr>
                <w:sz w:val="20"/>
                <w:szCs w:val="20"/>
                <w:color w:val="auto"/>
              </w:rPr>
            </w:pPr>
            <w:r>
              <w:rPr>
                <w:rFonts w:ascii="Arial" w:cs="Arial" w:eastAsia="Arial" w:hAnsi="Arial"/>
                <w:sz w:val="14"/>
                <w:szCs w:val="14"/>
                <w:color w:val="auto"/>
                <w:w w:val="95"/>
              </w:rPr>
              <w:t>incorporation or organization)</w:t>
            </w:r>
          </w:p>
        </w:tc>
        <w:tc>
          <w:tcPr>
            <w:tcW w:w="1360" w:type="dxa"/>
            <w:vAlign w:val="bottom"/>
          </w:tcPr>
          <w:p>
            <w:pPr>
              <w:jc w:val="center"/>
              <w:ind w:left="22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188"/>
              <w:spacing w:after="0"/>
              <w:rPr>
                <w:sz w:val="20"/>
                <w:szCs w:val="20"/>
                <w:color w:val="auto"/>
              </w:rPr>
            </w:pPr>
            <w:r>
              <w:rPr>
                <w:rFonts w:ascii="Arial" w:cs="Arial" w:eastAsia="Arial" w:hAnsi="Arial"/>
                <w:sz w:val="14"/>
                <w:szCs w:val="14"/>
                <w:b w:val="1"/>
                <w:bCs w:val="1"/>
                <w:color w:val="auto"/>
                <w:w w:val="94"/>
              </w:rPr>
              <w:t>1400 American Lane</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14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w w:val="97"/>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80" w:type="dxa"/>
            <w:vAlign w:val="bottom"/>
          </w:tcPr>
          <w:p>
            <w:pPr>
              <w:ind w:left="2240"/>
              <w:spacing w:after="0"/>
              <w:rPr>
                <w:sz w:val="20"/>
                <w:szCs w:val="20"/>
                <w:color w:val="auto"/>
              </w:rPr>
            </w:pPr>
            <w:r>
              <w:rPr>
                <w:rFonts w:ascii="Arial" w:cs="Arial" w:eastAsia="Arial" w:hAnsi="Arial"/>
                <w:sz w:val="14"/>
                <w:szCs w:val="14"/>
                <w:color w:val="auto"/>
                <w:w w:val="99"/>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52,915,940 shares of Common Stock, $0.001 par value per share, as of January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6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w:t>
              </w:r>
            </w:hyperlink>
          </w:p>
        </w:tc>
        <w:tc>
          <w:tcPr>
            <w:tcW w:w="29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FINANCIAL INFORMATION</w:t>
      </w:r>
    </w:p>
    <w:p>
      <w:pPr>
        <w:spacing w:after="0" w:line="13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1"/>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Corporate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Deferred contract costs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1,225,614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1,258,773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1,378,240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1,397,306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1,507,599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1,580,352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1,225,614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1,258,773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1,270,845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1,305,478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1,329,415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Preferred stock, $0.001 par value, 5,000 authorized, no shares issued and outstanding at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2018 and December 31, 2018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2018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w w:val="92"/>
              </w:rPr>
              <w:t>December 31, 2018; 52,758 shares issued and outstanding at June 30, 2018 and 52,887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shares issued and outstanding at December 31, 2018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212,824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250,937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1,507,599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1,580,352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71"/>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Recurring fees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81,292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100,275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158,586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196,036</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83,075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104,740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161,986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204,003</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86,004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107,204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167,504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207,708</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Recurring 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25,638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60,437</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36,840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74,012</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49,164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133,696</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21,598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52,988</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18,159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45,707</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49,031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122,893</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11,418</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(4,138)</w:t>
            </w: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40" w:type="dxa"/>
            <w:vAlign w:val="bottom"/>
            <w:shd w:val="clear" w:color="auto" w:fill="CCEEFF"/>
          </w:tcPr>
          <w:p>
            <w:pPr>
              <w:spacing w:after="0"/>
              <w:rPr>
                <w:sz w:val="19"/>
                <w:szCs w:val="19"/>
                <w:color w:val="auto"/>
              </w:rPr>
            </w:pPr>
          </w:p>
        </w:tc>
      </w:tr>
      <w:tr>
        <w:trPr>
          <w:trHeight w:val="216"/>
        </w:trPr>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Unrealized losses on securities, net of tax</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40" w:type="dxa"/>
            <w:vAlign w:val="bottom"/>
            <w:tcBorders>
              <w:bottom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19"/>
                <w:szCs w:val="19"/>
                <w:color w:val="auto"/>
              </w:rPr>
            </w:pPr>
          </w:p>
        </w:tc>
      </w:tr>
      <w:tr>
        <w:trPr>
          <w:trHeight w:val="223"/>
        </w:trPr>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52,502</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52,853</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12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54,818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55,081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55,232</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Stockholders’ Equity</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Retained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w:t>
            </w:r>
          </w:p>
        </w:tc>
        <w:tc>
          <w:tcPr>
            <w:tcW w:w="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52,758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$ 219,588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212,824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policy (adoption of Topic 606)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related to equity awards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(21,450)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Repurchases of common shares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(34,991)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8"/>
                <w:szCs w:val="18"/>
                <w:b w:val="1"/>
                <w:bCs w:val="1"/>
                <w:color w:val="auto"/>
              </w:rPr>
              <w:t>Balances at December 31,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52,887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$ 189,473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Six Months Ended</w:t>
      </w:r>
    </w:p>
    <w:p>
      <w:pPr>
        <w:ind w:left="7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16,801</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(4,139)</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Net accretion of discounts and amortization of premiums on available-for-sale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Net realized losses on sales of available-for-sale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(14,156)</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Tenant improvement allowance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(95,207)</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(117,054)</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88,879</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Net change in funds held for clients' cash and cash equivalents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(331,078)</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(24,191)</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(9,425)</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(7,998)</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(7,532)</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allowances used for tenant improvements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0"/>
        </w:trPr>
        <w:tc>
          <w:tcPr>
            <w:tcW w:w="688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(424,200)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(69,574)</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client fund obligations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33,159</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Repurchases of common 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(34,991)</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2,824</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(18,878)</w:t>
            </w:r>
          </w:p>
        </w:tc>
      </w:tr>
      <w:tr>
        <w:trPr>
          <w:trHeight w:val="210"/>
        </w:trPr>
        <w:tc>
          <w:tcPr>
            <w:tcW w:w="6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397,591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(17,801)</w:t>
            </w:r>
          </w:p>
        </w:tc>
        <w:tc>
          <w:tcPr>
            <w:tcW w:w="4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(53,079)</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Period</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137,193</w:t>
            </w:r>
          </w:p>
        </w:tc>
        <w:tc>
          <w:tcPr>
            <w:tcW w:w="40" w:type="dxa"/>
            <w:vAlign w:val="bottom"/>
            <w:tcBorders>
              <w:bottom w:val="single" w:sz="8" w:color="CCEEFF"/>
            </w:tcBorders>
          </w:tcPr>
          <w:p>
            <w:pPr>
              <w:spacing w:after="0"/>
              <w:rPr>
                <w:sz w:val="18"/>
                <w:szCs w:val="18"/>
                <w:color w:val="auto"/>
              </w:rPr>
            </w:pPr>
          </w:p>
        </w:tc>
      </w:tr>
      <w:tr>
        <w:trPr>
          <w:trHeight w:val="23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Purchase of property and equipment and internal-use software, accrued but not paid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20"/>
                <w:szCs w:val="20"/>
                <w:color w:val="auto"/>
              </w:rPr>
            </w:pPr>
          </w:p>
        </w:tc>
      </w:tr>
      <w:tr>
        <w:trPr>
          <w:trHeight w:val="203"/>
        </w:trPr>
        <w:tc>
          <w:tcPr>
            <w:tcW w:w="68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23"/>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 of refunds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147"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2018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2018 included in the Company’s Annual Report on Form 10-K filed with the SEC on August 10, 2018.</w:t>
      </w:r>
    </w:p>
    <w:p>
      <w:pPr>
        <w:spacing w:after="0" w:line="167"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adopted Accounting Standards Update (“ASU”) 2014-09, Revenue from Contracts with Customers (“Topic 606”) effective as of July 1, 2018. Topic 606 requires revenue to be recognized when an entity transfers control of goods or services to a customer in an amount that reflects the consideration to which a company expects to be entitled to for those goods or services. To achieve this core principle, the Company recognizes revenue from contracts with customers based on the following five steps: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began entering into term arrangements in fiscal 2018, which are generally two years long. Recurring fees are derived from payroll, timekeeping, and HR-related cloud-based computing services as follows:</w:t>
      </w:r>
    </w:p>
    <w:p>
      <w:pPr>
        <w:spacing w:after="0" w:line="171" w:lineRule="exact"/>
        <w:rPr>
          <w:sz w:val="20"/>
          <w:szCs w:val="20"/>
          <w:color w:val="auto"/>
        </w:rPr>
      </w:pPr>
    </w:p>
    <w:p>
      <w:pPr>
        <w:ind w:left="1300" w:right="20" w:hanging="325"/>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Time and attendance reporting services, including time clock rentals, are delivered on a monthly basis, and</w:t>
      </w:r>
    </w:p>
    <w:p>
      <w:pPr>
        <w:spacing w:after="0" w:line="248" w:lineRule="exact"/>
        <w:rPr>
          <w:rFonts w:ascii="Arial" w:cs="Arial" w:eastAsia="Arial" w:hAnsi="Arial"/>
          <w:sz w:val="16"/>
          <w:szCs w:val="16"/>
          <w:color w:val="auto"/>
        </w:rPr>
      </w:pPr>
    </w:p>
    <w:p>
      <w:pPr>
        <w:ind w:left="1300" w:right="540" w:hanging="32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 The Company has certain optional performance obligations that are satisfied at a point in time including the sales of time clocks and W-2 services.</w:t>
      </w:r>
    </w:p>
    <w:p>
      <w:pPr>
        <w:spacing w:after="0" w:line="1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the client up in, and loading data into, the Company’s cloud-based applications.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components of providing these services.</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following table, consistent with the presentation of its unaudited consolidated statements of operations and comprehensive income, disaggregates revenue by recurring fees and implementation services and other, which it believes represents the major categories of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Six Months Ended</w:t>
            </w:r>
          </w:p>
        </w:tc>
      </w:tr>
      <w:tr>
        <w:trPr>
          <w:trHeight w:val="215"/>
        </w:trPr>
        <w:tc>
          <w:tcPr>
            <w:tcW w:w="348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December 31, 2018</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2018</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196,036</w:t>
            </w:r>
          </w:p>
        </w:tc>
      </w:tr>
      <w:tr>
        <w:trPr>
          <w:trHeight w:val="230"/>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Implementation services and other</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r>
      <w:tr>
        <w:trPr>
          <w:trHeight w:val="23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from contracts</w:t>
            </w: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102,739</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199,741</w:t>
            </w:r>
          </w:p>
        </w:tc>
      </w:tr>
      <w:tr>
        <w:trPr>
          <w:trHeight w:val="635"/>
        </w:trPr>
        <w:tc>
          <w:tcPr>
            <w:tcW w:w="3480" w:type="dxa"/>
            <w:vAlign w:val="bottom"/>
          </w:tcPr>
          <w:p>
            <w:pPr>
              <w:spacing w:after="0"/>
              <w:rPr>
                <w:sz w:val="24"/>
                <w:szCs w:val="24"/>
                <w:color w:val="auto"/>
              </w:rPr>
            </w:pPr>
          </w:p>
        </w:tc>
        <w:tc>
          <w:tcPr>
            <w:tcW w:w="2880" w:type="dxa"/>
            <w:vAlign w:val="bottom"/>
          </w:tcPr>
          <w:p>
            <w:pPr>
              <w:jc w:val="right"/>
              <w:ind w:right="16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w:t>
            </w:r>
          </w:p>
        </w:tc>
      </w:tr>
      <w:tr>
        <w:trPr>
          <w:trHeight w:val="215"/>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2018</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Deferral of revenue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5,513</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$2,089 in fiscal 2019, $1,162 in fiscal 2020, and $372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which were expensed as incurred prior to the adoption of Topic 606. The Company also capitalizes certain costs to fulfill a contract related to its proprietary products if they are identifiable, generate or enhance resources used to satisfy future performance obligations and are expected to be recovered under ASC 340-40. As discussed in Note 2(e), the Company determined that implementation services related to its proprietary products are not separate performance obligations for contracts entered into after July 1, 2018.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present the deferred contract costs balances and the related amortization expense for these deferred contract costs: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December 31, 2018</w:t>
            </w:r>
          </w:p>
        </w:tc>
        <w:tc>
          <w:tcPr>
            <w:tcW w:w="860" w:type="dxa"/>
            <w:vAlign w:val="bottom"/>
            <w:tcBorders>
              <w:bottom w:val="single" w:sz="8" w:color="auto"/>
            </w:tcBorders>
          </w:tcPr>
          <w:p>
            <w:pPr>
              <w:spacing w:after="0"/>
              <w:rPr>
                <w:sz w:val="14"/>
                <w:szCs w:val="14"/>
                <w:color w:val="auto"/>
              </w:rPr>
            </w:pPr>
          </w:p>
        </w:tc>
      </w:tr>
      <w:tr>
        <w:trPr>
          <w:trHeight w:val="238"/>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8"/>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w w:val="97"/>
              </w:rPr>
              <w:t>Capitalized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Ending</w:t>
            </w:r>
          </w:p>
        </w:tc>
      </w:tr>
      <w:tr>
        <w:trPr>
          <w:trHeight w:val="215"/>
        </w:trPr>
        <w:tc>
          <w:tcPr>
            <w:tcW w:w="4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Balance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Balance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71,476</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r>
      <w:tr>
        <w:trPr>
          <w:trHeight w:val="864"/>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858"/>
              <w:spacing w:after="0"/>
              <w:rPr>
                <w:sz w:val="20"/>
                <w:szCs w:val="20"/>
                <w:color w:val="auto"/>
              </w:rPr>
            </w:pPr>
            <w:r>
              <w:rPr>
                <w:rFonts w:ascii="Arial" w:cs="Arial" w:eastAsia="Arial" w:hAnsi="Arial"/>
                <w:sz w:val="18"/>
                <w:szCs w:val="18"/>
                <w:color w:val="auto"/>
                <w:w w:val="99"/>
              </w:rPr>
              <w:t>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9"/>
        </w:trPr>
        <w:tc>
          <w:tcPr>
            <w:tcW w:w="4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4"/>
                <w:szCs w:val="14"/>
                <w:b w:val="1"/>
                <w:bCs w:val="1"/>
                <w:color w:val="auto"/>
              </w:rPr>
              <w:t>For the six months ended December 31, 2018</w:t>
            </w:r>
          </w:p>
        </w:tc>
        <w:tc>
          <w:tcPr>
            <w:tcW w:w="900" w:type="dxa"/>
            <w:vAlign w:val="bottom"/>
            <w:tcBorders>
              <w:bottom w:val="single" w:sz="8" w:color="auto"/>
            </w:tcBorders>
          </w:tcPr>
          <w:p>
            <w:pPr>
              <w:spacing w:after="0"/>
              <w:rPr>
                <w:sz w:val="14"/>
                <w:szCs w:val="14"/>
                <w:color w:val="auto"/>
              </w:rPr>
            </w:pPr>
          </w:p>
        </w:tc>
      </w:tr>
      <w:tr>
        <w:trPr>
          <w:trHeight w:val="238"/>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99"/>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w w:val="97"/>
              </w:rPr>
              <w:t>Capitalized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Ending</w:t>
            </w:r>
          </w:p>
        </w:tc>
      </w:tr>
      <w:tr>
        <w:trPr>
          <w:trHeight w:val="215"/>
        </w:trPr>
        <w:tc>
          <w:tcPr>
            <w:tcW w:w="4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Balance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Balance</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71,476</w:t>
            </w:r>
          </w:p>
        </w:tc>
      </w:tr>
      <w:tr>
        <w:trPr>
          <w:trHeight w:val="23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r>
      <w:tr>
        <w:trPr>
          <w:trHeight w:val="21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82,263</w:t>
            </w: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unaudited consolidated balance sheets. Amortization of deferred contract costs is recorded in implementation services and other cost of revenue, sales and marketing, and general and administrative in the unaudited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 based contracts was approximately $31,760 as of December 31, 2018, which will be generally recognized over the next 24 months.</w:t>
      </w:r>
    </w:p>
    <w:p>
      <w:pPr>
        <w:spacing w:after="0" w:line="173"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 Topic 606 supersedes a majority of existing revenue recognition guidance under GAAP, and requires companies to recognize revenue when it transfers goods or services to a customer in an amount that reflects the consideration to which a company expects to be entitled. The standard also provides guidance on the recognition of costs related to obtaining and fulfilling a contract under Subtopic 340-40, Other Assets and Deferred Costs – Contracts with Customers. The Company adopted the new standard, including subsequent amendments and Subtopic 340-40, effective as of July 1, 2018 using the modified retrospective method of transition, which limited the application of the new standard only to contracts that were not completed as of the effective date. The adoption of Topic 606 did not have a material impact in the timing or amount of revenue recognized. However, it did have a material impact on its unaudited consolidated balance sheet due to the deferral of costs of obtaining and fulfilling a contract as detailed below. The Company has updated its control framework for new internal controls and has updated existing controls relating to the new standard.</w:t>
      </w:r>
    </w:p>
    <w:p>
      <w:pPr>
        <w:spacing w:after="0" w:line="1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legacy revenue standard through fiscal 2018, the Company accounted for implementation and recurring services each as a separate unit of account. The Company was able to establish standalone value for implementation services as supported by the activity of third-party resellers and other vendors that performed certain implementation services. The Company has observed that third party implementation activity has continued to decrease over time and at the same time, the Company has invested in proprietary applications and processes that impact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implementation activities. The Company determined that from July 1, 2018 forward it no longer had a sufficient basis to establish standalone value of implementations for its proprietary products due to the culmination of the changes to the Company’s applications and processes that eliminated the ability of third parties to perform implementation services. Similarly, the Company determined that these implementation services are not a separate performance obligation under Topic 606 for contracts entered into after July 1, 2018 and the associated implementation fees are treated as nonrefundable upfront fees which are deferred and amortized over a period of time instead of recognized upon completion. The Company recognized $2,191, net of deferred taxes, of contract assets for implementation fees related to open contracts as of July 1, 2018, which began when the Company was still able to establish stand-alone value for implementation activities. This adjustment was recorded through retained earnings (accumulated deficit) in the statement of changes in stockholder’s equity upon adoption on July 1, 2018.</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also finalized the treatment of costs of obtaining and fulfilling a new contract under the new standard. The Company is now required to defer these costs and amortize them over the expected period of benefit, which it has determined to be 7 years. The Company recognized the cumulative effect related to the deferral of the costs of obtaining new contracts of $50,481, net of deferred taxes, which was recorded through retained earnings (accumulated deficit) in the statement of changes in stockholder’s equity upon adoption on July 1, 2018.</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cumulative effect of the changes made to the July 1, 2018 balance sheet due to the adoption of Topic 606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Adjustments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2"/>
              </w:rPr>
              <w:t>Balances at</w:t>
            </w:r>
          </w:p>
        </w:tc>
      </w:tr>
      <w:tr>
        <w:trPr>
          <w:trHeight w:val="167"/>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w w:val="96"/>
              </w:rPr>
              <w:t>June 30, 2018</w:t>
            </w:r>
          </w:p>
        </w:tc>
        <w:tc>
          <w:tcPr>
            <w:tcW w:w="18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due to Topic 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color w:val="auto"/>
                <w:w w:val="92"/>
              </w:rPr>
              <w:t>July 1, 2018</w:t>
            </w:r>
          </w:p>
        </w:tc>
      </w:tr>
      <w:tr>
        <w:trPr>
          <w:trHeight w:val="22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12,978</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45,994</w:t>
            </w:r>
          </w:p>
        </w:tc>
      </w:tr>
    </w:tbl>
    <w:p>
      <w:pPr>
        <w:spacing w:after="0" w:line="20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tables summarize the impact from the adoption of Topic 606 on the Company’s unaudited consolidated statements of operations and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December 31, 2018</w:t>
            </w:r>
          </w:p>
        </w:tc>
      </w:tr>
      <w:tr>
        <w:trPr>
          <w:trHeight w:val="123"/>
        </w:trPr>
        <w:tc>
          <w:tcPr>
            <w:tcW w:w="3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80" w:type="dxa"/>
            <w:vAlign w:val="bottom"/>
          </w:tcPr>
          <w:p>
            <w:pPr>
              <w:jc w:val="right"/>
              <w:ind w:right="48"/>
              <w:spacing w:after="0" w:line="123" w:lineRule="exact"/>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34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(Topic 606)</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Adoption</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100,275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100,711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6,864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26,570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r>
      <w:tr>
        <w:trPr>
          <w:trHeight w:val="648"/>
        </w:trPr>
        <w:tc>
          <w:tcPr>
            <w:tcW w:w="3460" w:type="dxa"/>
            <w:vAlign w:val="bottom"/>
          </w:tcPr>
          <w:p>
            <w:pPr>
              <w:spacing w:after="0"/>
              <w:rPr>
                <w:sz w:val="24"/>
                <w:szCs w:val="24"/>
                <w:color w:val="auto"/>
              </w:rPr>
            </w:pPr>
          </w:p>
        </w:tc>
        <w:tc>
          <w:tcPr>
            <w:tcW w:w="2400" w:type="dxa"/>
            <w:vAlign w:val="bottom"/>
          </w:tcPr>
          <w:p>
            <w:pPr>
              <w:jc w:val="right"/>
              <w:ind w:right="115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December 31, 2018</w:t>
            </w:r>
          </w:p>
        </w:tc>
      </w:tr>
      <w:tr>
        <w:trPr>
          <w:trHeight w:val="123"/>
        </w:trPr>
        <w:tc>
          <w:tcPr>
            <w:tcW w:w="4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80" w:type="dxa"/>
            <w:vAlign w:val="bottom"/>
          </w:tcPr>
          <w:p>
            <w:pPr>
              <w:jc w:val="right"/>
              <w:ind w:right="48"/>
              <w:spacing w:after="0" w:line="123" w:lineRule="exact"/>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41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(Topic 606)</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Adoption</w:t>
            </w:r>
          </w:p>
        </w:tc>
      </w:tr>
      <w:tr>
        <w:trPr>
          <w:trHeight w:val="22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196,036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196,908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3,705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13,575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(10,595)</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52,988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56,294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(3,306)</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45,962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(4,138)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w:t>
            </w:r>
          </w:p>
        </w:tc>
      </w:tr>
    </w:tbl>
    <w:p>
      <w:pPr>
        <w:spacing w:after="0" w:line="20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820" w:type="dxa"/>
            <w:vAlign w:val="bottom"/>
            <w:tcBorders>
              <w:bottom w:val="single" w:sz="8" w:color="auto"/>
            </w:tcBorders>
          </w:tcPr>
          <w:p>
            <w:pPr>
              <w:spacing w:after="0"/>
              <w:rPr>
                <w:sz w:val="14"/>
                <w:szCs w:val="14"/>
                <w:color w:val="auto"/>
              </w:rPr>
            </w:pPr>
          </w:p>
        </w:tc>
      </w:tr>
      <w:tr>
        <w:trPr>
          <w:trHeight w:val="123"/>
        </w:trPr>
        <w:tc>
          <w:tcPr>
            <w:tcW w:w="4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34"/>
              <w:spacing w:after="0" w:line="123" w:lineRule="exact"/>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0"/>
                <w:szCs w:val="10"/>
                <w:color w:val="auto"/>
              </w:rPr>
            </w:pPr>
          </w:p>
        </w:tc>
        <w:tc>
          <w:tcPr>
            <w:tcW w:w="1220" w:type="dxa"/>
            <w:vAlign w:val="bottom"/>
            <w:gridSpan w:val="4"/>
          </w:tcPr>
          <w:p>
            <w:pPr>
              <w:jc w:val="center"/>
              <w:ind w:right="300"/>
              <w:spacing w:after="0" w:line="123" w:lineRule="exact"/>
              <w:rPr>
                <w:sz w:val="20"/>
                <w:szCs w:val="20"/>
                <w:color w:val="auto"/>
              </w:rPr>
            </w:pPr>
            <w:r>
              <w:rPr>
                <w:rFonts w:ascii="Arial" w:cs="Arial" w:eastAsia="Arial" w:hAnsi="Arial"/>
                <w:sz w:val="14"/>
                <w:szCs w:val="14"/>
                <w:color w:val="auto"/>
                <w:w w:val="90"/>
              </w:rPr>
              <w:t>Balances under</w:t>
            </w:r>
          </w:p>
        </w:tc>
        <w:tc>
          <w:tcPr>
            <w:tcW w:w="82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color w:val="auto"/>
                <w:w w:val="95"/>
              </w:rPr>
              <w:t>(Topic 606)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color w:val="auto"/>
                <w:w w:val="96"/>
              </w:rPr>
              <w:t>ASC 605</w:t>
            </w:r>
          </w:p>
        </w:tc>
        <w:tc>
          <w:tcPr>
            <w:tcW w:w="820" w:type="dxa"/>
            <w:vAlign w:val="bottom"/>
          </w:tcPr>
          <w:p>
            <w:pPr>
              <w:jc w:val="right"/>
              <w:ind w:right="94"/>
              <w:spacing w:after="0"/>
              <w:rPr>
                <w:sz w:val="20"/>
                <w:szCs w:val="20"/>
                <w:color w:val="auto"/>
              </w:rPr>
            </w:pPr>
            <w:r>
              <w:rPr>
                <w:rFonts w:ascii="Arial" w:cs="Arial" w:eastAsia="Arial" w:hAnsi="Arial"/>
                <w:sz w:val="14"/>
                <w:szCs w:val="14"/>
                <w:color w:val="auto"/>
              </w:rPr>
              <w:t>Adoption</w:t>
            </w: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64,598</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63,709</w:t>
            </w:r>
          </w:p>
        </w:tc>
      </w:tr>
    </w:tbl>
    <w:p>
      <w:pPr>
        <w:spacing w:after="0" w:line="20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4"/>
                <w:szCs w:val="14"/>
                <w:b w:val="1"/>
                <w:bCs w:val="1"/>
                <w:color w:val="auto"/>
              </w:rPr>
              <w:t>Six Months Ended December 31, 2018</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w w:val="90"/>
              </w:rPr>
              <w:t>Balances under</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Impact from</w:t>
            </w:r>
          </w:p>
        </w:tc>
        <w:tc>
          <w:tcPr>
            <w:tcW w:w="0" w:type="dxa"/>
            <w:vAlign w:val="bottom"/>
          </w:tcPr>
          <w:p>
            <w:pPr>
              <w:spacing w:after="0"/>
              <w:rPr>
                <w:sz w:val="1"/>
                <w:szCs w:val="1"/>
                <w:color w:val="auto"/>
              </w:rPr>
            </w:pPr>
          </w:p>
        </w:tc>
      </w:tr>
      <w:tr>
        <w:trPr>
          <w:trHeight w:val="215"/>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Cash Flows</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(Topic 606)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9"/>
              </w:rPr>
              <w:t>ASC 605</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Adoption</w:t>
            </w: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15,556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11,037</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34,296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March 2018, the FASB issued ASU 2018-05, Income Taxes (Topic 740) (“ASU 2018-05”) which incorporates the SEC’s Staff Accounting Bulletin 118 (“SAB 118”) issued on December 22, 2017. SAB 118 provides for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provisional measurement period for entities to finalize their accounting for certain income tax effects related to the Tax Cuts and Jobs Act (the “Act”), not to exceed one year from enactment of the new tax law. Entities are permitted to utilize reasonable estimates until they have finished analyzing the effects of the Act. The Company recognized provisional income tax effects of the Act during fiscal 2018 in accordance with SAB 118, and completed its accounting under the Act in December 2018. Refer to Note 8 for additional information.</w:t>
      </w:r>
    </w:p>
    <w:p>
      <w:pPr>
        <w:spacing w:after="0" w:line="188" w:lineRule="exact"/>
        <w:rPr>
          <w:sz w:val="20"/>
          <w:szCs w:val="20"/>
          <w:color w:val="auto"/>
        </w:rPr>
      </w:pPr>
    </w:p>
    <w:p>
      <w:pPr>
        <w:ind w:left="280" w:hanging="277"/>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February 2016, the FASB established Topic 842, Leases, by issuing ASU 2016-02, which requires lessees to recognize leases on-balance sheet and disclose key information about leasing arrangements. Topic 842 was subsequently amended by ASU 2018-01, Land Easement Practical Expedient for Transition to Topic 842; ASU 2018-10, Codification Improvements to Topic 842, Leases; and ASU 2018-11, Targeted Improvements.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new standard is effective on July 1, 2019, with early adoption permitted. A modified retrospective transition approach is required, applying the new standard to all leases existing at the date of initial application. An entity may choose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The Company expects to adopt the new standard on July 1, 2019 and use the effective date as the date of initial application. Consequently, financial information will not be updated and the disclosures required under the new standard will not be provided for dates and periods before July 1, 2019.</w:t>
      </w:r>
    </w:p>
    <w:p>
      <w:pPr>
        <w:spacing w:after="0" w:line="18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While the Company continues to assess all of the effects of adoption, it currently believes the most significant effects relate to (1) the recognition of new ROU assets and lease liabilities on the balance sheet for operating leases; and (2) providing significant new disclosures about leasing activities. The Company expects to elect the ‘package of practical expedients’, which permits the Company not to reassess under the new standard the prior conclusions about lease identification, lease classification and initial direct costs.</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is assessing the impact of ASU 2018-13 including the timing and method of adoption.</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details of selected consolidated balance sheet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5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Charged to expense</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50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8"/>
                <w:szCs w:val="18"/>
                <w:color w:val="auto"/>
              </w:rPr>
            </w:pPr>
          </w:p>
        </w:tc>
      </w:tr>
      <w:tr>
        <w:trPr>
          <w:trHeight w:val="648"/>
        </w:trPr>
        <w:tc>
          <w:tcPr>
            <w:tcW w:w="3340" w:type="dxa"/>
            <w:vAlign w:val="bottom"/>
          </w:tcPr>
          <w:p>
            <w:pPr>
              <w:spacing w:after="0"/>
              <w:rPr>
                <w:sz w:val="24"/>
                <w:szCs w:val="24"/>
                <w:color w:val="auto"/>
              </w:rPr>
            </w:pPr>
          </w:p>
        </w:tc>
        <w:tc>
          <w:tcPr>
            <w:tcW w:w="5000" w:type="dxa"/>
            <w:vAlign w:val="bottom"/>
          </w:tcPr>
          <w:p>
            <w:pPr>
              <w:jc w:val="right"/>
              <w:ind w:right="36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78,377</w:t>
            </w:r>
          </w:p>
        </w:tc>
        <w:tc>
          <w:tcPr>
            <w:tcW w:w="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(46,584)</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(55,214)</w:t>
            </w:r>
          </w:p>
        </w:tc>
      </w:tr>
      <w:tr>
        <w:trPr>
          <w:trHeight w:val="217"/>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$3,314 and $4,418 for the three months ended December 31, 2017 and 2018, respectively, and $6,703 and $8,630 for the six months ended December 31, 2017 and 2018,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33,371</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6,231</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38,043</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4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97,340</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(28,729)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(34,678)</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Depreciation expense amounted to $3,092 and $3,588 for the three months ended December 31, 2017 and 2018, respectively, and $6,017 and $7,045 for the six months ended December 31, 2017 and 2018,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8"/>
                <w:szCs w:val="18"/>
                <w:color w:val="auto"/>
                <w:w w:val="89"/>
              </w:rPr>
              <w:t>2 - 4 years</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(6,854)</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acquired intangible assets was $359 and $563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2018, respectively, and $718 and $1,126 for the six months ended December 31, 2017 and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December 31, 2018:</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2019</w:t>
            </w:r>
          </w:p>
        </w:tc>
        <w:tc>
          <w:tcPr>
            <w:tcW w:w="5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Fiscal 2020</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2021</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Fiscal 2022</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2,232</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2023</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60" w:type="dxa"/>
            <w:vAlign w:val="bottom"/>
            <w:tcBorders>
              <w:bottom w:val="single" w:sz="8" w:color="CCEEFF"/>
            </w:tcBorders>
          </w:tcPr>
          <w:p>
            <w:pPr>
              <w:spacing w:after="0"/>
              <w:rPr>
                <w:sz w:val="18"/>
                <w:szCs w:val="18"/>
                <w:color w:val="auto"/>
              </w:rPr>
            </w:pPr>
          </w:p>
        </w:tc>
      </w:tr>
      <w:tr>
        <w:trPr>
          <w:trHeight w:val="230"/>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851"/>
        </w:trPr>
        <w:tc>
          <w:tcPr>
            <w:tcW w:w="3240" w:type="dxa"/>
            <w:vAlign w:val="bottom"/>
          </w:tcPr>
          <w:p>
            <w:pPr>
              <w:spacing w:after="0"/>
              <w:rPr>
                <w:sz w:val="24"/>
                <w:szCs w:val="24"/>
                <w:color w:val="auto"/>
              </w:rPr>
            </w:pPr>
          </w:p>
        </w:tc>
        <w:tc>
          <w:tcPr>
            <w:tcW w:w="4900" w:type="dxa"/>
            <w:vAlign w:val="bottom"/>
          </w:tcPr>
          <w:p>
            <w:pPr>
              <w:jc w:val="right"/>
              <w:ind w:right="34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240" w:type="dxa"/>
            <w:vAlign w:val="bottom"/>
            <w:tcBorders>
              <w:bottom w:val="single" w:sz="8" w:color="auto"/>
            </w:tcBorders>
          </w:tcPr>
          <w:p>
            <w:pPr>
              <w:spacing w:after="0"/>
              <w:rPr>
                <w:sz w:val="11"/>
                <w:szCs w:val="11"/>
                <w:color w:val="auto"/>
              </w:rPr>
            </w:pPr>
          </w:p>
        </w:tc>
        <w:tc>
          <w:tcPr>
            <w:tcW w:w="4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Lease exit obligations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60" w:type="dxa"/>
            <w:vAlign w:val="bottom"/>
            <w:shd w:val="clear" w:color="auto" w:fill="CCEEFF"/>
          </w:tcPr>
          <w:p>
            <w:pPr>
              <w:spacing w:after="0"/>
              <w:rPr>
                <w:sz w:val="18"/>
                <w:szCs w:val="18"/>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June 2018, the Company ceased using approximately 110 rentable square feet of its former headquarters in Arlington Heights, Illinois in conjunction with relocating to its new Schaumburg, Illinois headquarters. The following table is a summary of the changes in the remaining lease exit obligations related to the Company’s former headquarters, which is recorded in accrued expenses and other long-term liabilities on the unaudited consolidated balance sheets: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(1,211)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80"/>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1"/>
        </w:trPr>
        <w:tc>
          <w:tcPr>
            <w:tcW w:w="5300" w:type="dxa"/>
            <w:vAlign w:val="bottom"/>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1,102,541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1,102,538</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50,702</w:t>
            </w: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25,847</w:t>
            </w: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123,808</w:t>
            </w:r>
          </w:p>
        </w:tc>
      </w:tr>
      <w:tr>
        <w:trPr>
          <w:trHeight w:val="21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1,363,725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r>
    </w:tbl>
    <w:p>
      <w:pPr>
        <w:spacing w:after="0" w:line="202" w:lineRule="exact"/>
        <w:rPr>
          <w:sz w:val="20"/>
          <w:szCs w:val="20"/>
          <w:color w:val="auto"/>
        </w:rPr>
      </w:pPr>
    </w:p>
    <w:p>
      <w:pPr>
        <w:ind w:left="660" w:right="52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$732 of corporate investments and $123,076 of funds held for clients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Type of Issue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1,126,731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1,126,730</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60,731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39,487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1,363,905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1,363,716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0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$20,829 of corporate investments and $132,043 of funds held for clients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 Cash and cash equivalents and funds held for clients’ cash and cash equivalents include demand deposit accounts, money market funds and commercial paper as of June 30, 2018 and December 31,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84,114</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19,934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1,258,773</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17"/>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1,363,716</w:t>
            </w: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292"/>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Securities in an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w w:val="92"/>
              </w:rPr>
              <w:t>Securities in an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w w:val="92"/>
              </w:rPr>
              <w:t>unrealized loss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ind w:left="220"/>
              <w:spacing w:after="0"/>
              <w:rPr>
                <w:sz w:val="20"/>
                <w:szCs w:val="20"/>
                <w:color w:val="auto"/>
              </w:rPr>
            </w:pPr>
            <w:r>
              <w:rPr>
                <w:rFonts w:ascii="Arial" w:cs="Arial" w:eastAsia="Arial" w:hAnsi="Arial"/>
                <w:sz w:val="14"/>
                <w:szCs w:val="14"/>
                <w:b w:val="1"/>
                <w:bCs w:val="1"/>
                <w:color w:val="auto"/>
              </w:rPr>
              <w:t>position for less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position for greater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than 12 months</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4"/>
              </w:rPr>
              <w:t>than 12 months</w:t>
            </w:r>
          </w:p>
        </w:tc>
        <w:tc>
          <w:tcPr>
            <w:tcW w:w="2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Total</w:t>
            </w:r>
          </w:p>
        </w:tc>
      </w:tr>
      <w:tr>
        <w:trPr>
          <w:trHeight w:val="225"/>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5"/>
        </w:trPr>
        <w:tc>
          <w:tcPr>
            <w:tcW w:w="3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1"/>
              </w:rPr>
              <w:t>losses</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Fair value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$ 23,657</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29,122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29,122</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17,960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17,960</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4,933</w:t>
            </w:r>
          </w:p>
        </w:tc>
      </w:tr>
      <w:tr>
        <w:trPr>
          <w:trHeight w:val="21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75,672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$ 75,672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29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Securities in an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0"/>
              </w:rPr>
              <w:t>Securities in an</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unrealized loss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88"/>
              </w:rPr>
              <w:t>unrealized loss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position for less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91"/>
              </w:rPr>
              <w:t>position for greater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2"/>
        </w:trPr>
        <w:tc>
          <w:tcPr>
            <w:tcW w:w="3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than 12 months</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b w:val="1"/>
                <w:bCs w:val="1"/>
                <w:color w:val="auto"/>
                <w:w w:val="92"/>
              </w:rPr>
              <w:t>than 12 months</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Total</w:t>
            </w:r>
          </w:p>
        </w:tc>
      </w:tr>
      <w:tr>
        <w:trPr>
          <w:trHeight w:val="225"/>
        </w:trPr>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81"/>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8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5"/>
        </w:trPr>
        <w:tc>
          <w:tcPr>
            <w:tcW w:w="3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4"/>
              </w:rPr>
              <w:t>Fair 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33,694</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w:t>
            </w: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16,156</w:t>
            </w:r>
          </w:p>
        </w:tc>
      </w:tr>
      <w:tr>
        <w:trPr>
          <w:trHeight w:val="217"/>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132,078</w:t>
            </w: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loss during the three or six months ended December 31, 2017 or 2018, nor does it believe that OTTI exists in its portfolio as of December 31, 2018.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December 31, 2018.</w:t>
      </w:r>
    </w:p>
    <w:p>
      <w:pPr>
        <w:spacing w:after="0" w:line="18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Company did not make any material reclassification adjustments out of accumulated other comprehensive loss for realized gains and losses on the sale of available-for-sale securities during the three or six months ended</w:t>
      </w:r>
    </w:p>
    <w:p>
      <w:pPr>
        <w:ind w:right="200"/>
        <w:spacing w:after="0" w:line="261" w:lineRule="auto"/>
        <w:rPr>
          <w:sz w:val="20"/>
          <w:szCs w:val="20"/>
          <w:color w:val="auto"/>
        </w:rPr>
      </w:pPr>
      <w:r>
        <w:rPr>
          <w:rFonts w:ascii="Arial" w:cs="Arial" w:eastAsia="Arial" w:hAnsi="Arial"/>
          <w:sz w:val="18"/>
          <w:szCs w:val="18"/>
          <w:color w:val="auto"/>
        </w:rPr>
        <w:t>December 31, 2017 or 2018. Gross realized gains and losses on the sale of available-for-sale securities were immaterial for both the three and six months ended December 31, 2017 and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December 31,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141,636</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One year to two years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2018 and December 31, 2018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2018 or December 31, 2018, and the Company did not transfer assets between Levels during the six months ended December 31, 2017 or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level for the Company’s cash and cash equivalents and available-for-sale securities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1,102,538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1,076,414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1,363,539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1,213,607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527"/>
        </w:trPr>
        <w:tc>
          <w:tcPr>
            <w:tcW w:w="4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1,126,730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1,108,906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1,363,716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1,188,233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Benefit Plans</w:t>
      </w:r>
    </w:p>
    <w:p>
      <w:pPr>
        <w:spacing w:after="0" w:line="229"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2018, the Company had 13,256 shares allocated to the plans, of which 3,591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six months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December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Cost of revenue – implementation services and 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2,738</w:t>
            </w:r>
          </w:p>
        </w:tc>
        <w:tc>
          <w:tcPr>
            <w:tcW w:w="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10,547</w:t>
            </w:r>
          </w:p>
        </w:tc>
        <w:tc>
          <w:tcPr>
            <w:tcW w:w="40" w:type="dxa"/>
            <w:vAlign w:val="bottom"/>
            <w:shd w:val="clear" w:color="auto" w:fill="CCEEFF"/>
          </w:tcPr>
          <w:p>
            <w:pPr>
              <w:spacing w:after="0"/>
              <w:rPr>
                <w:sz w:val="18"/>
                <w:szCs w:val="18"/>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7,818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10,099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14,424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19,524</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the Company capitalized $471 and $696 of stock-based compensation expense in its capitalized internal-use software costs in the three months ended December 31, 2017 and 2018, respectively, and $904 and $1,321 in the six months ended December 31, 2017 and 2018, respectively.</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Under the 2008 and 2014 Plans, the exercise price of each option cannot be less than the fair value of a share of common stock on the grant date. The options typically vest ratably over a three or four year period and expire 10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from the grant date. Stock-based compensation expense for the fair value of the options at their grant date is recognized ratably over the vesting schedule for each separately vesting portion of the award.</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stock options granted during the six months ended December 31, 2017 or 2018. The table below presents stock option activity during the six months ended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forfeited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80,989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December 31, 2018</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12.36</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80,967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options exercised was $23,875 and $1,501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2018, respectively, and $27,255 and $13,704 during the six months ended December 31, 2017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respectively. At December 31, 2018, there was $60 of total unrecognized compensation cost, net of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forfeitures, related to unvested stock options granted under the Plan. That cost is expected to be recognized over a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period of 0.62 years.</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 The following table represents restricted stock unit activity during the six months ended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2018</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December 31, 2018</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At December 31, 2018, there was $53,147 of total unrecognized compensation cost, net of estimated forfeitures, related to unvested restricted stock units granted. That cost is expected to be recognized over a weighted average period of 1.95 years.</w:t>
      </w:r>
    </w:p>
    <w:p>
      <w:pPr>
        <w:spacing w:after="0" w:line="181"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December 31, 2018, a total of 1,053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9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 issued 58 shares upon the completion of its six-month offering period ending November 15, 2018. The Company recorded compensation expense attributable to the ESPP of $309 and $446 for the three months ended December 31, 2017 and 2018, respectively, and $648 and $885 for the six months ended December 31, 2017 and 2018, respectively, which is included in the summary of stock-based compensation expense above. The grant date fair value of the ESPP offering periods was estimated using the following weighted average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6720" w:type="dxa"/>
            <w:vAlign w:val="bottom"/>
          </w:tcPr>
          <w:p>
            <w:pPr>
              <w:spacing w:after="0"/>
              <w:rPr>
                <w:sz w:val="18"/>
                <w:szCs w:val="18"/>
                <w:color w:val="auto"/>
              </w:rPr>
            </w:pPr>
          </w:p>
        </w:tc>
        <w:tc>
          <w:tcPr>
            <w:tcW w:w="24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7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28.3 - 39.1 %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33.5 - 38.3 %</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Expected term (years)</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r>
      <w:tr>
        <w:trPr>
          <w:trHeight w:val="230"/>
        </w:trPr>
        <w:tc>
          <w:tcPr>
            <w:tcW w:w="67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1.02 - 1.35 %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2.10 - 2.48 %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$995 and $1,140 for the three months ended December 31, 2017 and 2018, respectively, and $2,106 and $2,534 for the six months ended December 31, 2017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Basic net income per common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Diluted net income per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15,556</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shares used in computing net income per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52,502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52,853</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Employee stock options and restricted stock units</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Borders>
              <w:bottom w:val="single" w:sz="8" w:color="CCEEFF"/>
            </w:tcBorders>
          </w:tcPr>
          <w:p>
            <w:pPr>
              <w:spacing w:after="0"/>
              <w:rPr>
                <w:sz w:val="18"/>
                <w:szCs w:val="18"/>
                <w:color w:val="auto"/>
              </w:rPr>
            </w:pPr>
          </w:p>
        </w:tc>
      </w:tr>
      <w:tr>
        <w:trPr>
          <w:trHeight w:val="21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55,232</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r>
      <w:tr>
        <w:trPr>
          <w:trHeight w:val="581"/>
        </w:trPr>
        <w:tc>
          <w:tcPr>
            <w:tcW w:w="5260" w:type="dxa"/>
            <w:vAlign w:val="bottom"/>
          </w:tcPr>
          <w:p>
            <w:pPr>
              <w:ind w:left="4440"/>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140"/>
          </w:cols>
          <w:pgMar w:left="1420" w:top="125" w:right="1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table summarizes the outstanding restricted stock units and employee stock purchase plan shares as of the balance sheet date that were excluded from the diluted per share calculation for the periods presented because to include them would have been anti-dilutive: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4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Employee stock purchase plan shares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18"/>
                <w:szCs w:val="18"/>
                <w:color w:val="auto"/>
              </w:rPr>
            </w:pPr>
          </w:p>
        </w:tc>
      </w:tr>
      <w:tr>
        <w:trPr>
          <w:trHeight w:val="217"/>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The Company completed the repurchase program during the first quarter of fiscal 2019 and repurchased 442 shares for $34,991. All shares of common stock repurchased were retired.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60" w:firstLine="713"/>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firstLine="713"/>
        <w:spacing w:after="0" w:line="293" w:lineRule="auto"/>
        <w:rPr>
          <w:sz w:val="20"/>
          <w:szCs w:val="20"/>
          <w:color w:val="auto"/>
        </w:rPr>
      </w:pPr>
      <w:r>
        <w:rPr>
          <w:rFonts w:ascii="Arial" w:cs="Arial" w:eastAsia="Arial" w:hAnsi="Arial"/>
          <w:sz w:val="16"/>
          <w:szCs w:val="16"/>
          <w:color w:val="auto"/>
        </w:rPr>
        <w:t>The Company recorded income tax expense (benefit) of $(157) and $1,669 for the three months ended December 31, 2017 and 2018, respectively, and $(76) and $(4,138) for the six months ended December 31, 2017 and 2018, respectively. The Company’s effective tax rates for the three and six months ended December 31, 2017 differed from statutory rates primarily due to the existence of a valuation allowance recorded against the preponderance of the net deferred tax assets. The Company’s effective tax rates for the three and six months ended December 31, 2018 differed from statutory rates primarily due to excess tax benefits from employee stock exercises partially offset by various permanent adjustments.</w:t>
      </w:r>
    </w:p>
    <w:p>
      <w:pPr>
        <w:spacing w:after="0" w:line="165" w:lineRule="exact"/>
        <w:rPr>
          <w:sz w:val="20"/>
          <w:szCs w:val="20"/>
          <w:color w:val="auto"/>
        </w:rPr>
      </w:pPr>
    </w:p>
    <w:p>
      <w:pPr>
        <w:ind w:right="20" w:firstLine="713"/>
        <w:spacing w:after="0" w:line="268"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The Company established a valuation allowance in fiscal 2014 on all of its net deferred tax assets except for deferred tax liabilities associated with indefinite-lived intangible assets, given that the Company determined that it was more likely than not that the Company would not recognize the benefits of its net operating loss carryforwards prior to their expiration. The Company continued to record a valuation allowance through the first six months of fiscal 2018. In the third quarter of fiscal 2018, management concluded that all of the valuation allowance for the Company’s U.S. federal deferred tax assets and substantially all state deferred tax assets was no longer needed. This was primarily due to three years’ cumulative income through the third quarter of fiscal 2018 and the forecast of future taxable income. As of March 31, 2018, based on the evaluation of positive and negative evidence, management believed it was more likely than not that the net deferred tax assets would be realized for all federal and state purposes with the exception of deferred tax assets associated with certain state tax credits that have a limited carryforward period. As of December 31, 2018, the Company continued to maintain a valuation allowance of $355 for state tax benefits. Such assessment may change in the future as further evidence becomes available.</w:t>
      </w:r>
    </w:p>
    <w:p>
      <w:pPr>
        <w:spacing w:after="0" w:line="188" w:lineRule="exact"/>
        <w:rPr>
          <w:sz w:val="20"/>
          <w:szCs w:val="20"/>
          <w:color w:val="auto"/>
        </w:rPr>
      </w:pPr>
    </w:p>
    <w:p>
      <w:pPr>
        <w:ind w:right="40" w:firstLine="713"/>
        <w:spacing w:after="0" w:line="302" w:lineRule="auto"/>
        <w:rPr>
          <w:sz w:val="20"/>
          <w:szCs w:val="20"/>
          <w:color w:val="auto"/>
        </w:rPr>
      </w:pPr>
      <w:r>
        <w:rPr>
          <w:rFonts w:ascii="Arial" w:cs="Arial" w:eastAsia="Arial" w:hAnsi="Arial"/>
          <w:sz w:val="16"/>
          <w:szCs w:val="16"/>
          <w:color w:val="auto"/>
        </w:rPr>
        <w:t>On December 22, 2017, the Tax Cuts and Jobs Act of 2017 was signed into law. Over the long term, the Company generally expects to benefit from the lower statutory rates provided by the Act. The Company operates solely in the United States; therefore, the international provisions of the Act do not apply. In accordance with ASC 740, during the second quarter of fiscal 2018, the Company modified its current federal statutory rate for the year to account for the rate change.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firstLine="713"/>
        <w:spacing w:after="0" w:line="255" w:lineRule="auto"/>
        <w:rPr>
          <w:sz w:val="20"/>
          <w:szCs w:val="20"/>
          <w:color w:val="auto"/>
        </w:rPr>
      </w:pPr>
      <w:r>
        <w:rPr>
          <w:rFonts w:ascii="Arial" w:cs="Arial" w:eastAsia="Arial" w:hAnsi="Arial"/>
          <w:sz w:val="18"/>
          <w:szCs w:val="18"/>
          <w:color w:val="auto"/>
        </w:rPr>
        <w:t>In December 2017, the staff of the SEC issued guidance under Staff Accounting Bulletin No. 118 (later codified into ASU 2018-05), “Income Tax Accounting Implications of the Tax Cuts and Jobs Act,” allowing taxpayers to record provisional amounts for reasonable estimates when they do not have the necessary information available, prepared or analyzed in reasonable detail to complete their accounting for certain income tax effects of the Tax Act. The SEC also issued rules that would allow for a measurement period of up to one year after the enactment date of the Tax Act to finalize the related tax impacts. The Company’s analysis is now complete with no additional adjustments made for the three months ended December 31, 2018.</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rates, we may experience delays in our sales cycles, increased pressure from prospective customers to offer discounts and increased pressure from existing customers to renew expiring recurring revenue agreements for lower amounts.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such wholly owned subsidiaries’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$83.1 million for the three months ended December 31, 2017 to $104.7 million for the three months ended December 31, 2018, representing a 26% year-over year increase. Recurring revenue increased from $162.0 million for the six months ended December 31, 2017 to $204.0 million for the six months ended December 31, 2018, representing a 26% year-over-year increase. Recurring revenue represented 97% and 98% of total revenue during both the three months and six months ended December 31, 2017 and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before interest expense, income tax expense (benefit), depreciation and amortization expense and stock-based compensation expense and employer payroll taxes related to stock releases and option exercises. The table below sets forth our Adjusted Gross Profit, Adjusted Recurring Gross Profit and Adjusted EBITDA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8"/>
          </w:tcPr>
          <w:p>
            <w:pPr>
              <w:jc w:val="center"/>
              <w:ind w:left="2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3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$53,621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$74,871</w:t>
            </w:r>
          </w:p>
        </w:tc>
        <w:tc>
          <w:tcPr>
            <w:tcW w:w="1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$ 104,732</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$ 145,241</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$61,504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9"/>
              </w:rPr>
              <w:t>$78,837</w:t>
            </w:r>
          </w:p>
        </w:tc>
        <w:tc>
          <w:tcPr>
            <w:tcW w:w="1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7"/>
              </w:rPr>
              <w:t>$ 120,450</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4"/>
              </w:rPr>
              <w:t>$ 154,165</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$26,100</w:t>
            </w:r>
          </w:p>
        </w:tc>
        <w:tc>
          <w:tcPr>
            <w:tcW w:w="16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29,837</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49,363</w:t>
            </w:r>
          </w:p>
        </w:tc>
        <w:tc>
          <w:tcPr>
            <w:tcW w:w="40" w:type="dxa"/>
            <w:vAlign w:val="bottom"/>
            <w:shd w:val="clear" w:color="auto" w:fill="CCEEFF"/>
          </w:tcPr>
          <w:p>
            <w:pPr>
              <w:spacing w:after="0"/>
              <w:rPr>
                <w:sz w:val="18"/>
                <w:szCs w:val="18"/>
                <w:color w:val="auto"/>
              </w:rPr>
            </w:pPr>
          </w:p>
        </w:tc>
      </w:tr>
      <w:tr>
        <w:trPr>
          <w:trHeight w:val="355"/>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8"/>
          </w:tcPr>
          <w:p>
            <w:pPr>
              <w:jc w:val="center"/>
              <w:ind w:left="2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3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$49,164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9"/>
              </w:rPr>
              <w:t>$69,134</w:t>
            </w:r>
          </w:p>
        </w:tc>
        <w:tc>
          <w:tcPr>
            <w:tcW w:w="16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95,705</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4"/>
              </w:rPr>
              <w:t>$ 133,696</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40" w:type="dxa"/>
            <w:vAlign w:val="bottom"/>
            <w:shd w:val="clear" w:color="auto" w:fill="CCEEFF"/>
          </w:tcPr>
          <w:p>
            <w:pPr>
              <w:spacing w:after="0"/>
              <w:rPr>
                <w:sz w:val="18"/>
                <w:szCs w:val="18"/>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2,915</w:t>
            </w:r>
          </w:p>
        </w:tc>
        <w:tc>
          <w:tcPr>
            <w:tcW w:w="40" w:type="dxa"/>
            <w:vAlign w:val="bottom"/>
          </w:tcPr>
          <w:p>
            <w:pPr>
              <w:spacing w:after="0"/>
              <w:rPr>
                <w:sz w:val="20"/>
                <w:szCs w:val="20"/>
                <w:color w:val="auto"/>
              </w:rPr>
            </w:pPr>
          </w:p>
        </w:tc>
      </w:tr>
      <w:tr>
        <w:trPr>
          <w:trHeight w:val="217"/>
        </w:trPr>
        <w:tc>
          <w:tcPr>
            <w:tcW w:w="5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53,621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74,871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$ 104,732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$ 145,241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600" w:type="dxa"/>
            <w:vAlign w:val="bottom"/>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65"/>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4"/>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8"/>
          </w:tcPr>
          <w:p>
            <w:pPr>
              <w:ind w:lef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3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Reconciliation from Total Recurring Revenues to Adjusted Recurring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$83,075</w:t>
            </w:r>
          </w:p>
        </w:tc>
        <w:tc>
          <w:tcPr>
            <w:tcW w:w="940" w:type="dxa"/>
            <w:vAlign w:val="bottom"/>
            <w:gridSpan w:val="8"/>
          </w:tcPr>
          <w:p>
            <w:pPr>
              <w:jc w:val="right"/>
              <w:spacing w:after="0"/>
              <w:rPr>
                <w:sz w:val="20"/>
                <w:szCs w:val="20"/>
                <w:color w:val="auto"/>
              </w:rPr>
            </w:pPr>
            <w:r>
              <w:rPr>
                <w:rFonts w:ascii="Arial" w:cs="Arial" w:eastAsia="Arial" w:hAnsi="Arial"/>
                <w:sz w:val="18"/>
                <w:szCs w:val="18"/>
                <w:color w:val="auto"/>
              </w:rPr>
              <w:t>$104,740</w:t>
            </w:r>
          </w:p>
        </w:tc>
        <w:tc>
          <w:tcPr>
            <w:tcW w:w="1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7"/>
              </w:rPr>
              <w:t>$ 161,986</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4"/>
              </w:rPr>
              <w:t>$ 204,003</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60,437</w:t>
            </w:r>
          </w:p>
        </w:tc>
        <w:tc>
          <w:tcPr>
            <w:tcW w:w="40" w:type="dxa"/>
            <w:vAlign w:val="bottom"/>
            <w:shd w:val="clear" w:color="auto" w:fill="CCEEFF"/>
          </w:tcPr>
          <w:p>
            <w:pPr>
              <w:spacing w:after="0"/>
              <w:rPr>
                <w:sz w:val="18"/>
                <w:szCs w:val="18"/>
                <w:color w:val="auto"/>
              </w:rPr>
            </w:pPr>
          </w:p>
        </w:tc>
      </w:tr>
      <w:tr>
        <w:trPr>
          <w:trHeight w:val="210"/>
        </w:trPr>
        <w:tc>
          <w:tcPr>
            <w:tcW w:w="560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57,437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73,534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112,257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143,566</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40" w:type="dxa"/>
            <w:vAlign w:val="bottom"/>
            <w:shd w:val="clear" w:color="auto" w:fill="CCEEFF"/>
          </w:tcPr>
          <w:p>
            <w:pPr>
              <w:spacing w:after="0"/>
              <w:rPr>
                <w:sz w:val="18"/>
                <w:szCs w:val="18"/>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20"/>
                <w:szCs w:val="20"/>
                <w:color w:val="auto"/>
              </w:rPr>
            </w:pPr>
          </w:p>
        </w:tc>
      </w:tr>
      <w:tr>
        <w:trPr>
          <w:trHeight w:val="217"/>
        </w:trPr>
        <w:tc>
          <w:tcPr>
            <w:tcW w:w="5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61,504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78,837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$ 120,450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$ 154,165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10"/>
          </w:tcPr>
          <w:p>
            <w:pPr>
              <w:ind w:left="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10"/>
          </w:tcPr>
          <w:p>
            <w:pPr>
              <w:ind w:left="3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60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520" w:type="dxa"/>
            <w:vAlign w:val="bottom"/>
            <w:tcBorders>
              <w:top w:val="single" w:sz="8" w:color="auto"/>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10"/>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w w:val="86"/>
              </w:rPr>
              <w:t>431</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   974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$ 15,556</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8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(4,138)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6,765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8,569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13,438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16,801</w:t>
            </w:r>
          </w:p>
        </w:tc>
        <w:tc>
          <w:tcPr>
            <w:tcW w:w="40" w:type="dxa"/>
            <w:vAlign w:val="bottom"/>
          </w:tcPr>
          <w:p>
            <w:pPr>
              <w:spacing w:after="0"/>
              <w:rPr>
                <w:sz w:val="18"/>
                <w:szCs w:val="18"/>
                <w:color w:val="auto"/>
              </w:rPr>
            </w:pPr>
          </w:p>
        </w:tc>
      </w:tr>
      <w:tr>
        <w:trPr>
          <w:trHeight w:val="210"/>
        </w:trPr>
        <w:tc>
          <w:tcPr>
            <w:tcW w:w="5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15,942</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14,336</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6200" w:type="dxa"/>
            <w:vAlign w:val="bottom"/>
            <w:gridSpan w:val="4"/>
          </w:tcPr>
          <w:p>
            <w:pPr>
              <w:spacing w:after="0" w:line="201" w:lineRule="exact"/>
              <w:rPr>
                <w:sz w:val="20"/>
                <w:szCs w:val="20"/>
                <w:color w:val="auto"/>
              </w:rPr>
            </w:pPr>
            <w:r>
              <w:rPr>
                <w:rFonts w:ascii="Arial" w:cs="Arial" w:eastAsia="Arial" w:hAnsi="Arial"/>
                <w:sz w:val="18"/>
                <w:szCs w:val="18"/>
                <w:color w:val="auto"/>
                <w:w w:val="96"/>
              </w:rPr>
              <w:t>Stock-based compensation expense and employer payroll taxes related to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releases and option exercises</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8,206</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10,158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15,501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21,144</w:t>
            </w:r>
          </w:p>
        </w:tc>
        <w:tc>
          <w:tcPr>
            <w:tcW w:w="40" w:type="dxa"/>
            <w:vAlign w:val="bottom"/>
          </w:tcPr>
          <w:p>
            <w:pPr>
              <w:spacing w:after="0"/>
              <w:rPr>
                <w:sz w:val="20"/>
                <w:szCs w:val="20"/>
                <w:color w:val="auto"/>
              </w:rPr>
            </w:pPr>
          </w:p>
        </w:tc>
      </w:tr>
      <w:tr>
        <w:trPr>
          <w:trHeight w:val="217"/>
        </w:trPr>
        <w:tc>
          <w:tcPr>
            <w:tcW w:w="5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15,245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26,100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29,837</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49,363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such, the number of client employees on our system is not a good indicator of our financial results in any period. Recurring fees attributable to our cloud-based payroll and HCM solutions accounted for 95% of our total revenues during both the three and six months ended December 31, 2017 and 94% of our total revenues during both the three and six months ended December 31, 2018.</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the majority of our agreements with clients are generally cancellable by the client on 60 days’ notice or less, we began entering into term arrangements in fiscal 2018, which are generally two years long.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Implementation services and other revenues primarily consist of implementation fees charged to new clients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With the adoption of Topic 606, we defer implementation fees related to our proprietary products over a period generally up to 24 months, which previously were recognized upon completion. Refer to Note 2 of the Notes to the Unaudited Consolidated Financial Statements for additional information regarding the adoption of Topic 606.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$3.3 million and $4.4 million of capitalized internal-use software costs during the three months ended December 31, 2017 and 2018, respectively, and $6.7 million and $8.6 million of capitalized internal-use software costs during the six months ended December 31, 2017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Cost of implementation services and other consists primarily of employee-related expenses, including wages, stock-based compensation, bonuses and benefits involved in the implementation of our payroll and other HCM solutions for new clients. With the adoption of Topic 606, cost of implementation services related to our proprietary products are capitalized and amortized over a period of 7 years, which previously were expensed as incurred. We intend to grow our business through acquisition of new clients, and doing so will require increased personnel to implement our solutions. Therefore, our cost of implementation services and other is expected to increase in absolute dollars for the foreseeable future. Refer to Note 2 of the Notes to the Unaudited Consolidated Financial Statements for additional information regarding the adoption of Topic 606.</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Sales and marketing expenses consist primarily of employee-related expenses for our direct sales and marketing staff, including wages, commissions, stock-based compensation, bonuses and benefits, marketing expenses and other related costs. With the adoption of Topic 606, we capitalize certain selling and commission costs related to new contracts or purchases of additional services by our existing clients, which were previously expensed as incurred. Commissions are typically paid within two months after the start of service. Bonuses paid to sales staff for attainment of certain annual performance criteria are accrued in the fiscal year in which they are earned and are subsequently paid annually in the first fiscal quarter of the following year. We generally recognize these costs over a period of 7 years. Refer to Note 2 of the Notes to the Unaudited Consolidated Financial Statements for additional information regarding the adoption of Topic 606.</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2017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ind w:right="3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$ 10,699</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18,169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24,198</w:t>
            </w:r>
          </w:p>
        </w:tc>
        <w:tc>
          <w:tcPr>
            <w:tcW w:w="40" w:type="dxa"/>
            <w:vAlign w:val="bottom"/>
          </w:tcPr>
          <w:p>
            <w:pPr>
              <w:spacing w:after="0"/>
              <w:rPr>
                <w:sz w:val="18"/>
                <w:szCs w:val="18"/>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26,264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$ 34,897</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 of property and equipment.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81,292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100,275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196,036</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104,740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204,003</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86,004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107,204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167,504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207,708</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60,437</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36,840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74,012</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49,164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133,696</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52,988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45,707</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49,031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122,893</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10,803</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11,418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40" w:type="dxa"/>
            <w:vAlign w:val="bottom"/>
            <w:shd w:val="clear" w:color="auto" w:fill="CCEEFF"/>
          </w:tcPr>
          <w:p>
            <w:pPr>
              <w:spacing w:after="0"/>
              <w:rPr>
                <w:sz w:val="18"/>
                <w:szCs w:val="18"/>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15,556</w:t>
            </w:r>
          </w:p>
        </w:tc>
        <w:tc>
          <w:tcPr>
            <w:tcW w:w="4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vMerge w:val="restart"/>
          </w:tcPr>
          <w:p>
            <w:pPr>
              <w:jc w:val="right"/>
              <w:ind w:right="29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tcPr>
          <w:p>
            <w:pPr>
              <w:jc w:val="right"/>
              <w:ind w:right="4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4"/>
          </w:tcPr>
          <w:p>
            <w:pPr>
              <w:jc w:val="right"/>
              <w:ind w:right="10"/>
              <w:spacing w:after="0"/>
              <w:rPr>
                <w:sz w:val="20"/>
                <w:szCs w:val="20"/>
                <w:color w:val="auto"/>
              </w:rPr>
            </w:pPr>
            <w:r>
              <w:rPr>
                <w:rFonts w:ascii="Arial" w:cs="Arial" w:eastAsia="Arial" w:hAnsi="Arial"/>
                <w:sz w:val="18"/>
                <w:szCs w:val="18"/>
                <w:color w:val="auto"/>
                <w:w w:val="96"/>
              </w:rPr>
              <w:t>2 %</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4"/>
          </w:tcPr>
          <w:p>
            <w:pPr>
              <w:jc w:val="right"/>
              <w:ind w:right="10"/>
              <w:spacing w:after="0"/>
              <w:rPr>
                <w:sz w:val="20"/>
                <w:szCs w:val="20"/>
                <w:color w:val="auto"/>
              </w:rPr>
            </w:pPr>
            <w:r>
              <w:rPr>
                <w:rFonts w:ascii="Arial" w:cs="Arial" w:eastAsia="Arial" w:hAnsi="Arial"/>
                <w:sz w:val="18"/>
                <w:szCs w:val="18"/>
                <w:color w:val="auto"/>
                <w:w w:val="96"/>
              </w:rPr>
              <w:t>3 %</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6"/>
          </w:tcPr>
          <w:p>
            <w:pPr>
              <w:jc w:val="right"/>
              <w:ind w:right="1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6"/>
          </w:tcPr>
          <w:p>
            <w:pPr>
              <w:jc w:val="right"/>
              <w:ind w:right="1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25 %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6"/>
          </w:tcPr>
          <w:p>
            <w:pPr>
              <w:jc w:val="right"/>
              <w:ind w:right="10"/>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20 %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6"/>
              </w:rPr>
              <w:t>0 %</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6"/>
              </w:rPr>
              <w:t>0 %</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color w:val="auto"/>
                <w:w w:val="93"/>
              </w:rPr>
              <w:t>Comparison of Three Months Ended December 31, 2017 and 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10"/>
          </w:tcPr>
          <w:p>
            <w:pPr>
              <w:ind w:left="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vMerge w:val="restart"/>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81,292</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$ 100,275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$ 18,983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95 %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93"/>
              </w:rPr>
              <w:t>150 %</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Recurring fees for the three months ended December 31, 2018 increased by $19.0 million, or 23%, to $100.3 million from $81.3 million for the three months ended December 31, 2017.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Interest income on funds held for clients for the three months ended December 31, 2018 increased by $2.7 million, or 150% to $4.5 million from $1.8 million for the three months ended December 31, 2017. Interest income on funds held for clients increased primarily as a result of higher average interest rates, increased average daily balances for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funds held due to the addition of new clients to our client base and interest income from investing a larger portion of our funds held for clients in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Implementation services and other revenue for the three months ended December 31, 2018 decreased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$0.5 million, or 16%, to $2.5 million from $2.9 million for the three months ended December 31, 2017. Implementation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services and other revenue decreased primarily due to the change in the treatment of implementation fees related to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proprietary products. Historically, we have recognized implementation fees upon completion. Starting July 1, 2018,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implementation fees related to our proprietary products are not separate performance obligations,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the related implementation fees are deferred and amortized generally over a period up to 24 months. Refer to Note 2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to the Unaudited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$ 25,638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$ 31,206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5,568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$ 11,202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6,864</w:t>
            </w:r>
          </w:p>
        </w:tc>
        <w:tc>
          <w:tcPr>
            <w:tcW w:w="2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4"/>
              </w:rPr>
              <w:t>$ (4,338)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recurring revenues for the three months ended December 31, 2018 increased by $5.6 million, or 22%,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$31.2 million from $25.6 million for the three months ended December 31, 2017. Cost of recurring revenues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increased primarily as a result of the continued growth of our business, in particular, $3.0 million in additional 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costs resulting from additional personnel necessary to provide services to new and existing clients, $1.3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delivery and other processing-related fees and $1.1 million in increased internal-use software amortization. Recurring gross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 was 69% and 70% for the three months ended December 31, 2017 and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implementation services and other for the three months ended December 31, 2018 decreased by</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$4.3 million, or 39%, to $6.9 million from $11.2 million for the three months ended December 31, 2017. The decrease in cost of implementation services and other was primarily due to the deferral of certain implementation costs over a period of 7 years related to our proprietary products upon the adoption of Topic 606 on July 1, 2018, partially offset by additional employee-related costs resulting from additional personnel. Refer to Note 2 of the Notes to the Unaudited Consolidated Financial Statements for additional information regarding the adoption of Topic 606.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$ 21,598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$ 26,570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4,972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25 %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Sales and marketing expenses for the three months ended December 31, 2018 increased by $5.0 million, or 23%, to $26.6 million from $21.6 million for the three months ended December 31, 2017. The increase in sales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marketing expense was primarily the result of additional employee-related costs from the expansion of our sales team (including management, sales engineers, direct sales, sales administration and sales lead generation support), partially offset by the deferral of certain selling and commissions costs over a period of 7 years related to the adoption of Topic 606 on July 1, 2018. Refer to Note 2 of the Notes to the Unaudited Consolidated Financial Statements for additional information regarding the adoption of Topic 606.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9,274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$ 12,798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3,524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Research and development expenses for the three months ended December 31, 2018 increased by $3.5 million, or 38%, to $12.8 million from $9.3 million for the three months ended December 31, 2017. The increase in research and development expenses was primarily the result of $4.0 million of additional employee-related costs related to additional development personnel and $0.7 million in additional stock-based compensation associated with our equity incentive plan, partially offset by higher period-over-period capitalized internal-use software costs of $1.4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$ 18,159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$ 22,739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General and administrative expenses for the three months ended December 31, 2018 increased by $4.6 million, or 25%, to $22.7 million from $18.2 million for the three months ended December 31, 2017. The increase in general and administrative expense was primarily the result of $1.8 million of additional employee-related costs and $1.8 million in additional stock-based compensation associated with our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income for the three months ended December 31, 2018 increased by $0.2 million as compared to the three months ended December 31, 2017. The increase in other income was primarily due to interest income earned on our cash and cash equivalents and corporate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1,669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1,826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0 %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240" w:firstLine="713"/>
        <w:spacing w:after="0" w:line="342" w:lineRule="auto"/>
        <w:rPr>
          <w:sz w:val="20"/>
          <w:szCs w:val="20"/>
          <w:color w:val="auto"/>
        </w:rPr>
      </w:pPr>
      <w:r>
        <w:rPr>
          <w:rFonts w:ascii="Arial" w:cs="Arial" w:eastAsia="Arial" w:hAnsi="Arial"/>
          <w:sz w:val="16"/>
          <w:szCs w:val="16"/>
          <w:color w:val="auto"/>
        </w:rPr>
        <w:t>The difference in income tax expense (benefit) of $1.8 million for the three months ended December 31, 2018 as compared to the three months ended December 31, 2017 was primarily due to the provision for income taxes through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December 31, 2018 of $2.3 million, partially offset by a $0.5 million benefit from excess benefits realized from employee stock exercises.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2017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158,586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196,036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$ 37,450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4,567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0"/>
              </w:rPr>
              <w:t>Implementation services and other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 (1,813)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120" w:type="dxa"/>
            <w:vAlign w:val="bottom"/>
          </w:tcPr>
          <w:p>
            <w:pPr>
              <w:jc w:val="center"/>
              <w:ind w:right="1550"/>
              <w:spacing w:after="0"/>
              <w:rPr>
                <w:sz w:val="20"/>
                <w:szCs w:val="20"/>
                <w:color w:val="auto"/>
              </w:rPr>
            </w:pPr>
            <w:r>
              <w:rPr>
                <w:rFonts w:ascii="Arial" w:cs="Arial" w:eastAsia="Arial" w:hAnsi="Arial"/>
                <w:sz w:val="18"/>
                <w:szCs w:val="18"/>
                <w:color w:val="auto"/>
                <w:w w:val="88"/>
              </w:rPr>
              <w:t>Percentage of total revenues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Recurring fees for the six months ended December 31, 2018 increased by $37.5 million, or 24%, to $196.0 million from $158.6 million for the six months ended December 31, 2017.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income on funds held for clients for the six months ended December 31, 2018 increased by $4.6 million, or 134% to $8.0 million from $3.4 million for the six months ended December 31, 2017. Interest income on funds held for clients increased primarily as a result of higher average interest rates, increased average daily balances for funds held due to the addition of new clients to our client base and interest income from investing a larger portion of our funds held for clients in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Implementation services and other revenue for the six months ended December 31, 2018 decreased by $1.8 million, or 33%, to $3.7 million from $5.5 million for the six months ended December 31, 2017. Implementation services and other revenue decreased primarily due to the change in the treatment of implementation fees related to our proprietary products.</w:t>
      </w:r>
    </w:p>
    <w:p>
      <w:pPr>
        <w:ind w:right="120"/>
        <w:spacing w:after="0" w:line="254" w:lineRule="auto"/>
        <w:rPr>
          <w:sz w:val="20"/>
          <w:szCs w:val="20"/>
          <w:color w:val="auto"/>
        </w:rPr>
      </w:pPr>
      <w:r>
        <w:rPr>
          <w:rFonts w:ascii="Arial" w:cs="Arial" w:eastAsia="Arial" w:hAnsi="Arial"/>
          <w:sz w:val="18"/>
          <w:szCs w:val="18"/>
          <w:color w:val="auto"/>
        </w:rPr>
        <w:t>Historically, we have recognized implementation fees upon completion. Starting July 1, 2018, we concluded that implementation fees related to our proprietary products are not separate performance obligations, and as a result, the related implementation fees are deferred and amortized generally over a period up to 24 months. Refer to Note 2 of the Notes to the Unaudited Consolidated Financial Statements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1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$ 49,729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$ 60,437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$ 10,708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$ 22,070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4"/>
              </w:rPr>
              <w:t>$ 13,575</w:t>
            </w:r>
          </w:p>
        </w:tc>
        <w:tc>
          <w:tcPr>
            <w:tcW w:w="2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4"/>
              </w:rPr>
              <w:t>$ (8,495)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Percentage of implementation services and other</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08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Cost of recurring revenues for the six months ended December 31, 2018 increased by $10.7 million, or 22%, to $60.4 million from $49.7 million for the six months ended December 31, 2017. Cost of recurring revenues increased primarily as a result of the continued growth of our business, in particular, $5.5 million in additional employee-related costs resulting from additional personnel necessary to provide services to new and existing clients, $2.9 million in delivery and other processing-related fees and $1.9 million in increased internal-use software amortization. Recurring gross margin was 69% and 70% for the six months ended December 31, 2017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Cost of implementation services and other for the six months ended December 31, 2018 decreased by $8.5 million, or 38%, to $13.6 million from $22.1 million for the six months ended December 31, 2017. The decrease in cost of implementation services and other was primarily due to the deferral of certain implementation costs over a period of 7 years related to our proprietary products upon the adoption of Topic 606 on July 1, 2018, partially offset by additional employee-related costs resulting from additional personnel. Refer to Note 2 of the Notes to the Unaudited Consolidated Financial Statements for additional information regarding the adoption of Topic 606.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$ 42,778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$ 52,988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$ 10,210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Sales and marketing expenses for the six months ended December 31, 2018 increased by $10.2 million, or 24%, to $53.0 million from $42.8 million for the six months ended December 31, 2017. The increase in sales and marketing expense was primarily the result of additional employee-related costs from the expansion of our sales team (including management, sales engineers, direct sales, sales administration and sales lead generation support), partially offset by the deferral of certain selling and commissions costs over a period of 7 years related to the adoption of Topic 606 on July 1, 2018. Refer to Note 2 of the Notes to the Unaudited Consolidated Financial Statements for additional information regarding the adoption of Topic 606.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9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$ 18,169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$ 24,198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$ 6,029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Research and development expenses for the six months ended December 31, 2018 increased by $6.0 million, or 33%, to $24.2 million from $18.2 million for the six months ended December 31, 2017. The increase in research and development expenses was primarily the result of $7.0 million of additional employee-related costs related to additional development personnel and $1.3 million in additional stock-based compensation associated with our equity incentive plan, partially offset by higher period-over-period capitalized internal-use software costs of $2.5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$ 34,110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$ 45,707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$ 11,597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20 %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2180" w:type="dxa"/>
            <w:vAlign w:val="bottom"/>
          </w:tcPr>
          <w:p>
            <w:pPr>
              <w:jc w:val="right"/>
              <w:ind w:right="71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General and administrative expenses for the six months ended December 31, 2018 increased by $11.6 million, or 34%, to $45.7 million from $34.1 million for the six months ended December 31, 2017. The increase in general and administrative expense was primarily the result of $4.9 million of additional employee-related costs and $4.2 million in additional stock-based compensation associated with our equity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Other income for the six months ended December 31, 2018 increased by $0.4 million as compared to the six months ended December 31, 2017. The increase in other income was primarily due to interest income earned on our cash and cash equivalents and corporate investments, partially offset by loss on the disposal of property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Six Months Ended</w:t>
            </w:r>
          </w:p>
        </w:tc>
        <w:tc>
          <w:tcPr>
            <w:tcW w:w="40" w:type="dxa"/>
            <w:vAlign w:val="bottom"/>
          </w:tcPr>
          <w:p>
            <w:pPr>
              <w:spacing w:after="0"/>
              <w:rPr>
                <w:sz w:val="14"/>
                <w:szCs w:val="14"/>
                <w:color w:val="auto"/>
              </w:rPr>
            </w:pPr>
          </w:p>
        </w:tc>
        <w:tc>
          <w:tcPr>
            <w:tcW w:w="10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(4,138)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(4,062)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5,345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713"/>
        <w:spacing w:after="0" w:line="312" w:lineRule="auto"/>
        <w:rPr>
          <w:sz w:val="20"/>
          <w:szCs w:val="20"/>
          <w:color w:val="auto"/>
        </w:rPr>
      </w:pPr>
      <w:r>
        <w:rPr>
          <w:rFonts w:ascii="Arial" w:cs="Arial" w:eastAsia="Arial" w:hAnsi="Arial"/>
          <w:sz w:val="16"/>
          <w:szCs w:val="16"/>
          <w:color w:val="auto"/>
        </w:rPr>
        <w:t>The difference in income tax expense (benefit) of $4.1 million for the six months ended December 31, 2018 as compared to the six months ended December 31, 2017 was primarily due to $7.4 million benefit from excess benefits realized from employee stock exercises, partially offset by the provision for income taxes through December 31, 2018 of $3.3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changed our significant accounting policy for revenue recognition related to our adoption of Topic 606 on July 1, 2018. Refer to Note 2 of the Notes to the Unaudited Consolidated Financial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Statements for additional detail around our revenue recognition policy. Our critical accounting policies and use of estimates are disclosed in our audited consolidated financial statements for the year ended June 30, 2018 included in our Annual Report on Form 10-K filed with the SEC on August 10,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The recently completed share repurchase program was funded by our cash flows from operations. As of December 31, 2018, our principal sources of liquidity were $84.1 million of cash and cash equivalents and $20.8 million of total corporate investments.</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and seek to establish borrowing capacity to satisfy those needs.</w:t>
      </w:r>
    </w:p>
    <w:p>
      <w:pPr>
        <w:spacing w:after="0" w:line="19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 portions of our excess cash and cash equivalents and funds held for clients in highly liquid, investment-grade marketable securities. Funds held for clients are used for the repayment of client fund obligations.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Six Months Ended December 31,</w:t>
            </w:r>
          </w:p>
        </w:tc>
      </w:tr>
      <w:tr>
        <w:trPr>
          <w:trHeight w:val="142"/>
        </w:trPr>
        <w:tc>
          <w:tcPr>
            <w:tcW w:w="59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(117,054)</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88,879</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(9,425)</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tcPr>
          <w:p>
            <w:pPr>
              <w:spacing w:after="0"/>
              <w:rPr>
                <w:sz w:val="18"/>
                <w:szCs w:val="18"/>
                <w:color w:val="auto"/>
              </w:rPr>
            </w:pPr>
          </w:p>
        </w:tc>
      </w:tr>
      <w:tr>
        <w:trPr>
          <w:trHeight w:val="21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33,159</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Repurchases of common shares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(34,991)</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80" w:type="dxa"/>
            <w:vAlign w:val="bottom"/>
            <w:shd w:val="clear" w:color="auto" w:fill="CCEEFF"/>
          </w:tcPr>
          <w:p>
            <w:pPr>
              <w:spacing w:after="0"/>
              <w:rPr>
                <w:sz w:val="18"/>
                <w:szCs w:val="18"/>
                <w:color w:val="auto"/>
              </w:rPr>
            </w:pPr>
          </w:p>
        </w:tc>
      </w:tr>
      <w:tr>
        <w:trPr>
          <w:trHeight w:val="210"/>
        </w:trPr>
        <w:tc>
          <w:tcPr>
            <w:tcW w:w="5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(17,801)</w:t>
            </w:r>
          </w:p>
        </w:tc>
        <w:tc>
          <w:tcPr>
            <w:tcW w:w="80" w:type="dxa"/>
            <w:vAlign w:val="bottom"/>
            <w:tcBorders>
              <w:bottom w:val="single" w:sz="8" w:color="CCEEFF"/>
            </w:tcBorders>
          </w:tcPr>
          <w:p>
            <w:pPr>
              <w:spacing w:after="0"/>
              <w:rPr>
                <w:sz w:val="18"/>
                <w:szCs w:val="18"/>
                <w:color w:val="auto"/>
              </w:rPr>
            </w:pPr>
          </w:p>
        </w:tc>
      </w:tr>
      <w:tr>
        <w:trPr>
          <w:trHeight w:val="23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635"/>
        </w:trPr>
        <w:tc>
          <w:tcPr>
            <w:tcW w:w="5920" w:type="dxa"/>
            <w:vAlign w:val="bottom"/>
          </w:tcPr>
          <w:p>
            <w:pPr>
              <w:ind w:left="4440"/>
              <w:spacing w:after="0"/>
              <w:rPr>
                <w:sz w:val="20"/>
                <w:szCs w:val="20"/>
                <w:color w:val="auto"/>
              </w:rPr>
            </w:pPr>
            <w:r>
              <w:rPr>
                <w:rFonts w:ascii="Arial" w:cs="Arial" w:eastAsia="Arial" w:hAnsi="Arial"/>
                <w:sz w:val="18"/>
                <w:szCs w:val="18"/>
                <w:color w:val="auto"/>
              </w:rPr>
              <w:t>35</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59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Net cash provided by operating activities was $34.2 million and $34.3 million for the six months ended December 31, 2017 and 2018, respectively. The increase in net cash provided by operating activities from the six months ended December 31, 2017 to the six months ended December 31, 2018 was primarily due to improved operating results after adjusting for non-cash items including stock-based compensation expense, depreciation and amortization expense and deferred income tax benefit, partially offset by changes in operating assets and liabilities, mostly driven by changes in deferred contract costs and tenant improvement allowances during the six months ended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240" w:firstLine="648"/>
        <w:spacing w:after="0" w:line="277" w:lineRule="auto"/>
        <w:rPr>
          <w:sz w:val="20"/>
          <w:szCs w:val="20"/>
          <w:color w:val="auto"/>
        </w:rPr>
      </w:pPr>
      <w:r>
        <w:rPr>
          <w:rFonts w:ascii="Arial" w:cs="Arial" w:eastAsia="Arial" w:hAnsi="Arial"/>
          <w:sz w:val="18"/>
          <w:szCs w:val="18"/>
          <w:color w:val="auto"/>
        </w:rPr>
        <w:t>Net cash used in investing activities was $424.2 million and $69.6 million for the six months ended December 31, 2017 and 2018, respectively.</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Changes in net cash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fiscal 2018, we processed over $110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our transactions for the foreseeable future. Fluctuations in the net change in funds held for clients’ cash and cash equivalents are also impacted by the timing of purchases and sales and maturities of investments as we invest a portion of the funds held for clients in highly liquid, investment-grade marketable securities. Beginning in July 2018, we also began investing portions of our excess cash in marketable securities.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Excluding the net change in funds held for clients’ cash and cash equivalents and purchases and proceeds from sales and maturities of available-for-sale securities, our net cash used in investing activities was $21.1 million and $17.2 million for the six months ended December 31, 2017 and 2018, respectively. The change in net cash used in investing activities was primarily due to a decrease in lease allowances used for tenant improvements of $5.7 million, partially offset by increased capitalized internal-use software costs of $2.3 million during the six months ended December 31, 2018 as compared to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Net cash provided by (used in) financing activities was $397.6 million and $(17.8) million for the six months ended December 31, 2017 and 2018, respectively. Excluding the net change in client fund obligations, net cash used in financing activities was $5.7 million and $51.0 million for the six months ended December 31, 2017 and 2018, respectively. The change in net cash provided by (used in) financing activities, excluding the net change in client fund obligations, was primarily the result of $35.0 million in repurchases of common shares and an $11.2 million increase in taxes paid related to net share settlement of equity awards during the six months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w w:val="94"/>
              </w:rPr>
              <w:t>Payment Due By Fiscal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6"/>
              </w:rPr>
              <w:t>1</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$19,753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$17,083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$63,666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113,928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20,467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63,666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50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$8.0 million and $7.5 million for the six months ended December 31, 2017 and 2018, respectively, exclusive of capitalized internal-use software costs of $7.1 million and $9.4 million for the same periods,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2018, we had cash and cash equivalents of $84.1 million, corporate investments of $20.8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and funds held for clients of $1,258.8 million. We deposit our cash and cash equivalents and significant portions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funds held for clients in demand deposit accounts with various financial institutions. We invest portions of our excess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funds held for clients in marketable securities including commercial paper, corporate bonds,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 and U.S. treasury securities, which were classified as available-for-sale securities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Our investment policy is focused on generating higher yields from these investments while preserving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However, as a result of our investing activities, we are exposed to changes in interest rates that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 our financial statements.</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December 31, 2018. A 25-basis point decrease in interest rates would have resulted in a $0.1 million increase in the market value of our available-for-sale securities included in funds held for clients as of December 31, 2018. Fluctuations in the value of our available-for-sale securities caused by changes in interest rates are recorded in other comprehensive income and are only realized if we sell the underlying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December 31, 2018,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There were no changes in our internal control over financial reporting during the three-month period covered by this Quarterly Report on Form 10-Q that have materially affected, or are reasonably likely to materially affect, our internal control over financial reporting. Effective July 1, 2018, we adopted Accounting Standard Codification Topic 606, Revenue from Contracts with Customers (“ASC 606”). Changes were made to the relevant business processes and the related control activities in order to monitor and maintain appropriate controls over financial reporting.</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however,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applications.</w:t>
      </w:r>
    </w:p>
    <w:p>
      <w:pPr>
        <w:spacing w:after="0" w:line="10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applications.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recognize our expenses over varying periods based on the nature of the expense. When a client terminates its relationship with us, we may not have derived enough revenue from that client to cover associated implementation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costs. Our expenses fluctuate as a percentage of revenue, and changes in our business generally may not be immediately reflected in our results of operations.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2018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or increase profitability in the future.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generated net income in fiscal 2017, fiscal 2018 and the first six months of fiscal 2019; however, we may not be able to sustain or increase profitability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implement and support new clients. We intend for the foreseeable future to continue to focus predominately on adding new clients, and we also expect to make other significant expenditures and investments in research and development to expand and improve our product offerings and technical infrastructure. We also may not be able to sustain or increase profitability in the future for a number of other unforeseen reasons. Therefore, our profitability may decrease, we may cease to be profitable, or we may incur operating losses in the future.</w:t>
      </w:r>
    </w:p>
    <w:p>
      <w:pPr>
        <w:spacing w:after="0" w:line="16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2018 we processed over $110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applications and adversely affect our business.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For example, in 2016, the European Union (“EU”) and United States agreed to a framework for data transferred from the EU to the United States, called the Privacy Shield, 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8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applications and business reputation and on positive recommendations from our existing clients. Any failure to maintain high-quality client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89"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funds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Enterprise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70"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29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99" w:firstLine="648"/>
        <w:spacing w:after="0" w:line="34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acquisition. We also may not achieve the anticipated benefits from the acquired business due to a number of factors, including:</w:t>
      </w:r>
    </w:p>
    <w:p>
      <w:pPr>
        <w:spacing w:after="0" w:line="170"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January 31, 2019, our directors, executive officers and holders of more than 5% of our common stock, together with their respective affiliates, beneficially owned, in the aggregate, approximately 38.6%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60" w:hanging="325"/>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00" w:right="100" w:hanging="325"/>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January 31, 2019, we had an aggregate of 52,915,940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million, paid $9.4 million for the purchase of substantially all of the assets of BFKMS Inc. and paid $9.5 million for the purchase of substantially all of the assets of Synergy Payroll, LLC.</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information required by this Item is set forth in the Index to Exhibits immediately following this page.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rPr>
            </w:pPr>
            <w:hyperlink r:id="rId67">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6"/>
              </w:rPr>
            </w:pPr>
            <w:hyperlink w:anchor="page65">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2002, by Chief Executive Officer.</w:t>
              </w:r>
            </w:hyperlink>
          </w:p>
        </w:tc>
        <w:tc>
          <w:tcPr>
            <w:tcW w:w="38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340" w:type="dxa"/>
            <w:vAlign w:val="bottom"/>
            <w:gridSpan w:val="2"/>
          </w:tcPr>
          <w:p>
            <w:pPr>
              <w:ind w:left="168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February 7, 2019</w:t>
            </w: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R. Beauchamp</w:t>
            </w:r>
          </w:p>
        </w:tc>
      </w:tr>
      <w:tr>
        <w:trPr>
          <w:trHeight w:val="198"/>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80" w:type="dxa"/>
            <w:vAlign w:val="bottom"/>
          </w:tcPr>
          <w:p>
            <w:pPr>
              <w:ind w:left="168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1"/>
              </w:rPr>
              <w:t>Executive Officer) and Director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February 7, 2019</w:t>
            </w: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80" w:type="dxa"/>
            <w:vAlign w:val="bottom"/>
          </w:tcPr>
          <w:p>
            <w:pPr>
              <w:ind w:left="168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2018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7, 2019</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51"/>
        </w:trPr>
        <w:tc>
          <w:tcPr>
            <w:tcW w:w="5180" w:type="dxa"/>
            <w:vAlign w:val="bottom"/>
          </w:tcPr>
          <w:p>
            <w:pPr>
              <w:ind w:left="4540"/>
              <w:spacing w:after="0" w:line="151" w:lineRule="exact"/>
              <w:rPr>
                <w:sz w:val="20"/>
                <w:szCs w:val="20"/>
                <w:color w:val="auto"/>
              </w:rPr>
            </w:pPr>
            <w:r>
              <w:rPr>
                <w:rFonts w:ascii="Arial" w:cs="Arial" w:eastAsia="Arial" w:hAnsi="Arial"/>
                <w:sz w:val="17"/>
                <w:szCs w:val="17"/>
                <w:b w:val="1"/>
                <w:bCs w:val="1"/>
                <w:color w:val="auto"/>
              </w:rPr>
              <w:t>Name:</w:t>
            </w:r>
          </w:p>
        </w:tc>
        <w:tc>
          <w:tcPr>
            <w:tcW w:w="3880" w:type="dxa"/>
            <w:vAlign w:val="bottom"/>
          </w:tcPr>
          <w:p>
            <w:pPr>
              <w:jc w:val="center"/>
              <w:spacing w:after="0" w:line="151" w:lineRule="exact"/>
              <w:rPr>
                <w:sz w:val="20"/>
                <w:szCs w:val="20"/>
                <w:color w:val="auto"/>
              </w:rPr>
            </w:pPr>
            <w:r>
              <w:rPr>
                <w:rFonts w:ascii="Arial" w:cs="Arial" w:eastAsia="Arial" w:hAnsi="Arial"/>
                <w:sz w:val="17"/>
                <w:szCs w:val="17"/>
                <w:b w:val="1"/>
                <w:bCs w:val="1"/>
                <w:color w:val="auto"/>
                <w:w w:val="94"/>
              </w:rPr>
              <w:t>Steven R. Beauchamp</w:t>
            </w:r>
          </w:p>
        </w:tc>
      </w:tr>
      <w:tr>
        <w:trPr>
          <w:trHeight w:val="203"/>
        </w:trPr>
        <w:tc>
          <w:tcPr>
            <w:tcW w:w="5180" w:type="dxa"/>
            <w:vAlign w:val="bottom"/>
          </w:tcPr>
          <w:p>
            <w:pPr>
              <w:ind w:left="4540"/>
              <w:spacing w:after="0" w:line="202"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r>
      <w:tr>
        <w:trPr>
          <w:trHeight w:val="399"/>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2018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7, 2019</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7, 2019</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540"/>
        <w:spacing w:after="0" w:line="229" w:lineRule="auto"/>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Director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December 31,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February 7, 2019</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lowerLetter"/>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Letter"/>
      <w:start w:val="4"/>
    </w:lvl>
  </w:abstractNum>
  <w:abstractNum w:abstractNumId="8">
    <w:nsid w:val="4E6AFB66"/>
    <w:multiLevelType w:val="hybridMultilevel"/>
    <w:lvl w:ilvl="0">
      <w:lvlJc w:val="left"/>
      <w:lvlText w:val="(%1)"/>
      <w:numFmt w:val="lowerLetter"/>
      <w:start w:val="5"/>
    </w:lvl>
  </w:abstractNum>
  <w:abstractNum w:abstractNumId="9">
    <w:nsid w:val="25E45D32"/>
    <w:multiLevelType w:val="hybridMultilevel"/>
    <w:lvl w:ilvl="0">
      <w:lvlJc w:val="left"/>
      <w:lvlText w:val="(%1)"/>
      <w:numFmt w:val="lowerLetter"/>
      <w:start w:val="6"/>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lvl w:ilvl="1">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7" Type="http://schemas.openxmlformats.org/officeDocument/2006/relationships/hyperlink" Target="http://www.sec.gov/Archives/edgar/data/1591698/000104746914000931/a2218171zex-3_2.htm" TargetMode="External"/><Relationship Id="rId68"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2019-12-28T16:54:43Z</dcterms:created>
  <dcterms:modified xsi:type="dcterms:W3CDTF">2019-12-28T16:54:43Z</dcterms:modified>
</cp:coreProperties>
</file>