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133350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163830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2020</w:t>
      </w:r>
    </w:p>
    <w:p>
      <w:pPr>
        <w:spacing w:after="0" w:line="138"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96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13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153670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47625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46-4066644</w:t>
            </w:r>
          </w:p>
        </w:tc>
        <w:tc>
          <w:tcPr>
            <w:tcW w:w="0" w:type="dxa"/>
            <w:vAlign w:val="bottom"/>
          </w:tcPr>
          <w:p>
            <w:pPr>
              <w:spacing w:after="0"/>
              <w:rPr>
                <w:sz w:val="1"/>
                <w:szCs w:val="1"/>
                <w:color w:val="auto"/>
              </w:rPr>
            </w:pPr>
          </w:p>
        </w:tc>
      </w:tr>
      <w:tr>
        <w:trPr>
          <w:trHeight w:val="149"/>
        </w:trPr>
        <w:tc>
          <w:tcPr>
            <w:tcW w:w="3460" w:type="dxa"/>
            <w:vAlign w:val="bottom"/>
            <w:gridSpan w:val="2"/>
          </w:tcPr>
          <w:p>
            <w:pPr>
              <w:jc w:val="center"/>
              <w:ind w:left="15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46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tcPr>
          <w:p>
            <w:pPr>
              <w:jc w:val="center"/>
              <w:ind w:right="16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82"/>
        </w:trPr>
        <w:tc>
          <w:tcPr>
            <w:tcW w:w="346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vMerge w:val="restart"/>
          </w:tcPr>
          <w:p>
            <w:pPr>
              <w:jc w:val="right"/>
              <w:ind w:right="2308"/>
              <w:spacing w:after="0"/>
              <w:rPr>
                <w:sz w:val="20"/>
                <w:szCs w:val="20"/>
                <w:color w:val="auto"/>
              </w:rPr>
            </w:pPr>
            <w:r>
              <w:rPr>
                <w:rFonts w:ascii="Times New Roman" w:cs="Times New Roman" w:eastAsia="Times New Roman" w:hAnsi="Times New Roman"/>
                <w:sz w:val="14"/>
                <w:szCs w:val="14"/>
                <w:b w:val="1"/>
                <w:bCs w:val="1"/>
                <w:color w:val="auto"/>
              </w:rPr>
              <w:t>60173</w:t>
            </w:r>
          </w:p>
        </w:tc>
        <w:tc>
          <w:tcPr>
            <w:tcW w:w="0" w:type="dxa"/>
            <w:vAlign w:val="bottom"/>
          </w:tcPr>
          <w:p>
            <w:pPr>
              <w:spacing w:after="0"/>
              <w:rPr>
                <w:sz w:val="1"/>
                <w:szCs w:val="1"/>
                <w:color w:val="auto"/>
              </w:rPr>
            </w:pPr>
          </w:p>
        </w:tc>
      </w:tr>
      <w:tr>
        <w:trPr>
          <w:trHeight w:val="150"/>
        </w:trPr>
        <w:tc>
          <w:tcPr>
            <w:tcW w:w="3460" w:type="dxa"/>
            <w:vAlign w:val="bottom"/>
            <w:gridSpan w:val="2"/>
          </w:tcPr>
          <w:p>
            <w:pPr>
              <w:jc w:val="center"/>
              <w:ind w:left="1608"/>
              <w:spacing w:after="0" w:line="151" w:lineRule="exact"/>
              <w:rPr>
                <w:sz w:val="20"/>
                <w:szCs w:val="20"/>
                <w:color w:val="auto"/>
              </w:rPr>
            </w:pPr>
            <w:r>
              <w:rPr>
                <w:rFonts w:ascii="Times New Roman" w:cs="Times New Roman" w:eastAsia="Times New Roman" w:hAnsi="Times New Roman"/>
                <w:sz w:val="14"/>
                <w:szCs w:val="14"/>
                <w:b w:val="1"/>
                <w:bCs w:val="1"/>
                <w:color w:val="auto"/>
              </w:rPr>
              <w:t>Schaumburg, Illinois</w:t>
            </w:r>
          </w:p>
        </w:tc>
        <w:tc>
          <w:tcPr>
            <w:tcW w:w="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900" w:type="dxa"/>
            <w:vAlign w:val="bottom"/>
            <w:gridSpan w:val="6"/>
          </w:tcPr>
          <w:p>
            <w:pPr>
              <w:jc w:val="center"/>
              <w:ind w:right="1780"/>
              <w:spacing w:after="0" w:line="147"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334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0"/>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2"/>
          </w:tcPr>
          <w:p>
            <w:pPr>
              <w:jc w:val="center"/>
              <w:ind w:left="328"/>
              <w:spacing w:after="0" w:line="151" w:lineRule="exact"/>
              <w:rPr>
                <w:sz w:val="20"/>
                <w:szCs w:val="20"/>
                <w:color w:val="auto"/>
              </w:rPr>
            </w:pPr>
            <w:r>
              <w:rPr>
                <w:rFonts w:ascii="Times New Roman" w:cs="Times New Roman" w:eastAsia="Times New Roman" w:hAnsi="Times New Roman"/>
                <w:sz w:val="14"/>
                <w:szCs w:val="14"/>
                <w:b w:val="1"/>
                <w:bCs w:val="1"/>
                <w:color w:val="auto"/>
              </w:rPr>
              <w:t>(847) 463-3200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500" w:type="dxa"/>
            <w:vAlign w:val="bottom"/>
            <w:gridSpan w:val="2"/>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24"/>
                <w:szCs w:val="24"/>
                <w:color w:val="auto"/>
              </w:rPr>
            </w:pPr>
          </w:p>
        </w:tc>
        <w:tc>
          <w:tcPr>
            <w:tcW w:w="30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PCTY</w:t>
            </w:r>
          </w:p>
        </w:tc>
        <w:tc>
          <w:tcPr>
            <w:tcW w:w="220" w:type="dxa"/>
            <w:vAlign w:val="bottom"/>
            <w:vMerge w:val="continue"/>
          </w:tcPr>
          <w:p>
            <w:pPr>
              <w:spacing w:after="0"/>
              <w:rPr>
                <w:sz w:val="15"/>
                <w:szCs w:val="15"/>
                <w:color w:val="auto"/>
              </w:rPr>
            </w:pPr>
          </w:p>
        </w:tc>
        <w:tc>
          <w:tcPr>
            <w:tcW w:w="3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NASDAQ Global Select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20" w:right="420" w:firstLine="44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left="20" w:right="2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20" w:right="60" w:firstLine="441"/>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76" w:lineRule="exact"/>
        <w:rPr>
          <w:sz w:val="24"/>
          <w:szCs w:val="24"/>
          <w:color w:val="auto"/>
        </w:rPr>
      </w:pPr>
    </w:p>
    <w:p>
      <w:pPr>
        <w:ind w:left="20" w:right="34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3" w:lineRule="exact"/>
        <w:rPr>
          <w:sz w:val="24"/>
          <w:szCs w:val="24"/>
          <w:color w:val="auto"/>
        </w:rPr>
      </w:pPr>
    </w:p>
    <w:p>
      <w:pPr>
        <w:ind w:left="20" w:right="100" w:firstLine="441"/>
        <w:spacing w:after="0" w:line="261"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54,245,719 shares of Common Stock, $0.001 par value per share,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23495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Times New Roman" w:cs="Times New Roman" w:eastAsia="Times New Roman" w:hAnsi="Times New Roman"/>
                <w:sz w:val="18"/>
                <w:szCs w:val="18"/>
                <w:u w:val="single" w:color="auto"/>
                <w:color w:val="0000EE"/>
                <w:w w:val="98"/>
              </w:rPr>
            </w:pPr>
            <w:hyperlink w:anchor="page3">
              <w:r>
                <w:rPr>
                  <w:rFonts w:ascii="Times New Roman" w:cs="Times New Roman" w:eastAsia="Times New Roman" w:hAnsi="Times New Roman"/>
                  <w:sz w:val="18"/>
                  <w:szCs w:val="18"/>
                  <w:u w:val="single" w:color="auto"/>
                  <w:color w:val="0000EE"/>
                  <w:w w:val="98"/>
                </w:rPr>
                <w:t>PART I. FINANCIAL INFORMATION</w:t>
              </w:r>
            </w:hyperlink>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Consolidated Balance Sheets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Consolidated Statements of Operations and Comprehensive Income</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Consolidated Statement of Changes in Stockholders’ Equity</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Consolidated Statements of Cash Flows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the Unaudited Consolidated Financial Statements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39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OF OPERATIONS</w:t>
              </w:r>
            </w:hyperlink>
          </w:p>
        </w:tc>
        <w:tc>
          <w:tcPr>
            <w:tcW w:w="2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4. CONTROLS AND PROCEDURES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jc w:val="center"/>
              <w:ind w:right="1580"/>
              <w:spacing w:after="0"/>
              <w:rPr>
                <w:rFonts w:ascii="Times New Roman" w:cs="Times New Roman" w:eastAsia="Times New Roman" w:hAnsi="Times New Roman"/>
                <w:sz w:val="18"/>
                <w:szCs w:val="18"/>
                <w:u w:val="single" w:color="auto"/>
                <w:color w:val="0000EE"/>
                <w:w w:val="97"/>
              </w:rPr>
            </w:pPr>
            <w:hyperlink w:anchor="page32">
              <w:r>
                <w:rPr>
                  <w:rFonts w:ascii="Times New Roman" w:cs="Times New Roman" w:eastAsia="Times New Roman" w:hAnsi="Times New Roman"/>
                  <w:sz w:val="18"/>
                  <w:szCs w:val="18"/>
                  <w:u w:val="single" w:color="auto"/>
                  <w:color w:val="0000EE"/>
                  <w:w w:val="97"/>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1. LEGAL PROCEEDINGS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1A. RISK FACTORS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3. DEFAULTS UPON SENIOR SECURITIES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4. MINE SAFETY DISCLOSURES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5. OTHER INFORMATION</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6. EXHIBITS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20" w:type="dxa"/>
            <w:vAlign w:val="bottom"/>
          </w:tcPr>
          <w:p>
            <w:pPr>
              <w:spacing w:after="0"/>
              <w:rPr>
                <w:sz w:val="24"/>
                <w:szCs w:val="24"/>
                <w:color w:val="auto"/>
              </w:rPr>
            </w:pPr>
          </w:p>
        </w:tc>
        <w:tc>
          <w:tcPr>
            <w:tcW w:w="8420" w:type="dxa"/>
            <w:vAlign w:val="bottom"/>
            <w:gridSpan w:val="3"/>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SIGNATURES</w:t>
              </w:r>
            </w:hyperlink>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648"/>
        </w:trPr>
        <w:tc>
          <w:tcPr>
            <w:tcW w:w="8160" w:type="dxa"/>
            <w:vAlign w:val="bottom"/>
            <w:gridSpan w:val="3"/>
          </w:tcPr>
          <w:p>
            <w:pPr>
              <w:jc w:val="right"/>
              <w:ind w:right="357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0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1.</w:t>
        <w:tab/>
        <w:t>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Funds held for clients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1,327,304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1,378,975</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1,673,041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47,080</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 and other</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2,004,851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62,343</w:t>
            </w: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Client fund obligations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1,327,304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1,378,975</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1,444,527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71,460</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1,618,031</w:t>
            </w: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7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30, 2020 and September 30,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2020 and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2020; 53,792 shares issued and outstanding at June 30, 2020 and 54,223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at September 30, 2020</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209,582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386,820</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1,985,648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2,004,851</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8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gains (losses) on securities, net of tax</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55,713</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20" w:right="1700"/>
        <w:spacing w:after="0" w:line="27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1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3"/>
        </w:trPr>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660" w:type="dxa"/>
            <w:vAlign w:val="bottom"/>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02"/>
        </w:trPr>
        <w:tc>
          <w:tcPr>
            <w:tcW w:w="26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7"/>
                <w:szCs w:val="17"/>
                <w:color w:val="auto"/>
              </w:rPr>
            </w:pP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53,075</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207,982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99,817</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307,964</w:t>
            </w:r>
          </w:p>
        </w:tc>
        <w:tc>
          <w:tcPr>
            <w:tcW w:w="60" w:type="dxa"/>
            <w:vAlign w:val="bottom"/>
          </w:tcPr>
          <w:p>
            <w:pPr>
              <w:spacing w:after="0"/>
              <w:rPr>
                <w:sz w:val="17"/>
                <w:szCs w:val="17"/>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60" w:type="dxa"/>
            <w:vAlign w:val="bottom"/>
          </w:tcPr>
          <w:p>
            <w:pPr>
              <w:spacing w:after="0"/>
              <w:rPr>
                <w:sz w:val="17"/>
                <w:szCs w:val="17"/>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exercised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7"/>
                <w:szCs w:val="17"/>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(25,253)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(25,253)</w:t>
            </w:r>
          </w:p>
        </w:tc>
        <w:tc>
          <w:tcPr>
            <w:tcW w:w="60" w:type="dxa"/>
            <w:vAlign w:val="bottom"/>
          </w:tcPr>
          <w:p>
            <w:pPr>
              <w:spacing w:after="0"/>
              <w:rPr>
                <w:sz w:val="18"/>
                <w:szCs w:val="18"/>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on securities, net of</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60" w:type="dxa"/>
            <w:vAlign w:val="bottom"/>
          </w:tcPr>
          <w:p>
            <w:pPr>
              <w:spacing w:after="0"/>
              <w:rPr>
                <w:sz w:val="17"/>
                <w:szCs w:val="17"/>
                <w:color w:val="auto"/>
              </w:rPr>
            </w:pPr>
          </w:p>
        </w:tc>
      </w:tr>
      <w:tr>
        <w:trPr>
          <w:trHeight w:val="19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2019</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53,511</w:t>
            </w:r>
          </w:p>
        </w:tc>
        <w:tc>
          <w:tcPr>
            <w:tcW w:w="1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309,459</w:t>
            </w:r>
          </w:p>
        </w:tc>
        <w:tc>
          <w:tcPr>
            <w:tcW w:w="6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9"/>
        </w:trPr>
        <w:tc>
          <w:tcPr>
            <w:tcW w:w="26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83"/>
        </w:trPr>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660" w:type="dxa"/>
            <w:vAlign w:val="bottom"/>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8"/>
                <w:szCs w:val="18"/>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02"/>
        </w:trPr>
        <w:tc>
          <w:tcPr>
            <w:tcW w:w="26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53,792</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227,907</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164,272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392,908</w:t>
            </w:r>
          </w:p>
        </w:tc>
      </w:tr>
      <w:tr>
        <w:trPr>
          <w:trHeight w:val="22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15,046</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exercised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529</w:t>
            </w: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(33,900)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(33,900)</w:t>
            </w: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losses on securities, net of</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12,460</w:t>
            </w:r>
          </w:p>
        </w:tc>
      </w:tr>
      <w:tr>
        <w:trPr>
          <w:trHeight w:val="19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2020</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54,223</w:t>
            </w:r>
          </w:p>
        </w:tc>
        <w:tc>
          <w:tcPr>
            <w:tcW w:w="1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209,582</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176,732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386,820</w:t>
            </w:r>
          </w:p>
        </w:tc>
      </w:tr>
      <w:tr>
        <w:trPr>
          <w:trHeight w:val="20"/>
        </w:trPr>
        <w:tc>
          <w:tcPr>
            <w:tcW w:w="2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Net accretion of discounts and amortization of premiums on available-for-sale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available-for-sale securities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funds held for clients' cash and cash equivalents—beginning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1,426,143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1,492,133</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cash equivalents and funds held for clients' cash and cash equivalents—end of</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1,135,834</w:t>
            </w:r>
          </w:p>
        </w:tc>
        <w:tc>
          <w:tcPr>
            <w:tcW w:w="20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Cash paid (refunds received) for income taxes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6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Reconciliation of cash, cash equivalents and funds held for clients' cash and cash</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 to the Consolidated Balance Sheets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100,529</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1,035,305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funds held for clients' cash and cash equivalents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1,135,834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ectPr>
          <w:pgSz w:w="11900" w:h="16838" w:orient="portrait"/>
          <w:cols w:equalWidth="0" w:num="1">
            <w:col w:w="9019"/>
          </w:cols>
          <w:pgMar w:left="1440" w:top="513" w:right="1440"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40" w:hanging="290"/>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29"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including the impact from the outbreak of the novel coronavirus disease (“COVID-19”), and their effects cannot be predicted with certainty; accordingly, accounting estimates require the exercise of judgment. Accounting estimates used in the preparation of these consolidated financial statements may change as new events occur, more experience and additional information is acquired, and the operating environment evolves, including the ongoing impact of COVID-19.</w:t>
      </w:r>
    </w:p>
    <w:p>
      <w:pPr>
        <w:spacing w:after="0" w:line="188"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2020 are not necessarily indicative of the results for the full year or the results for any future periods. The impact of the COVID</w:t>
      </w:r>
      <w:r>
        <w:rPr>
          <w:rFonts w:ascii="Times New Roman" w:cs="Times New Roman" w:eastAsia="Times New Roman" w:hAnsi="Times New Roman"/>
          <w:sz w:val="17"/>
          <w:szCs w:val="17"/>
          <w:i w:val="1"/>
          <w:iCs w:val="1"/>
          <w:color w:val="auto"/>
        </w:rPr>
        <w:t>-</w:t>
      </w:r>
    </w:p>
    <w:p>
      <w:pPr>
        <w:spacing w:after="0" w:line="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19 pandemic will not be fully known or reflected in the Company’s results of operations and overall financial performance until future periods. Refer to “Part I. Item 1A. Risk Factors” in the Company’s Annual Report on Form 10-K filed with the SEC on August 7, 2020 for risks related to the COVID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19 pandemic and its impact on the Company’s business and financial performance. These unaudited consolidated financial statements should be read in conjunction with the audited consolidated financial statements and related notes for the year ended June 30, 2020 included in the Company’s Annual Report on Form 10-K.</w:t>
      </w:r>
    </w:p>
    <w:p>
      <w:pPr>
        <w:spacing w:after="0" w:line="186" w:lineRule="exact"/>
        <w:rPr>
          <w:sz w:val="20"/>
          <w:szCs w:val="20"/>
          <w:color w:val="auto"/>
        </w:rPr>
      </w:pPr>
    </w:p>
    <w:p>
      <w:pPr>
        <w:ind w:left="340" w:hanging="290"/>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83"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which requires the measurement and recognition of expected credit losses for financial instruments held at amortized cost, including trade receivables. Under ASU 2016-13, the Company assesses its allowance for credit losses on accounts receivable by taking into consideration current economic conditions, reasonable and supportable forecasts, as well as past experience including historical write-off trends and client-specific circumstances. The new standard also eliminated the concept of other-than-temporary impairment and requires expected credit losses related to available-for-sale debt securities to be recorded through an allowance for credit losses rather than as a reduction in the amortized cost basis of the securities. The Company adopted this standard effective July 1, 2020, using a modified retrospective approach, and the adoption did not have a material impact on the Company’s financial statements.</w:t>
      </w:r>
    </w:p>
    <w:p>
      <w:pPr>
        <w:spacing w:after="0" w:line="188" w:lineRule="exact"/>
        <w:rPr>
          <w:sz w:val="20"/>
          <w:szCs w:val="20"/>
          <w:color w:val="auto"/>
        </w:rPr>
      </w:pPr>
    </w:p>
    <w:p>
      <w:pPr>
        <w:ind w:left="60" w:right="239" w:firstLine="648"/>
        <w:spacing w:after="0" w:line="274" w:lineRule="auto"/>
        <w:rPr>
          <w:sz w:val="20"/>
          <w:szCs w:val="20"/>
          <w:color w:val="auto"/>
        </w:rPr>
      </w:pPr>
      <w:r>
        <w:rPr>
          <w:rFonts w:ascii="Times New Roman" w:cs="Times New Roman" w:eastAsia="Times New Roman" w:hAnsi="Times New Roman"/>
          <w:sz w:val="17"/>
          <w:szCs w:val="17"/>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The Company adopted this standard on July 1, 2020, and removed or modified disclosure requirements retrospectively to all periods presented, whereas any new requirements are being applied prospectively from the adoption date. The adoption of this standard did not have a material impact on the Company’s financial statements.</w:t>
      </w:r>
    </w:p>
    <w:p>
      <w:pPr>
        <w:spacing w:after="0" w:line="1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The Company adopted ASU 2019-12 on July 1, 2020, and the adoption of this standard did not have a material impact on the Company’s financial statements.</w:t>
      </w:r>
    </w:p>
    <w:p>
      <w:pPr>
        <w:spacing w:after="0" w:line="183" w:lineRule="exact"/>
        <w:rPr>
          <w:sz w:val="20"/>
          <w:szCs w:val="20"/>
          <w:color w:val="auto"/>
        </w:rPr>
      </w:pPr>
    </w:p>
    <w:p>
      <w:pPr>
        <w:ind w:left="340" w:hanging="29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believes depicts the nature, amount and timing of its revenue:</w:t>
      </w:r>
    </w:p>
    <w:p>
      <w:pPr>
        <w:spacing w:after="0" w:line="2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129,692</w:t>
            </w:r>
          </w:p>
        </w:tc>
      </w:tr>
      <w:tr>
        <w:trPr>
          <w:trHeight w:val="216"/>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1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8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$5,320 in fiscal 2021, $2,116 in fiscal 2022 and $234 in fiscal 2023 and thereafter.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8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ectPr>
          <w:pgSz w:w="11900" w:h="16838" w:orient="portrait"/>
          <w:cols w:equalWidth="0" w:num="1">
            <w:col w:w="9019"/>
          </w:cols>
          <w:pgMar w:left="1440" w:top="513" w:right="1440"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0"/>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Beginning</w:t>
            </w: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Ending</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86,688</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Beginning</w:t>
            </w: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Ending</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118,644</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49,808</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$45,647 as of September 30, 2020,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Balance Sheet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Activity in the allowance for credit losses related to accounts receivable was as follows:</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Write-offs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617</w:t>
      </w:r>
    </w:p>
    <w:p>
      <w:pPr>
        <w:spacing w:after="0" w:line="2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56</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5715</wp:posOffset>
            </wp:positionV>
            <wp:extent cx="934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1360" w:hanging="1141"/>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934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31750</wp:posOffset>
            </wp:positionV>
            <wp:extent cx="934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p>
    <w:p>
      <w:pPr>
        <w:ind w:left="120"/>
        <w:spacing w:after="0" w:line="236" w:lineRule="auto"/>
        <w:tabs>
          <w:tab w:leader="none" w:pos="11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p>
    <w:p>
      <w:pPr>
        <w:sectPr>
          <w:pgSz w:w="11900" w:h="16838" w:orient="portrait"/>
          <w:cols w:equalWidth="0" w:num="2">
            <w:col w:w="6520" w:space="580"/>
            <w:col w:w="19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
        </w:trPr>
        <w:tc>
          <w:tcPr>
            <w:tcW w:w="47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91"/>
        </w:trPr>
        <w:tc>
          <w:tcPr>
            <w:tcW w:w="4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Capitalized internal-use software</w:t>
            </w: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119,178</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
              <w:spacing w:after="0" w:line="19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127,294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(82,677)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(88,063)</w:t>
            </w: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39,231</w:t>
            </w:r>
          </w:p>
        </w:tc>
      </w:tr>
      <w:tr>
        <w:trPr>
          <w:trHeight w:val="20"/>
        </w:trPr>
        <w:tc>
          <w:tcPr>
            <w:tcW w:w="4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 and amounted to $4,457 and $5,386 for the three months ended September 30, 2019 and 2020,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5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4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121,006</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(54,938)</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$3,913 and $4,005 for the three months ended September 30, 2019 and 2020, respectively.</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April 2020, the Company acquired all of the shares outstanding of VidGrid, Inc. (“VidGrid”). During the three months ended September 30, 2020, the Company completed its purchase accounting for this acquisition and did not record any changes to the preliminary purchase price allocation. Accordingly, goodwill did not change during the three months ended September 30, 2020. Refer to Note 6 of the audited consolidated financial statements included in the Annual Report on Form 10-K for the fiscal year ended June 30, 2020 for additional details on the acquisition of VidGrid.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3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5 - 9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2 - 4 years</w:t>
            </w: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 name</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years</w:t>
            </w: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79"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$563 and $844 for the three months ended September 30, 2019 and 2020,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September 30, 2020 is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2021</w:t>
            </w:r>
          </w:p>
        </w:tc>
        <w:tc>
          <w:tcPr>
            <w:tcW w:w="50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4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40" w:type="dxa"/>
            <w:vAlign w:val="bottom"/>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35,444</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40" w:type="dxa"/>
            <w:vAlign w:val="bottom"/>
            <w:tcBorders>
              <w:bottom w:val="single" w:sz="8" w:color="CCEEFF"/>
            </w:tcBorders>
          </w:tcPr>
          <w:p>
            <w:pPr>
              <w:spacing w:after="0"/>
              <w:rPr>
                <w:sz w:val="18"/>
                <w:szCs w:val="18"/>
                <w:color w:val="auto"/>
              </w:rPr>
            </w:pPr>
          </w:p>
        </w:tc>
      </w:tr>
      <w:tr>
        <w:trPr>
          <w:trHeight w:val="20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 of the following: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6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360" w:type="dxa"/>
            <w:vAlign w:val="bottom"/>
            <w:gridSpan w:val="2"/>
          </w:tcPr>
          <w:p>
            <w:pPr>
              <w:ind w:left="2220"/>
              <w:spacing w:after="0" w:line="160" w:lineRule="exact"/>
              <w:rPr>
                <w:sz w:val="20"/>
                <w:szCs w:val="20"/>
                <w:color w:val="auto"/>
              </w:rPr>
            </w:pPr>
            <w:r>
              <w:rPr>
                <w:rFonts w:ascii="Times New Roman" w:cs="Times New Roman" w:eastAsia="Times New Roman" w:hAnsi="Times New Roman"/>
                <w:sz w:val="14"/>
                <w:szCs w:val="14"/>
                <w:b w:val="1"/>
                <w:bCs w:val="1"/>
                <w:color w:val="auto"/>
              </w:rPr>
              <w:t>Type of Issue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6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3"/>
                <w:szCs w:val="13"/>
                <w:color w:val="auto"/>
              </w:rPr>
            </w:pPr>
          </w:p>
        </w:tc>
        <w:tc>
          <w:tcPr>
            <w:tcW w:w="82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1,241,282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1,241,282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1,614,399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1,615,310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fair value of total available-for-sale securities above is $37,155 of corporate investments and $86,022 of funds held for clients.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1,314,876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1,314,876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(2)</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1,621,030</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fair value of total available-for-sale securities above is $21,149 of corporate investments and $64,099 of funds held for clients.</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 demand deposit accounts and money market funds at June 30, 2020 and September 30, 2020.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18,554</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1,327,304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1,378,975</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1,615,310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1,621,638</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There were no available-for-sale securities in an unrealized loss position at June 30, 2020 or September 30, 2020. The Company regularly reviews the composition of its portfolio to determine the existence of credit impairment. The Company did not recognize any credit impairment losses during the three months ended September 30, 2020. All securities in the Company’s portfolio held an A-1 rating or better as of September 30, 2020.</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for realized gains and losses on the sale of available-for-sale securities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September 30, 2019 or 2020. Gross realized gains and losses on the sale of available-for-sale securities were immaterial for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both the three months ended September 30, 2019 and 2020.</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2020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76,152</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1040" w:right="119" w:hanging="315"/>
        <w:spacing w:after="0" w:line="312" w:lineRule="auto"/>
        <w:tabs>
          <w:tab w:leader="none" w:pos="10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9" w:lineRule="exact"/>
        <w:rPr>
          <w:rFonts w:ascii="Times New Roman" w:cs="Times New Roman" w:eastAsia="Times New Roman" w:hAnsi="Times New Roman"/>
          <w:sz w:val="17"/>
          <w:szCs w:val="17"/>
          <w:color w:val="auto"/>
        </w:rPr>
      </w:pPr>
    </w:p>
    <w:p>
      <w:pPr>
        <w:ind w:left="1040" w:right="13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2020 and September 30, 2020 based upon the short-term nature of these assets and liabilities.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Company has not adjusted any prices obtained by the independent pricing service, as it believes they are appropriately valued. There were no available-for-sale securities classified in Level 3 of the fair value hierarchy at June 30, 2020 or September 30, 2020.</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is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1,621,638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1,536,390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carrying value of long-term debt under its revolving credit facility approximates fair value, which is classified as Level 2, because interest rates associated with the borrowings reflect market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September 30, 2020, the Company had $100,000 in borrowings outstanding under the credit facility.</w:t>
      </w:r>
    </w:p>
    <w:p>
      <w:pPr>
        <w:spacing w:after="0" w:line="17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ectPr>
          <w:pgSz w:w="11900" w:h="16838" w:orient="portrait"/>
          <w:cols w:equalWidth="0" w:num="1">
            <w:col w:w="9019"/>
          </w:cols>
          <w:pgMar w:left="1440" w:top="513" w:right="1440"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September 30, 2020, the Company was in compliance with all of the aforementioned covenants.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9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the Company had 11,931 shares allocated to the plans, of which 2,673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three months ended September 30, 2020:</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2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MSUs granted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8"/>
                <w:szCs w:val="18"/>
                <w:color w:val="auto"/>
              </w:rPr>
            </w:pPr>
          </w:p>
        </w:tc>
      </w:tr>
      <w:tr>
        <w:trPr>
          <w:trHeight w:val="210"/>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September 30,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76"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market share units (“MSUs”) and the Employee Stock Purchase Plan is included in the following line items in the accompanying unaudited consolidated statements of operations and comprehensive income:</w:t>
      </w:r>
    </w:p>
    <w:p>
      <w:pPr>
        <w:spacing w:after="0" w:line="18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60" w:type="dxa"/>
            <w:vAlign w:val="bottom"/>
            <w:tcBorders>
              <w:bottom w:val="single" w:sz="8" w:color="CCEEFF"/>
            </w:tcBorders>
          </w:tcPr>
          <w:p>
            <w:pPr>
              <w:spacing w:after="0"/>
              <w:rPr>
                <w:sz w:val="18"/>
                <w:szCs w:val="18"/>
                <w:color w:val="auto"/>
              </w:rPr>
            </w:pPr>
          </w:p>
        </w:tc>
      </w:tr>
      <w:tr>
        <w:trPr>
          <w:trHeight w:val="209"/>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$656 and $769 of stock-based compensation expense in its capitalized internal-use software costs in the three months ended September 30, 2019 and 2020, respectively.</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Company’s board of directors approved the Company’s fiscal 2021 annual operating plan to reflect the operating and financial impacts of the COVID-19 pandemic. In connection and alignment with the board’s approval of the updated operating plan, the compensation committee of the Company’s board of directors approved the modification of the performance targets for vesting of the performance-based restricted stock units granted in fiscal 2020. As a result of the modification, the Company recorded $860 in stock-based compensation expense during the three months ended September 30, 2020.</w:t>
      </w:r>
    </w:p>
    <w:p>
      <w:pPr>
        <w:spacing w:after="0" w:line="18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September 30, 2019 or 2020. The table below presents stock option activity during the three months ended September 30, 2020:</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2020</w:t>
            </w:r>
          </w:p>
        </w:tc>
        <w:tc>
          <w:tcPr>
            <w:tcW w:w="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$ 167,406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2.76</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$ 173,184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2.76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$ 173,184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w:t>
            </w: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219"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$671 and $11,408 during the three months ended September 30, 2019 and 2020, respectively.</w:t>
      </w:r>
    </w:p>
    <w:p>
      <w:pPr>
        <w:spacing w:after="0" w:line="162" w:lineRule="exact"/>
        <w:rPr>
          <w:sz w:val="20"/>
          <w:szCs w:val="20"/>
          <w:color w:val="auto"/>
        </w:rPr>
      </w:pPr>
    </w:p>
    <w:p>
      <w:pPr>
        <w:ind w:left="60" w:right="359" w:firstLine="648"/>
        <w:spacing w:after="0" w:line="256" w:lineRule="auto"/>
        <w:rPr>
          <w:sz w:val="20"/>
          <w:szCs w:val="20"/>
          <w:color w:val="auto"/>
        </w:rPr>
      </w:pPr>
      <w:r>
        <w:rPr>
          <w:rFonts w:ascii="Times New Roman" w:cs="Times New Roman" w:eastAsia="Times New Roman" w:hAnsi="Times New Roman"/>
          <w:sz w:val="18"/>
          <w:szCs w:val="18"/>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 Adjusted EBITDA margin targets in future fiscal years. For these performance-based RSUs, the Company recognizes stock-based compensation expense based upon the probable achievement of these aforementioned performance metrics.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three months ended September 30, 2020: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September 30,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September 30, 2020</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1,345</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2020, there was $92,872 of total unrecognized compensation cost, net of estimated forfeitures, related to unvested restricted stock units granted. That cost is expected to be recognized over a weighted average period of 2.11 years.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Committee. In August 2020, the Company granted approximately 58 MSUs with a grant date fair value of $178.04.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ectPr>
          <w:pgSz w:w="11900" w:h="16838" w:orient="portrait"/>
          <w:cols w:equalWidth="0" w:num="1">
            <w:col w:w="9019"/>
          </w:cols>
          <w:pgMar w:left="1440" w:top="513" w:right="1440" w:bottom="1440" w:gutter="0" w:footer="0" w:header="0"/>
        </w:sectPr>
      </w:pP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 for the three months ended September 30, 2020:</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CEEFF"/>
          </w:tcPr>
          <w:p>
            <w:pPr>
              <w:spacing w:after="0"/>
              <w:rPr>
                <w:sz w:val="18"/>
                <w:szCs w:val="18"/>
                <w:color w:val="auto"/>
              </w:rPr>
            </w:pPr>
          </w:p>
        </w:tc>
      </w:tr>
      <w:tr>
        <w:trPr>
          <w:trHeight w:val="261"/>
        </w:trPr>
        <w:tc>
          <w:tcPr>
            <w:tcW w:w="50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3"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2020, there was $8,541 of total unrecognized compensation cost, net of estimated forfeitures, related to unvested MSUs. That cost is expected to be recognized over a period of 2.92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March 27, 2020, the President signed the Coronavirus Aid, Relief, and Economic Security Act (the “CARES Act”) into law. While the Company continues to analyze the relevant provisions of the CARES Act, it does not expect the provisions of the legislation to have a significant impact on the Company’s income taxes.</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(114.8)% and (290.3)% for the three months ended September 30, 2019 and 2020, respectively. The Company’s effective tax rate for the three months ended September 30, 2019 and September 30, 2020 was lower than the federal statutory rate of 21% primarily due to excess tax benefits from employee stock-based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Net Income Per Share</w:t>
      </w:r>
    </w:p>
    <w:p>
      <w:pPr>
        <w:spacing w:after="0" w:line="229" w:lineRule="exact"/>
        <w:rPr>
          <w:sz w:val="20"/>
          <w:szCs w:val="20"/>
          <w:color w:val="auto"/>
        </w:rPr>
      </w:pPr>
    </w:p>
    <w:p>
      <w:pPr>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The following table presents the calculation of basic and diluted net income per share:</w:t>
      </w:r>
    </w:p>
    <w:p>
      <w:pPr>
        <w:spacing w:after="0" w:line="18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Employee stock options, restricted stock units and employee stock purchase plan shares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September 30, 2020 that were excluded from the diluted per share calculation for the periods presented because to include them would have been anti-dilutive:</w:t>
      </w:r>
    </w:p>
    <w:p>
      <w:pPr>
        <w:spacing w:after="0" w:line="18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72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r>
      <w:tr>
        <w:trPr>
          <w:trHeight w:val="210"/>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(“HCM”) software solutions for medium-sized organizations, which we define as those having between 10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7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w:t>
      </w:r>
    </w:p>
    <w:p>
      <w:pPr>
        <w:spacing w:after="0" w:line="17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6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Many of our prospective and existing clients’ businesses have been impacted by stay-at-home, business closure and other restrictive orders, which has resulted in reduced employee headcount, temporary and permanent business closures, and/or delayed sales/starts. Our business and financial performance may continue to be unfavorably impacted in future periods if a significant number of our clients are unable to continue as viable businesses or reduce headcount, there is a reduction in business confidence and activity, a decrease in government and consumer spending, a decrease in payroll and HCM solutions spending by medium-sized organizations, a decrease in growth in the overall market or a further decline of interest rates, among other factors. Therefore, we expect COVID-19 to continue to have an unfavorable impact on the growth in both Recurring and other revenue and Interest income on funds held for clients in future periods for so long as such conditions persist. Refer to “Part I. Item 1A. Risk Factors” in our Annual Report on Form 10-K filed with the Securities and Exchange Commission on August 7, 2020 for risks related to the COVID-19 pandemic and its impact on our business and financial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60" w:right="199" w:firstLine="648"/>
        <w:spacing w:after="0" w:line="312" w:lineRule="auto"/>
        <w:rPr>
          <w:sz w:val="20"/>
          <w:szCs w:val="20"/>
          <w:color w:val="auto"/>
        </w:rPr>
      </w:pPr>
      <w:r>
        <w:rPr>
          <w:rFonts w:ascii="Times New Roman" w:cs="Times New Roman" w:eastAsia="Times New Roman" w:hAnsi="Times New Roman"/>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$126.7 million for the three months ended September 30, 2019 to $135.8 million for the three months ended September 30, 2020, representing a 7% year-over-year increase. Our total revenue growth during the three months ended September 30, 2020 was impacted by the ongoing effects from the COVID-19 pandemic. We expect COVID-19 to continue to unfavorably impact our revenue growth rates in future periods as we anticipate lower client employee counts, potential increases in client losses, a continued low interest rate environment and a decrease in the growth of the overall market, among other factors.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9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6"/>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90,279</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94,203</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7"/>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 exercises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94,203</w:t>
            </w:r>
          </w:p>
        </w:tc>
        <w:tc>
          <w:tcPr>
            <w:tcW w:w="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7"/>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exercises</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items*</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Represents nonrecurring costs including acquisition-related and lease exit costs.</w:t>
            </w: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gridSpan w:val="2"/>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96% and 99% of our total revenues during the three months ended September 30, 2019 and 2020, respectively.</w:t>
      </w:r>
    </w:p>
    <w:p>
      <w:pPr>
        <w:spacing w:after="0" w:line="183"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all amortized as Cost of revenues.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amortized $4.5 million and $5.4 million of capitalized internal-use software costs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2019 and 2020,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and amortize them over a period of 7 years. We pay commissions the following month after the start of service or contract signing, and bonuses for attainment of certain annual performance criteria are subsequently paid annually in the first fiscal quarter of the following year.</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technologies and ongoing refinement of our existing solutions. Research and development expenses, other than internal-use software costs qualifying for capitalization, are expensed as incurred.</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2019 and 2020.</w:t>
      </w:r>
    </w:p>
    <w:p>
      <w:pPr>
        <w:spacing w:after="0" w:line="18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r>
      <w:tr>
        <w:trPr>
          <w:trHeight w:val="128"/>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4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r>
      <w:tr>
        <w:trPr>
          <w:trHeight w:val="128"/>
        </w:trPr>
        <w:tc>
          <w:tcPr>
            <w:tcW w:w="6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tcPr>
          <w:p>
            <w:pPr>
              <w:jc w:val="center"/>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134,875</w:t>
            </w:r>
          </w:p>
        </w:tc>
        <w:tc>
          <w:tcPr>
            <w:tcW w:w="26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135,794</w:t>
            </w:r>
          </w:p>
        </w:tc>
        <w:tc>
          <w:tcPr>
            <w:tcW w:w="26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26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86,414</w:t>
            </w:r>
          </w:p>
        </w:tc>
        <w:tc>
          <w:tcPr>
            <w:tcW w:w="260" w:type="dxa"/>
            <w:vAlign w:val="bottom"/>
            <w:shd w:val="clear" w:color="auto" w:fill="CCEEFF"/>
          </w:tcPr>
          <w:p>
            <w:pPr>
              <w:spacing w:after="0"/>
              <w:rPr>
                <w:sz w:val="18"/>
                <w:szCs w:val="18"/>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26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26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260" w:type="dxa"/>
            <w:vAlign w:val="bottom"/>
            <w:shd w:val="clear" w:color="auto" w:fill="CCEEFF"/>
          </w:tcPr>
          <w:p>
            <w:pPr>
              <w:spacing w:after="0"/>
              <w:rPr>
                <w:sz w:val="18"/>
                <w:szCs w:val="18"/>
                <w:color w:val="auto"/>
              </w:rPr>
            </w:pPr>
          </w:p>
        </w:tc>
      </w:tr>
      <w:tr>
        <w:trPr>
          <w:trHeight w:val="20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26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6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r>
      <w:tr>
        <w:trPr>
          <w:trHeight w:val="209"/>
        </w:trPr>
        <w:tc>
          <w:tcPr>
            <w:tcW w:w="67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(9,268)</w:t>
            </w: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16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394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2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2019 and 2020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121,873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134,875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$ 13,002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1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(3,928)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left="60" w:right="160" w:firstLine="648"/>
        <w:spacing w:after="0" w:line="261"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2020 increased by $13.0 million, or 11%, to $134.9 million from $121.9 million for three months ended September 30, 2019. Recurring and other revenue increased primarily as a result of incremental revenues from new and existing clients, partially offset by a reduction in client employee counts on our platform due to the ongoing impact from COVID-19.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left="60" w:right="60" w:firstLine="648"/>
        <w:spacing w:after="0" w:line="258"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2020 decreased by $3.9 million, or 81% to $0.9 million from $4.8 million for the three months ended September 30, 2019.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20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$ 42,630</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$ 49,380</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$ 6,750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left="60" w:right="80" w:firstLine="648"/>
        <w:spacing w:after="0" w:line="256"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2020 increased by $6.8 million, or 16%, to $49.4 million from $42.6 million for the three months ended September 30, 2019. Cost of revenues increased primarily as a result of the continued growth of our business, in particular, $5.3 million in additional employee-related costs resulting from additional personnel necessary to provide services to new and existing clients and $0.9 million in increased internal-use software amortization. Gross margin decreased from 66% for the three months ended September 30, 2019 to 64% for the three months ended September 30,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 thousands)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$ 36,957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$ 37,674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9020"/>
          </w:cols>
          <w:pgMar w:left="1440" w:top="513" w:right="14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2020 increased by $0.7 million, or 2%, to $37.7 million from $37.0 million for the three months ended September 30, 2019. The increase in sales and marketing expense was primarily the result of additional employee-related costs, including those incurred to expand our sales team, partially offset by reduced overall spending on travel and entertainment.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12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$ 14,394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$ 18,647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$ 4,253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2020 increased by $4.3 million, or 30%, to $18.6 million from $14.4 million for the three months ended September 30, 2019. The increase in research and development expenses was primarily the result of $4.3 million of additional employee-related costs related to additional development personnel and $1.0 million in additional stock-based compensation costs associated with our equity incentive plan, partially offset by an additional $1.4 million in capitalized internal-use software costs.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1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1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$ 26,739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$ 26,644</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2020 decreased by $0.1 million, or 0%, to $26.6 million from $26.7 million for the three months ended September 30, 2019. The decrease in general and administrative expense was primarily the result of decreased employee-related costs of $1.4 million, partially offset by the increase in stock-based compensation costs associated with our equity incentive plan of $0.8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did not materially change for the three months ended September 30, 2020 as compared to the three months ended September 30, 2019.</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120" w:firstLine="648"/>
        <w:spacing w:after="0" w:line="289" w:lineRule="auto"/>
        <w:rPr>
          <w:sz w:val="20"/>
          <w:szCs w:val="20"/>
          <w:color w:val="auto"/>
        </w:rPr>
      </w:pPr>
      <w:r>
        <w:rPr>
          <w:rFonts w:ascii="Times New Roman" w:cs="Times New Roman" w:eastAsia="Times New Roman" w:hAnsi="Times New Roman"/>
          <w:sz w:val="17"/>
          <w:szCs w:val="17"/>
          <w:color w:val="auto"/>
        </w:rPr>
        <w:t>Our effective tax rate was (114.8)% and (290.3)% for the three months ended September 30, 2019 and September 30, 2020, respectively. Our effective tax rate for the three months ended September 30, 2019 and September 30, 2020 was lower than the federal statutory rate of 21% primarily due to excess tax benefits from employee stock-based compensation.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left="60" w:right="80" w:firstLine="648"/>
        <w:spacing w:after="0" w:line="312" w:lineRule="auto"/>
        <w:rPr>
          <w:sz w:val="20"/>
          <w:szCs w:val="20"/>
          <w:color w:val="auto"/>
        </w:rPr>
      </w:pPr>
      <w:r>
        <w:rPr>
          <w:rFonts w:ascii="Times New Roman" w:cs="Times New Roman" w:eastAsia="Times New Roman" w:hAnsi="Times New Roman"/>
          <w:sz w:val="17"/>
          <w:szCs w:val="17"/>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40" w:lineRule="exact"/>
        <w:rPr>
          <w:sz w:val="20"/>
          <w:szCs w:val="20"/>
          <w:color w:val="auto"/>
        </w:rPr>
      </w:pPr>
    </w:p>
    <w:p>
      <w:pPr>
        <w:ind w:left="60" w:right="60" w:firstLine="648"/>
        <w:spacing w:after="0" w:line="261"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w:t>
      </w: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88"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which has caused a global slowdown of economic activity that we believe will continue to unfavorably impact our business operations and financial conditions. The duration and severity of the COVID-19 pandemic, and the effect the pandemic will have on our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 Refer to “Part I. Item 1A. Risk Factors” in our Annual Report on Form 10-K filed with the SEC on August 7, 2020 for risks related to the COVID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19 pandemic on its business and financial performance.</w:t>
      </w:r>
    </w:p>
    <w:p>
      <w:pPr>
        <w:spacing w:after="0" w:line="19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use of estimates are disclosed in our audited consolidated financial statements for the year ended June 30, 2020 included in our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September 30, 2020, our principal sources of liquidity were $221.5 million of cash and cash equivalents and $21.1 million of total corporate investments. In July 2019, we entered into and currently maintain a five-year revolving credit agreement. This credit agreement provides for a $250.0 million senior revolving credit facility which may be increased up to $375.0 million. In fiscal 2020, we borrowed $100.0 million under this credit facility, which remained outstanding as of September 30, 2020. Although we currently do not have any anticipated need for this additional liquidity, we utilized the borrowing capacity under our credit agreement in order to provide enhanced financial flexibility due to uncertain market conditions arising from COVID-19. Refer to Note 7 of the Notes to the Unaudited Consolidated Financial Statements for additional detail on the credit agreement.</w:t>
      </w:r>
    </w:p>
    <w:p>
      <w:pPr>
        <w:spacing w:after="0" w:line="18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invest portions of our excess cash and cash equivalents in highly liquid, investment-grade marketable securities. These investments consist of asset-backed debt securities, corporate debt issuances and U.S. Treasury securities with credit quality ratings of A-1 or higher. As of September 30, 2020, we had not recognized any credit impairment losses related to our investment portfolio.</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as well as the extent and duration of COVID-19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expenditures and other investments principally with cash flows from operations, and to the extent that our liquidity needs exceed our cash from operations, we would look to our cash on hand and corporate investments or further utilize the remaining borrowing capacity under our credit facility to satisfy those needs.</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4"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available-for-sale securities and 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(63,621)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(8,033)</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(239,942)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51,671</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(24,749)</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(265,360)</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(290,309)</w:t>
            </w:r>
          </w:p>
        </w:tc>
        <w:tc>
          <w:tcPr>
            <w:tcW w:w="42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0" w:type="dxa"/>
            <w:vAlign w:val="bottom"/>
          </w:tcPr>
          <w:p>
            <w:pPr>
              <w:spacing w:after="0"/>
              <w:rPr>
                <w:sz w:val="1"/>
                <w:szCs w:val="1"/>
                <w:color w:val="auto"/>
              </w:rPr>
            </w:pPr>
          </w:p>
        </w:tc>
      </w:tr>
      <w:tr>
        <w:trPr>
          <w:trHeight w:val="22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(used in) operating activities was $8.3 million and $(1.6) million for the three months ended September 30, 2019 and 2020, respectively. The decrease in net cash provided by (used in) operating activities from the three months ended September 30, 2019 to the three months ended September 30, 2020 was primarily due to net changes in operating assets and liabilities, mostly driven by changes in accrued expenses related to higher payout of sales incentives and prepaid expenses and other during the three months ended September 30,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Net cash provided by (used in) investing activities was $(33.2) million and $27.6 million for the three months ended September 30, 2019 and 2020,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ectPr>
          <w:pgSz w:w="11900" w:h="16838" w:orient="portrait"/>
          <w:cols w:equalWidth="0" w:num="1">
            <w:col w:w="9019"/>
          </w:cols>
          <w:pgMar w:left="1440" w:top="513"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decreases in purchases of available-for-sale securities of $63.6 million and purchases of property and equipment of $6.0 million, partially offset by the decrease in proceeds from sales and maturities of available-for-sale securities of $7.7 million during the three months ended September 30, 2020 as compared to the three months ended September 30, 2019.</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(used in) financing activities was $(265.4) million and $18.3 million for the three months ended September 30, 2019 and 2020, respectively. The change in net cash provided by (used in) financing activities was primarily the result of an increase in client fund obligations of $291.6 million due to the timing of client funds collected and related remittance of those funds to client employees and taxing authorities, partially offset by $8.6 million in increased taxes paid related to net share settlement of equity awards during the three months ended September 30, 2020 as compared to the September 30, 202019.</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September 30, 2020:</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Payment Due By Fiscal Period</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2"/>
        </w:trPr>
        <w:tc>
          <w:tcPr>
            <w:tcW w:w="4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Less than 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More than</w:t>
            </w:r>
          </w:p>
        </w:tc>
        <w:tc>
          <w:tcPr>
            <w:tcW w:w="40" w:type="dxa"/>
            <w:vAlign w:val="bottom"/>
          </w:tcPr>
          <w:p>
            <w:pPr>
              <w:spacing w:after="0"/>
              <w:rPr>
                <w:sz w:val="10"/>
                <w:szCs w:val="10"/>
                <w:color w:val="auto"/>
              </w:rPr>
            </w:pPr>
          </w:p>
        </w:tc>
      </w:tr>
      <w:tr>
        <w:trPr>
          <w:trHeight w:val="155"/>
        </w:trPr>
        <w:tc>
          <w:tcPr>
            <w:tcW w:w="4620" w:type="dxa"/>
            <w:vAlign w:val="bottom"/>
          </w:tcPr>
          <w:p>
            <w:pPr>
              <w:spacing w:after="0"/>
              <w:rPr>
                <w:sz w:val="13"/>
                <w:szCs w:val="13"/>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1-3 Years</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20" w:type="dxa"/>
            <w:vAlign w:val="bottom"/>
          </w:tcPr>
          <w:p>
            <w:pPr>
              <w:spacing w:after="0"/>
              <w:rPr>
                <w:sz w:val="13"/>
                <w:szCs w:val="13"/>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5 Years</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$ 103,988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$ 100,840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$ 211,611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$ 120,012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99" w:hanging="650"/>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contractual maturity of and estimated interest payments on borrowings under our revolving credit facility. Interest was calculated using the interest rate in effect as of September 30,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and the ongoing impact from COVID-19. In the event that our sales growth or other factors do not meet our expectations, we may eliminate or curtail capital projects in order to mitigate the impact on our use of cash. Capital expenditures were $8.0 million and $2.0 million for the three months ended September 30, 2019 and 2020, respectively, exclusive of capitalized internal-use software costs of $6.7 million and $7.9 million for the same periods,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significantly disrupted the global economy and financial markets and we believe it will unfavorably impact our future business and financial performance. Refer to “Part I. Item 1A. Risk Factors” on our Annual Report on Form 10-K filed with the SEC on August 7, 2020 for risks related to the COVID-19 pandemic.</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2020, we had cash and cash equivalents of $221.5 million, corporate investments of $21.1 million and funds held for clients of $1,379.0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corporate bonds, asset-backed securities and U.S. treasury securities, which were classified as available-for-sale securities as of September 30, 2020.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8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September 30, 2020. Fluctuations in the value of our available-for-sale securities caused by changes in interest rates are recorded in other comprehensive income and are only realized if we sell the underlying securities.</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Additionally, as described in Note 7 of the Notes to the Unaudited Consolidated Financial Statements, we entered into a credit agreement that provides for a revolving credit facility (“credit facility”) in the aggregate amount of $250.0 million, which may be increased up to $375.0 million. Borrowings under the credit facility will generally bear interest at a rate based upon the London Interbank Offered Rate (“LIBOR”) (or a replacement rate for LIBOR) or, at our sole option, an adjusted base rate plus an applicable margin based on our then-applicable net senior secured leverage ratio. As of September 30, 2020, we had $100.0 million in borrowings outstanding under the credit facility. Because interest rates applicable to the credit facility are variable, we are exposed to market risk from changes in the underlying index rates, which affects our interest expense. A hypothetical increase of 100 basis points in interest rates would not have had a significant impact on our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6"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September 30, 2020,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implemented a new financial system during the first quarter of fiscal 2021. The new system allows us to strengthen our ability to scale our business and enhance our internal controls over financial reporting. As part of the financial system implementation, the Company enhanced and modified certain existing internal controls within our general ledger, accounts payable, revenue, and financial reporting functions. We will continue to monitor and ensure effectiveness of any changes in internal controls.</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There were no other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2020 filed with the SEC on August 7, 2020.</w:t>
      </w:r>
    </w:p>
    <w:p>
      <w:pPr>
        <w:spacing w:after="0" w:line="17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9"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The information required by this Item is set forth in the Index to Exhibits immediately following this page.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3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9"/>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710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First Amended and Restated Certificate of Incorporation (filed as Exhibit 3.2 of Paylocity Holding</w:t>
              </w:r>
            </w:hyperlink>
          </w:p>
        </w:tc>
        <w:tc>
          <w:tcPr>
            <w:tcW w:w="660" w:type="dxa"/>
            <w:vAlign w:val="bottom"/>
            <w:tcBorders>
              <w:top w:val="single" w:sz="8" w:color="auto"/>
            </w:tcBorders>
            <w:gridSpan w:val="6"/>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Corporation’s Form S-1 Registration Statement (Registration No. 333-193661)).</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7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Bylaws of Paylocity Holding Corporation (filed as Exhibit 3.2 of Paylocity Holding</w:t>
              </w:r>
            </w:hyperlink>
          </w:p>
        </w:tc>
      </w:tr>
      <w:tr>
        <w:trPr>
          <w:trHeight w:val="264"/>
        </w:trPr>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760" w:type="dxa"/>
            <w:vAlign w:val="bottom"/>
            <w:gridSpan w:val="12"/>
          </w:tcPr>
          <w:p>
            <w:pPr>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Corporation’s Annual Report on Form 10-K for the year ended June 30, 2017 (File No. 001-36348)).</w:t>
              </w:r>
            </w:hyperlink>
          </w:p>
        </w:tc>
      </w:tr>
      <w:tr>
        <w:trPr>
          <w:trHeight w:val="4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Market Stock Units Notice of Grant and Award Agreement under the 2014 Equity Incentive Plan</w:t>
              </w:r>
            </w:hyperlink>
          </w:p>
        </w:tc>
        <w:tc>
          <w:tcPr>
            <w:tcW w:w="140" w:type="dxa"/>
            <w:vAlign w:val="bottom"/>
            <w:gridSpan w:val="2"/>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(filed as Exhibit 10.1 of Paylocity Holding Corporation’s Current Report on Form 8-K on August 18, 2020</w:t>
              </w:r>
            </w:hyperlink>
          </w:p>
        </w:tc>
        <w:tc>
          <w:tcPr>
            <w:tcW w:w="6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(File No. 001-36348)).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Certification of Chief Executive Officer pursuant to Securities Exchange Act Rules 13a-4 and 15d-14 as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adopted pursuant to Section 302 of the Sarbanes-Oxley Act of 2002.</w:t>
              </w:r>
            </w:hyperlink>
          </w:p>
        </w:tc>
        <w:tc>
          <w:tcPr>
            <w:tcW w:w="260" w:type="dxa"/>
            <w:vAlign w:val="bottom"/>
            <w:gridSpan w:val="3"/>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Certification of Chief Financial Officer pursuant to Securities Exchange Act Rules 13a-4 and 15d-14 as</w:t>
              </w:r>
            </w:hyperlink>
          </w:p>
        </w:tc>
        <w:tc>
          <w:tcPr>
            <w:tcW w:w="300" w:type="dxa"/>
            <w:vAlign w:val="bottom"/>
            <w:gridSpan w:val="5"/>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2002, by Chief Executive Officer.</w:t>
              </w:r>
            </w:hyperlink>
          </w:p>
        </w:tc>
        <w:tc>
          <w:tcPr>
            <w:tcW w:w="5040" w:type="dxa"/>
            <w:vAlign w:val="bottom"/>
            <w:tcBorders>
              <w:top w:val="single" w:sz="8" w:color="0000EE"/>
            </w:tcBorders>
            <w:gridSpan w:val="5"/>
          </w:tcPr>
          <w:p>
            <w:pPr>
              <w:spacing w:after="0"/>
              <w:rPr>
                <w:sz w:val="19"/>
                <w:szCs w:val="19"/>
                <w:color w:val="auto"/>
              </w:rPr>
            </w:pPr>
          </w:p>
        </w:tc>
        <w:tc>
          <w:tcPr>
            <w:tcW w:w="280" w:type="dxa"/>
            <w:vAlign w:val="bottom"/>
            <w:gridSpan w:val="4"/>
          </w:tcPr>
          <w:p>
            <w:pPr>
              <w:spacing w:after="0"/>
              <w:rPr>
                <w:sz w:val="19"/>
                <w:szCs w:val="19"/>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7760" w:type="dxa"/>
            <w:vAlign w:val="bottom"/>
            <w:gridSpan w:val="12"/>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2002, by Chief Financial Officer.</w:t>
              </w:r>
            </w:hyperlink>
          </w:p>
        </w:tc>
        <w:tc>
          <w:tcPr>
            <w:tcW w:w="280" w:type="dxa"/>
            <w:vAlign w:val="bottom"/>
            <w:gridSpan w:val="4"/>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r>
      <w:tr>
        <w:trPr>
          <w:trHeight w:val="50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w:t>
            </w: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1" w:lineRule="exact"/>
        <w:rPr>
          <w:sz w:val="20"/>
          <w:szCs w:val="20"/>
          <w:color w:val="auto"/>
        </w:rPr>
      </w:pPr>
    </w:p>
    <w:p>
      <w:pPr>
        <w:ind w:left="320" w:hanging="270"/>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439"/>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2020</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194"/>
        </w:trPr>
        <w:tc>
          <w:tcPr>
            <w:tcW w:w="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40" w:type="dxa"/>
            <w:vAlign w:val="bottom"/>
          </w:tcPr>
          <w:p>
            <w:pPr>
              <w:ind w:left="206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Steven R. Beauchamp</w:t>
            </w: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(Principal</w:t>
            </w:r>
          </w:p>
        </w:tc>
      </w:tr>
      <w:tr>
        <w:trPr>
          <w:trHeight w:val="238"/>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Officer) and Director</w:t>
            </w:r>
          </w:p>
        </w:tc>
      </w:tr>
      <w:tr>
        <w:trPr>
          <w:trHeight w:val="655"/>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2020</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194"/>
        </w:trPr>
        <w:tc>
          <w:tcPr>
            <w:tcW w:w="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40" w:type="dxa"/>
            <w:vAlign w:val="bottom"/>
          </w:tcPr>
          <w:p>
            <w:pPr>
              <w:ind w:left="206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Toby J. Williams</w:t>
            </w: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w:t>
            </w:r>
          </w:p>
        </w:tc>
      </w:tr>
      <w:tr>
        <w:trPr>
          <w:trHeight w:val="238"/>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Officer)</w:t>
            </w:r>
          </w:p>
        </w:tc>
      </w:tr>
      <w:tr>
        <w:trPr>
          <w:trHeight w:val="904"/>
        </w:trPr>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34</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98" w:lineRule="exact"/>
        <w:rPr>
          <w:sz w:val="20"/>
          <w:szCs w:val="20"/>
          <w:color w:val="auto"/>
        </w:rPr>
      </w:pPr>
    </w:p>
    <w:p>
      <w:pPr>
        <w:ind w:left="1340" w:hanging="408"/>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500" w:right="299" w:firstLine="432"/>
        <w:spacing w:after="0" w:line="250" w:lineRule="auto"/>
        <w:tabs>
          <w:tab w:leader="none" w:pos="13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500" w:right="119" w:firstLine="432"/>
        <w:spacing w:after="0" w:line="250" w:lineRule="auto"/>
        <w:tabs>
          <w:tab w:leader="none" w:pos="13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00" w:right="199" w:firstLine="432"/>
        <w:spacing w:after="0" w:line="272" w:lineRule="auto"/>
        <w:tabs>
          <w:tab w:leader="none" w:pos="134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7"/>
          <w:szCs w:val="17"/>
          <w:color w:val="auto"/>
        </w:rPr>
      </w:pPr>
    </w:p>
    <w:p>
      <w:pPr>
        <w:ind w:left="940" w:right="139" w:firstLine="432"/>
        <w:spacing w:after="0" w:line="245" w:lineRule="auto"/>
        <w:tabs>
          <w:tab w:leader="none" w:pos="17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jc w:val="both"/>
        <w:ind w:left="940" w:right="99" w:firstLine="432"/>
        <w:spacing w:after="0" w:line="245" w:lineRule="auto"/>
        <w:tabs>
          <w:tab w:leader="none" w:pos="17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ind w:left="940" w:right="219" w:firstLine="432"/>
        <w:spacing w:after="0" w:line="250" w:lineRule="auto"/>
        <w:tabs>
          <w:tab w:leader="none" w:pos="17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940" w:right="199" w:firstLine="432"/>
        <w:spacing w:after="0" w:line="250" w:lineRule="auto"/>
        <w:tabs>
          <w:tab w:leader="none" w:pos="17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2020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500" w:right="179" w:firstLine="432"/>
        <w:spacing w:after="0" w:line="250" w:lineRule="auto"/>
        <w:tabs>
          <w:tab w:leader="none" w:pos="13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40" w:right="279" w:firstLine="432"/>
        <w:spacing w:after="0" w:line="250" w:lineRule="auto"/>
        <w:tabs>
          <w:tab w:leader="none" w:pos="17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40" w:right="479" w:firstLine="432"/>
        <w:spacing w:after="0" w:line="266" w:lineRule="auto"/>
        <w:tabs>
          <w:tab w:leader="none" w:pos="17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2020</w:t>
            </w: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187"/>
        </w:trPr>
        <w:tc>
          <w:tcPr>
            <w:tcW w:w="5080" w:type="dxa"/>
            <w:vAlign w:val="bottom"/>
          </w:tcPr>
          <w:p>
            <w:pPr>
              <w:ind w:left="446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Steven R. Beauchamp</w:t>
            </w:r>
          </w:p>
        </w:tc>
        <w:tc>
          <w:tcPr>
            <w:tcW w:w="20" w:type="dxa"/>
            <w:vAlign w:val="bottom"/>
          </w:tcPr>
          <w:p>
            <w:pPr>
              <w:spacing w:after="0"/>
              <w:rPr>
                <w:sz w:val="16"/>
                <w:szCs w:val="16"/>
                <w:color w:val="auto"/>
              </w:rPr>
            </w:pPr>
          </w:p>
        </w:tc>
      </w:tr>
      <w:tr>
        <w:trPr>
          <w:trHeight w:val="238"/>
        </w:trPr>
        <w:tc>
          <w:tcPr>
            <w:tcW w:w="50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w:t>
            </w:r>
          </w:p>
        </w:tc>
      </w:tr>
      <w:tr>
        <w:trPr>
          <w:trHeight w:val="243"/>
        </w:trPr>
        <w:tc>
          <w:tcPr>
            <w:tcW w:w="5080" w:type="dxa"/>
            <w:vAlign w:val="bottom"/>
          </w:tcPr>
          <w:p>
            <w:pPr>
              <w:spacing w:after="0"/>
              <w:rPr>
                <w:sz w:val="21"/>
                <w:szCs w:val="21"/>
                <w:color w:val="auto"/>
              </w:rPr>
            </w:pP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776"/>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98" w:lineRule="exact"/>
        <w:rPr>
          <w:sz w:val="20"/>
          <w:szCs w:val="20"/>
          <w:color w:val="auto"/>
        </w:rPr>
      </w:pPr>
    </w:p>
    <w:p>
      <w:pPr>
        <w:ind w:left="1340" w:hanging="408"/>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500" w:right="299" w:firstLine="432"/>
        <w:spacing w:after="0" w:line="250" w:lineRule="auto"/>
        <w:tabs>
          <w:tab w:leader="none" w:pos="13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500" w:right="119" w:firstLine="432"/>
        <w:spacing w:after="0" w:line="250" w:lineRule="auto"/>
        <w:tabs>
          <w:tab w:leader="none" w:pos="13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00" w:right="199" w:firstLine="432"/>
        <w:spacing w:after="0" w:line="272" w:lineRule="auto"/>
        <w:tabs>
          <w:tab w:leader="none" w:pos="134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7"/>
          <w:szCs w:val="17"/>
          <w:color w:val="auto"/>
        </w:rPr>
      </w:pPr>
    </w:p>
    <w:p>
      <w:pPr>
        <w:ind w:left="940" w:right="139" w:firstLine="432"/>
        <w:spacing w:after="0" w:line="245" w:lineRule="auto"/>
        <w:tabs>
          <w:tab w:leader="none" w:pos="17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jc w:val="both"/>
        <w:ind w:left="940" w:right="99" w:firstLine="432"/>
        <w:spacing w:after="0" w:line="245" w:lineRule="auto"/>
        <w:tabs>
          <w:tab w:leader="none" w:pos="1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ind w:left="940" w:right="219" w:firstLine="432"/>
        <w:spacing w:after="0" w:line="250" w:lineRule="auto"/>
        <w:tabs>
          <w:tab w:leader="none" w:pos="17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940" w:right="199" w:firstLine="432"/>
        <w:spacing w:after="0" w:line="250" w:lineRule="auto"/>
        <w:tabs>
          <w:tab w:leader="none" w:pos="1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2020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500" w:right="179" w:firstLine="432"/>
        <w:spacing w:after="0" w:line="250" w:lineRule="auto"/>
        <w:tabs>
          <w:tab w:leader="none" w:pos="13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40" w:right="279" w:firstLine="432"/>
        <w:spacing w:after="0" w:line="250" w:lineRule="auto"/>
        <w:tabs>
          <w:tab w:leader="none" w:pos="17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40" w:right="479" w:firstLine="432"/>
        <w:spacing w:after="0" w:line="266" w:lineRule="auto"/>
        <w:tabs>
          <w:tab w:leader="none" w:pos="17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2020</w:t>
            </w: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174"/>
        </w:trPr>
        <w:tc>
          <w:tcPr>
            <w:tcW w:w="5080" w:type="dxa"/>
            <w:vAlign w:val="bottom"/>
          </w:tcPr>
          <w:p>
            <w:pPr>
              <w:ind w:left="4460"/>
              <w:spacing w:after="0" w:line="174" w:lineRule="exact"/>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Toby J. Williams</w:t>
            </w:r>
          </w:p>
        </w:tc>
        <w:tc>
          <w:tcPr>
            <w:tcW w:w="20" w:type="dxa"/>
            <w:vAlign w:val="bottom"/>
          </w:tcPr>
          <w:p>
            <w:pPr>
              <w:spacing w:after="0"/>
              <w:rPr>
                <w:sz w:val="15"/>
                <w:szCs w:val="15"/>
                <w:color w:val="auto"/>
              </w:rPr>
            </w:pPr>
          </w:p>
        </w:tc>
      </w:tr>
      <w:tr>
        <w:trPr>
          <w:trHeight w:val="203"/>
        </w:trPr>
        <w:tc>
          <w:tcPr>
            <w:tcW w:w="5080" w:type="dxa"/>
            <w:vAlign w:val="bottom"/>
          </w:tcPr>
          <w:p>
            <w:pPr>
              <w:ind w:left="4460"/>
              <w:spacing w:after="0" w:line="202" w:lineRule="exact"/>
              <w:rPr>
                <w:sz w:val="20"/>
                <w:szCs w:val="20"/>
                <w:color w:val="auto"/>
              </w:rPr>
            </w:pPr>
            <w:r>
              <w:rPr>
                <w:rFonts w:ascii="Times New Roman" w:cs="Times New Roman" w:eastAsia="Times New Roman" w:hAnsi="Times New Roman"/>
                <w:sz w:val="18"/>
                <w:szCs w:val="18"/>
                <w:b w:val="1"/>
                <w:bCs w:val="1"/>
                <w:color w:val="auto"/>
              </w:rPr>
              <w:t>Title:</w:t>
            </w:r>
          </w:p>
        </w:tc>
        <w:tc>
          <w:tcPr>
            <w:tcW w:w="38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w:t>
            </w:r>
          </w:p>
        </w:tc>
      </w:tr>
      <w:tr>
        <w:trPr>
          <w:trHeight w:val="238"/>
        </w:trPr>
        <w:tc>
          <w:tcPr>
            <w:tcW w:w="508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w:t>
            </w:r>
          </w:p>
        </w:tc>
      </w:tr>
      <w:tr>
        <w:trPr>
          <w:trHeight w:val="749"/>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left="60" w:right="79"/>
        <w:spacing w:after="0" w:line="24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68" w:lineRule="exact"/>
        <w:rPr>
          <w:sz w:val="20"/>
          <w:szCs w:val="20"/>
          <w:color w:val="auto"/>
        </w:rPr>
      </w:pPr>
    </w:p>
    <w:p>
      <w:pPr>
        <w:ind w:left="60" w:right="159" w:firstLine="441"/>
        <w:spacing w:after="0" w:line="241"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70" w:lineRule="exact"/>
        <w:rPr>
          <w:sz w:val="20"/>
          <w:szCs w:val="20"/>
          <w:color w:val="auto"/>
        </w:rPr>
      </w:pPr>
    </w:p>
    <w:p>
      <w:pPr>
        <w:ind w:left="60"/>
        <w:spacing w:after="0"/>
        <w:tabs>
          <w:tab w:leader="none" w:pos="580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Steven R. Beauchamp</w:t>
      </w:r>
    </w:p>
    <w:p>
      <w:pPr>
        <w:jc w:val="cente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 (Principal Executive Officer) and</w:t>
      </w:r>
    </w:p>
    <w:p>
      <w:pPr>
        <w:spacing w:after="0" w:line="1"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178" w:lineRule="exact"/>
        <w:rPr>
          <w:sz w:val="20"/>
          <w:szCs w:val="20"/>
          <w:color w:val="auto"/>
        </w:rPr>
      </w:pPr>
    </w:p>
    <w:p>
      <w:pPr>
        <w:ind w:left="60" w:right="319" w:firstLine="441"/>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320675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ind w:left="60" w:right="79"/>
        <w:spacing w:after="0" w:line="24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68" w:lineRule="exact"/>
        <w:rPr>
          <w:sz w:val="20"/>
          <w:szCs w:val="20"/>
          <w:color w:val="auto"/>
        </w:rPr>
      </w:pPr>
    </w:p>
    <w:p>
      <w:pPr>
        <w:ind w:left="60" w:right="59" w:firstLine="441"/>
        <w:spacing w:after="0" w:line="241"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2020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4" w:lineRule="exact"/>
        <w:rPr>
          <w:sz w:val="20"/>
          <w:szCs w:val="20"/>
          <w:color w:val="auto"/>
        </w:rPr>
      </w:pPr>
    </w:p>
    <w:p>
      <w:pPr>
        <w:ind w:left="60"/>
        <w:spacing w:after="0"/>
        <w:tabs>
          <w:tab w:leader="none" w:pos="5820" w:val="left"/>
        </w:tabs>
        <w:rPr>
          <w:sz w:val="20"/>
          <w:szCs w:val="20"/>
          <w:color w:val="auto"/>
        </w:rPr>
      </w:pPr>
      <w:r>
        <w:rPr>
          <w:rFonts w:ascii="Times New Roman" w:cs="Times New Roman" w:eastAsia="Times New Roman" w:hAnsi="Times New Roman"/>
          <w:sz w:val="18"/>
          <w:szCs w:val="18"/>
          <w:color w:val="auto"/>
        </w:rPr>
        <w:t>Dated: November 6, 2020</w:t>
      </w:r>
      <w:r>
        <w:rPr>
          <w:sz w:val="20"/>
          <w:szCs w:val="20"/>
          <w:color w:val="auto"/>
        </w:rPr>
        <w:tab/>
      </w:r>
      <w:r>
        <w:rPr>
          <w:rFonts w:ascii="Times New Roman" w:cs="Times New Roman" w:eastAsia="Times New Roman" w:hAnsi="Times New Roman"/>
          <w:sz w:val="17"/>
          <w:szCs w:val="17"/>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8890</wp:posOffset>
            </wp:positionV>
            <wp:extent cx="30257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b w:val="1"/>
          <w:bCs w:val="1"/>
          <w:color w:val="auto"/>
        </w:rPr>
        <w:t>Toby J. Williams</w:t>
      </w:r>
    </w:p>
    <w:p>
      <w:pPr>
        <w:jc w:val="center"/>
        <w:ind w:left="41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178" w:lineRule="exact"/>
        <w:rPr>
          <w:sz w:val="20"/>
          <w:szCs w:val="20"/>
          <w:color w:val="auto"/>
        </w:rPr>
      </w:pPr>
    </w:p>
    <w:p>
      <w:pPr>
        <w:ind w:left="60" w:right="319" w:firstLine="441"/>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320675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1)"/>
      <w:numFmt w:val="lowerLetter"/>
      <w:start w:val="5"/>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1" Type="http://schemas.openxmlformats.org/officeDocument/2006/relationships/hyperlink" Target="http://www.sec.gov/Archives/edgar/data/1591698/000104746914000931/a2218171zex-3_2.htm" TargetMode="External"/><Relationship Id="rId52" Type="http://schemas.openxmlformats.org/officeDocument/2006/relationships/hyperlink" Target="http://www.sec.gov/Archives/edgar/data/1591698/000155837017006561/pcty-20170630ex321ac616a.htm" TargetMode="External"/><Relationship Id="rId53" Type="http://schemas.openxmlformats.org/officeDocument/2006/relationships/hyperlink" Target="https://www.sec.gov/Archives/edgar/data/1591698/000110465920096509/tm20275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2020-11-06T09:04:08Z</dcterms:created>
  <dcterms:modified xsi:type="dcterms:W3CDTF">2020-11-06T09:04:08Z</dcterms:modified>
</cp:coreProperties>
</file>