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133350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160020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December 31, 2020</w:t>
      </w:r>
    </w:p>
    <w:p>
      <w:pPr>
        <w:spacing w:after="0" w:line="140"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940"/>
        <w:spacing w:after="0"/>
        <w:tabs>
          <w:tab w:leader="none" w:pos="59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152400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7"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2600" w:type="dxa"/>
            <w:vAlign w:val="bottom"/>
          </w:tcPr>
          <w:p>
            <w:pPr>
              <w:jc w:val="center"/>
              <w:ind w:left="668"/>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260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ind w:right="70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2600" w:type="dxa"/>
            <w:vAlign w:val="bottom"/>
          </w:tcPr>
          <w:p>
            <w:pPr>
              <w:jc w:val="center"/>
              <w:ind w:left="668"/>
              <w:spacing w:after="0"/>
              <w:rPr>
                <w:sz w:val="20"/>
                <w:szCs w:val="20"/>
                <w:color w:val="auto"/>
              </w:rPr>
            </w:pPr>
            <w:r>
              <w:rPr>
                <w:rFonts w:ascii="Arial" w:cs="Arial" w:eastAsia="Arial" w:hAnsi="Arial"/>
                <w:sz w:val="14"/>
                <w:szCs w:val="14"/>
                <w:color w:val="auto"/>
                <w:w w:val="95"/>
              </w:rPr>
              <w:t>incorporation or organization)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jc w:val="center"/>
              <w:ind w:right="70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86"/>
        </w:trPr>
        <w:tc>
          <w:tcPr>
            <w:tcW w:w="2600" w:type="dxa"/>
            <w:vAlign w:val="bottom"/>
          </w:tcPr>
          <w:p>
            <w:pPr>
              <w:jc w:val="center"/>
              <w:ind w:left="768"/>
              <w:spacing w:after="0"/>
              <w:rPr>
                <w:sz w:val="20"/>
                <w:szCs w:val="20"/>
                <w:color w:val="auto"/>
              </w:rPr>
            </w:pPr>
            <w:r>
              <w:rPr>
                <w:rFonts w:ascii="Arial" w:cs="Arial" w:eastAsia="Arial" w:hAnsi="Arial"/>
                <w:sz w:val="14"/>
                <w:szCs w:val="14"/>
                <w:b w:val="1"/>
                <w:bCs w:val="1"/>
                <w:color w:val="auto"/>
                <w:w w:val="94"/>
              </w:rPr>
              <w:t>1400 American Lane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vMerge w:val="restart"/>
          </w:tcPr>
          <w:p>
            <w:pPr>
              <w:jc w:val="right"/>
              <w:ind w:right="148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2"/>
        </w:trPr>
        <w:tc>
          <w:tcPr>
            <w:tcW w:w="2600" w:type="dxa"/>
            <w:vAlign w:val="bottom"/>
          </w:tcPr>
          <w:p>
            <w:pPr>
              <w:jc w:val="center"/>
              <w:ind w:left="78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960" w:type="dxa"/>
            <w:vAlign w:val="bottom"/>
            <w:gridSpan w:val="8"/>
          </w:tcPr>
          <w:p>
            <w:pPr>
              <w:jc w:val="center"/>
              <w:ind w:right="2520"/>
              <w:spacing w:after="0" w:line="145" w:lineRule="exact"/>
              <w:rPr>
                <w:sz w:val="20"/>
                <w:szCs w:val="20"/>
                <w:color w:val="auto"/>
              </w:rPr>
            </w:pPr>
            <w:r>
              <w:rPr>
                <w:rFonts w:ascii="Arial" w:cs="Arial" w:eastAsia="Arial" w:hAnsi="Arial"/>
                <w:sz w:val="14"/>
                <w:szCs w:val="14"/>
                <w:color w:val="auto"/>
                <w:w w:val="95"/>
              </w:rPr>
              <w:t>(Address of principal executive offices)</w:t>
            </w:r>
          </w:p>
        </w:tc>
        <w:tc>
          <w:tcPr>
            <w:tcW w:w="2620" w:type="dxa"/>
            <w:vAlign w:val="bottom"/>
          </w:tcPr>
          <w:p>
            <w:pPr>
              <w:jc w:val="center"/>
              <w:ind w:right="788"/>
              <w:spacing w:after="0" w:line="145" w:lineRule="exact"/>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2960" w:type="dxa"/>
            <w:vAlign w:val="bottom"/>
            <w:gridSpan w:val="4"/>
          </w:tcPr>
          <w:p>
            <w:pPr>
              <w:jc w:val="center"/>
              <w:ind w:left="348"/>
              <w:spacing w:after="0" w:line="153" w:lineRule="exact"/>
              <w:rPr>
                <w:sz w:val="20"/>
                <w:szCs w:val="20"/>
                <w:color w:val="auto"/>
              </w:rPr>
            </w:pPr>
            <w:r>
              <w:rPr>
                <w:rFonts w:ascii="Arial" w:cs="Arial" w:eastAsia="Arial" w:hAnsi="Arial"/>
                <w:sz w:val="14"/>
                <w:szCs w:val="14"/>
                <w:b w:val="1"/>
                <w:bCs w:val="1"/>
                <w:color w:val="auto"/>
                <w:w w:val="93"/>
              </w:rPr>
              <w:t>(847) 463-3200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gridSpan w:val="6"/>
          </w:tcPr>
          <w:p>
            <w:pPr>
              <w:jc w:val="center"/>
              <w:ind w:right="100"/>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600" w:type="dxa"/>
            <w:vAlign w:val="bottom"/>
          </w:tcPr>
          <w:p>
            <w:pPr>
              <w:spacing w:after="0"/>
              <w:rPr>
                <w:sz w:val="5"/>
                <w:szCs w:val="5"/>
                <w:color w:val="auto"/>
              </w:rPr>
            </w:pPr>
          </w:p>
        </w:tc>
        <w:tc>
          <w:tcPr>
            <w:tcW w:w="400" w:type="dxa"/>
            <w:vAlign w:val="bottom"/>
            <w:gridSpan w:val="3"/>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400" w:type="dxa"/>
            <w:vAlign w:val="bottom"/>
            <w:gridSpan w:val="3"/>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600" w:type="dxa"/>
            <w:vAlign w:val="bottom"/>
          </w:tcPr>
          <w:p>
            <w:pPr>
              <w:spacing w:after="0"/>
              <w:rPr>
                <w:sz w:val="19"/>
                <w:szCs w:val="19"/>
                <w:color w:val="auto"/>
              </w:rPr>
            </w:pPr>
          </w:p>
        </w:tc>
        <w:tc>
          <w:tcPr>
            <w:tcW w:w="3360" w:type="dxa"/>
            <w:vAlign w:val="bottom"/>
            <w:gridSpan w:val="7"/>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60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Trading Symbol(s)</w:t>
            </w:r>
          </w:p>
        </w:tc>
        <w:tc>
          <w:tcPr>
            <w:tcW w:w="262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5"/>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Pr>
          <w:p>
            <w:pPr>
              <w:jc w:val="center"/>
              <w:ind w:left="8"/>
              <w:spacing w:after="0"/>
              <w:rPr>
                <w:sz w:val="20"/>
                <w:szCs w:val="20"/>
                <w:color w:val="auto"/>
              </w:rPr>
            </w:pPr>
            <w:r>
              <w:rPr>
                <w:rFonts w:ascii="Arial" w:cs="Arial" w:eastAsia="Arial" w:hAnsi="Arial"/>
                <w:sz w:val="14"/>
                <w:szCs w:val="14"/>
                <w:color w:val="auto"/>
                <w:w w:val="91"/>
              </w:rPr>
              <w:t>Common Stock, par value $0.001 per share</w:t>
            </w: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PCTY</w:t>
            </w:r>
          </w:p>
        </w:tc>
        <w:tc>
          <w:tcPr>
            <w:tcW w:w="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jc w:val="center"/>
              <w:ind w:right="88"/>
              <w:spacing w:after="0"/>
              <w:rPr>
                <w:sz w:val="20"/>
                <w:szCs w:val="20"/>
                <w:color w:val="auto"/>
              </w:rPr>
            </w:pPr>
            <w:r>
              <w:rPr>
                <w:rFonts w:ascii="Arial" w:cs="Arial" w:eastAsia="Arial" w:hAnsi="Arial"/>
                <w:sz w:val="14"/>
                <w:szCs w:val="14"/>
                <w:color w:val="auto"/>
                <w:w w:val="96"/>
              </w:rPr>
              <w:t>The NASDAQ Global Select Market LLC</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40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40" w:firstLine="441"/>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1240" w:type="dxa"/>
        <w:tblCellMar>
          <w:top w:w="0" w:type="dxa"/>
          <w:left w:w="0" w:type="dxa"/>
          <w:bottom w:w="0" w:type="dxa"/>
          <w:right w:w="0" w:type="dxa"/>
        </w:tblCellMar>
      </w:tblPr>
      <w:tr>
        <w:trPr>
          <w:trHeight w:val="226"/>
        </w:trPr>
        <w:tc>
          <w:tcPr>
            <w:tcW w:w="3300" w:type="dxa"/>
            <w:vAlign w:val="bottom"/>
          </w:tcPr>
          <w:p>
            <w:pPr>
              <w:spacing w:after="0" w:line="161" w:lineRule="exact"/>
              <w:rPr>
                <w:sz w:val="20"/>
                <w:szCs w:val="20"/>
                <w:color w:val="auto"/>
              </w:rPr>
            </w:pPr>
            <w:r>
              <w:rPr>
                <w:rFonts w:ascii="Arial" w:cs="Arial" w:eastAsia="Arial" w:hAnsi="Arial"/>
                <w:sz w:val="14"/>
                <w:szCs w:val="14"/>
                <w:color w:val="auto"/>
              </w:rPr>
              <w:t>Large Accelerated Filer</w:t>
            </w:r>
            <w:r>
              <w:rPr>
                <w:rFonts w:ascii="MS PGothic" w:cs="MS PGothic" w:eastAsia="MS PGothic" w:hAnsi="MS PGothic"/>
                <w:sz w:val="14"/>
                <w:szCs w:val="14"/>
                <w:color w:val="auto"/>
              </w:rPr>
              <w:t>☒</w:t>
            </w:r>
          </w:p>
        </w:tc>
        <w:tc>
          <w:tcPr>
            <w:tcW w:w="318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33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660" w:type="dxa"/>
            <w:vAlign w:val="bottom"/>
            <w:gridSpan w:val="2"/>
          </w:tcPr>
          <w:p>
            <w:pPr>
              <w:ind w:left="1820"/>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r>
      <w:tr>
        <w:trPr>
          <w:trHeight w:val="324"/>
        </w:trPr>
        <w:tc>
          <w:tcPr>
            <w:tcW w:w="3300" w:type="dxa"/>
            <w:vAlign w:val="bottom"/>
          </w:tcPr>
          <w:p>
            <w:pPr>
              <w:spacing w:after="0"/>
              <w:rPr>
                <w:sz w:val="24"/>
                <w:szCs w:val="24"/>
                <w:color w:val="auto"/>
              </w:rPr>
            </w:pPr>
          </w:p>
        </w:tc>
        <w:tc>
          <w:tcPr>
            <w:tcW w:w="3660" w:type="dxa"/>
            <w:vAlign w:val="bottom"/>
            <w:gridSpan w:val="2"/>
          </w:tcPr>
          <w:p>
            <w:pPr>
              <w:ind w:left="1820"/>
              <w:spacing w:after="0" w:line="161" w:lineRule="exact"/>
              <w:rPr>
                <w:sz w:val="20"/>
                <w:szCs w:val="20"/>
                <w:color w:val="auto"/>
              </w:rPr>
            </w:pPr>
            <w:r>
              <w:rPr>
                <w:rFonts w:ascii="Arial" w:cs="Arial" w:eastAsia="Arial" w:hAnsi="Arial"/>
                <w:sz w:val="14"/>
                <w:szCs w:val="14"/>
                <w:color w:val="auto"/>
                <w:w w:val="95"/>
              </w:rPr>
              <w:t xml:space="preserve">Emerging Growth Company </w:t>
            </w:r>
            <w:r>
              <w:rPr>
                <w:rFonts w:ascii="MS PGothic" w:cs="MS PGothic" w:eastAsia="MS PGothic" w:hAnsi="MS PGothic"/>
                <w:sz w:val="14"/>
                <w:szCs w:val="14"/>
                <w:color w:val="auto"/>
                <w:w w:val="95"/>
              </w:rPr>
              <w:t>☐</w:t>
            </w:r>
          </w:p>
        </w:tc>
      </w:tr>
    </w:tbl>
    <w:p>
      <w:pPr>
        <w:spacing w:after="0" w:line="180" w:lineRule="exact"/>
        <w:rPr>
          <w:sz w:val="24"/>
          <w:szCs w:val="24"/>
          <w:color w:val="auto"/>
        </w:rPr>
      </w:pPr>
    </w:p>
    <w:p>
      <w:pPr>
        <w:ind w:right="32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right="80"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54,373,384 shares of Common Stock, $0.001 par value per share, as of January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405130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42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jc w:val="center"/>
              <w:ind w:right="1580"/>
              <w:spacing w:after="0"/>
              <w:rPr>
                <w:rFonts w:ascii="Arial" w:cs="Arial" w:eastAsia="Arial" w:hAnsi="Arial"/>
                <w:sz w:val="18"/>
                <w:szCs w:val="18"/>
                <w:u w:val="single" w:color="auto"/>
                <w:color w:val="0000EE"/>
                <w:w w:val="98"/>
              </w:rPr>
            </w:pPr>
            <w:hyperlink w:anchor="page3">
              <w:r>
                <w:rPr>
                  <w:rFonts w:ascii="Arial" w:cs="Arial" w:eastAsia="Arial" w:hAnsi="Arial"/>
                  <w:sz w:val="18"/>
                  <w:szCs w:val="18"/>
                  <w:u w:val="single" w:color="auto"/>
                  <w:color w:val="0000EE"/>
                  <w:w w:val="98"/>
                </w:rPr>
                <w:t>PART I. FINANCIAL INFORMATION</w:t>
              </w:r>
            </w:hyperlink>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Balance Sheets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 and Comprehensive Income</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 of Changes in Stockholders’ Equity</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Cash Flows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Unaudited Consolidated Financial Statements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9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OF OPERATIONS</w:t>
              </w:r>
            </w:hyperlink>
          </w:p>
        </w:tc>
        <w:tc>
          <w:tcPr>
            <w:tcW w:w="28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 QUANTITATIVE AND QUALITATIVE DISCLOSURES ABOUT MARKET RISK</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jc w:val="center"/>
              <w:ind w:right="1580"/>
              <w:spacing w:after="0"/>
              <w:rPr>
                <w:rFonts w:ascii="Arial" w:cs="Arial" w:eastAsia="Arial" w:hAnsi="Arial"/>
                <w:sz w:val="18"/>
                <w:szCs w:val="18"/>
                <w:u w:val="single" w:color="auto"/>
                <w:color w:val="0000EE"/>
                <w:w w:val="95"/>
              </w:rPr>
            </w:pPr>
            <w:hyperlink w:anchor="page35">
              <w:r>
                <w:rPr>
                  <w:rFonts w:ascii="Arial" w:cs="Arial" w:eastAsia="Arial" w:hAnsi="Arial"/>
                  <w:sz w:val="18"/>
                  <w:szCs w:val="18"/>
                  <w:u w:val="single" w:color="auto"/>
                  <w:color w:val="0000EE"/>
                  <w:w w:val="95"/>
                </w:rPr>
                <w:t>PART II. 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 LEGAL PROCEEDINGS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1A. RISK FACTORS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 UNREGISTERED SALES OF EQUITY SECURITIES AND USE OF PROCEEDS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DEFAULTS UPON SENIOR SECURITIES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 MINE SAFETY DISCLOSURES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5. OTHER INFORMATION</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6. EXHIBITS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648"/>
        </w:trPr>
        <w:tc>
          <w:tcPr>
            <w:tcW w:w="8160" w:type="dxa"/>
            <w:vAlign w:val="bottom"/>
            <w:gridSpan w:val="3"/>
          </w:tcPr>
          <w:p>
            <w:pPr>
              <w:jc w:val="right"/>
              <w:ind w:right="357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INFORMATION</w:t>
      </w:r>
    </w:p>
    <w:p>
      <w:pPr>
        <w:spacing w:after="0" w:line="10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218,696</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Corporate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13,637</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Deferred contract costs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37,447</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80" w:type="dxa"/>
            <w:vAlign w:val="bottom"/>
            <w:shd w:val="clear" w:color="auto" w:fill="CCEEFF"/>
          </w:tcPr>
          <w:p>
            <w:pPr>
              <w:spacing w:after="0"/>
              <w:rPr>
                <w:sz w:val="18"/>
                <w:szCs w:val="18"/>
                <w:color w:val="auto"/>
              </w:rPr>
            </w:pPr>
          </w:p>
        </w:tc>
      </w:tr>
      <w:tr>
        <w:trPr>
          <w:trHeight w:val="209"/>
        </w:trPr>
        <w:tc>
          <w:tcPr>
            <w:tcW w:w="670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335,850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291,531</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1,327,304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2,204,286</w:t>
            </w:r>
          </w:p>
        </w:tc>
        <w:tc>
          <w:tcPr>
            <w:tcW w:w="80" w:type="dxa"/>
            <w:vAlign w:val="bottom"/>
            <w:shd w:val="clear" w:color="auto" w:fill="CCEEFF"/>
          </w:tcPr>
          <w:p>
            <w:pPr>
              <w:spacing w:after="0"/>
              <w:rPr>
                <w:sz w:val="18"/>
                <w:szCs w:val="18"/>
                <w:color w:val="auto"/>
              </w:rPr>
            </w:pPr>
          </w:p>
        </w:tc>
      </w:tr>
      <w:tr>
        <w:trPr>
          <w:trHeight w:val="209"/>
        </w:trPr>
        <w:tc>
          <w:tcPr>
            <w:tcW w:w="67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1,663,154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2,495,817</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40,623</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64,066</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15,083</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33,184</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144,027</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prepaid expenses and other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9,516</w:t>
            </w:r>
          </w:p>
        </w:tc>
        <w:tc>
          <w:tcPr>
            <w:tcW w:w="80" w:type="dxa"/>
            <w:vAlign w:val="bottom"/>
            <w:tcBorders>
              <w:bottom w:val="single" w:sz="8" w:color="CCEEFF"/>
            </w:tcBorders>
          </w:tcPr>
          <w:p>
            <w:pPr>
              <w:spacing w:after="0"/>
              <w:rPr>
                <w:sz w:val="18"/>
                <w:szCs w:val="18"/>
                <w:color w:val="auto"/>
              </w:rPr>
            </w:pPr>
          </w:p>
        </w:tc>
      </w:tr>
      <w:tr>
        <w:trPr>
          <w:trHeight w:val="209"/>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1,985,648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2,850,963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64,204</w:t>
            </w:r>
          </w:p>
        </w:tc>
        <w:tc>
          <w:tcPr>
            <w:tcW w:w="8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66,975</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1,327,304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2,204,286</w:t>
            </w:r>
          </w:p>
        </w:tc>
        <w:tc>
          <w:tcPr>
            <w:tcW w:w="8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1,408,940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2,271,261</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69,672</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1,592,740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2,442,745</w:t>
            </w:r>
          </w:p>
        </w:tc>
        <w:tc>
          <w:tcPr>
            <w:tcW w:w="8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700" w:type="dxa"/>
            <w:vAlign w:val="bottom"/>
          </w:tcPr>
          <w:p>
            <w:pPr>
              <w:ind w:left="220"/>
              <w:spacing w:after="0" w:line="201" w:lineRule="exact"/>
              <w:rPr>
                <w:sz w:val="20"/>
                <w:szCs w:val="20"/>
                <w:color w:val="auto"/>
              </w:rPr>
            </w:pPr>
            <w:r>
              <w:rPr>
                <w:rFonts w:ascii="Arial" w:cs="Arial" w:eastAsia="Arial" w:hAnsi="Arial"/>
                <w:sz w:val="18"/>
                <w:szCs w:val="18"/>
                <w:color w:val="auto"/>
                <w:w w:val="93"/>
              </w:rPr>
              <w:t>Preferred stock, $0.001 par value, 5,000 authorized, no shares issued and outstanding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at June 30, 2020 and December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2"/>
        </w:trPr>
        <w:tc>
          <w:tcPr>
            <w:tcW w:w="6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stock, $0.001 par value, 155,000 shares authorized at June 30, 2020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December 31, 2020; 53,792 shares issued and outstanding at June 30, 2020 and 54,370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December 31, 2020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227,907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221,525</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186,374</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392,908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408,218</w:t>
            </w:r>
          </w:p>
        </w:tc>
        <w:tc>
          <w:tcPr>
            <w:tcW w:w="80" w:type="dxa"/>
            <w:vAlign w:val="bottom"/>
            <w:shd w:val="clear" w:color="auto" w:fill="CCEEFF"/>
          </w:tcPr>
          <w:p>
            <w:pPr>
              <w:spacing w:after="0"/>
              <w:rPr>
                <w:sz w:val="18"/>
                <w:szCs w:val="18"/>
                <w:color w:val="auto"/>
              </w:rPr>
            </w:pPr>
          </w:p>
        </w:tc>
      </w:tr>
      <w:tr>
        <w:trPr>
          <w:trHeight w:val="209"/>
        </w:trPr>
        <w:tc>
          <w:tcPr>
            <w:tcW w:w="67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1,985,648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2,850,963</w:t>
            </w:r>
          </w:p>
        </w:tc>
        <w:tc>
          <w:tcPr>
            <w:tcW w:w="8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Recurring and other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127,980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145,393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249,853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280,268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132,374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146,329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259,094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282,123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102,922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171,040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179,201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158,926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169,401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19,373</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net of tax</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19,341</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10</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35</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2"/>
              </w:rPr>
              <w:t>Weighted-average shares used in computing net income 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55,826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56,343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55,692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20" w:right="1700"/>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21"/>
          </w:tcPr>
          <w:p>
            <w:pPr>
              <w:spacing w:after="0"/>
              <w:rPr>
                <w:sz w:val="20"/>
                <w:szCs w:val="20"/>
                <w:color w:val="auto"/>
              </w:rPr>
            </w:pPr>
            <w:r>
              <w:rPr>
                <w:rFonts w:ascii="Arial" w:cs="Arial" w:eastAsia="Arial" w:hAnsi="Arial"/>
                <w:sz w:val="13"/>
                <w:szCs w:val="13"/>
                <w:b w:val="1"/>
                <w:bCs w:val="1"/>
                <w:color w:val="auto"/>
              </w:rPr>
              <w:t>Three Months Ended December 31, 2019</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6"/>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jc w:val="right"/>
              <w:ind w:right="1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12"/>
          </w:tcPr>
          <w:p>
            <w:pPr>
              <w:ind w:left="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87"/>
              </w:rPr>
              <w:t>Paid-in</w:t>
            </w:r>
          </w:p>
        </w:tc>
        <w:tc>
          <w:tcPr>
            <w:tcW w:w="40" w:type="dxa"/>
            <w:vAlign w:val="bottom"/>
          </w:tcPr>
          <w:p>
            <w:pPr>
              <w:spacing w:after="0"/>
              <w:rPr>
                <w:sz w:val="13"/>
                <w:szCs w:val="13"/>
                <w:color w:val="auto"/>
              </w:rPr>
            </w:pPr>
          </w:p>
        </w:tc>
        <w:tc>
          <w:tcPr>
            <w:tcW w:w="740" w:type="dxa"/>
            <w:vAlign w:val="bottom"/>
            <w:gridSpan w:val="5"/>
          </w:tcPr>
          <w:p>
            <w:pPr>
              <w:ind w:left="40"/>
              <w:spacing w:after="0"/>
              <w:rPr>
                <w:sz w:val="20"/>
                <w:szCs w:val="20"/>
                <w:color w:val="auto"/>
              </w:rPr>
            </w:pPr>
            <w:r>
              <w:rPr>
                <w:rFonts w:ascii="Arial" w:cs="Arial" w:eastAsia="Arial" w:hAnsi="Arial"/>
                <w:sz w:val="13"/>
                <w:szCs w:val="13"/>
                <w:b w:val="1"/>
                <w:bCs w:val="1"/>
                <w:color w:val="auto"/>
              </w:rPr>
              <w:t>Retained</w:t>
            </w:r>
          </w:p>
        </w:tc>
        <w:tc>
          <w:tcPr>
            <w:tcW w:w="96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4"/>
          </w:tcPr>
          <w:p>
            <w:pPr>
              <w:ind w:left="20"/>
              <w:spacing w:after="0"/>
              <w:rPr>
                <w:sz w:val="20"/>
                <w:szCs w:val="20"/>
                <w:color w:val="auto"/>
              </w:rPr>
            </w:pPr>
            <w:r>
              <w:rPr>
                <w:rFonts w:ascii="Arial" w:cs="Arial" w:eastAsia="Arial" w:hAnsi="Arial"/>
                <w:sz w:val="13"/>
                <w:szCs w:val="13"/>
                <w:b w:val="1"/>
                <w:bCs w:val="1"/>
                <w:color w:val="auto"/>
                <w:w w:val="93"/>
              </w:rPr>
              <w:t>Stockholders’</w:t>
            </w:r>
          </w:p>
        </w:tc>
      </w:tr>
      <w:tr>
        <w:trPr>
          <w:trHeight w:val="129"/>
        </w:trPr>
        <w:tc>
          <w:tcPr>
            <w:tcW w:w="4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right"/>
              <w:ind w:right="260"/>
              <w:spacing w:after="0" w:line="129" w:lineRule="exact"/>
              <w:rPr>
                <w:sz w:val="20"/>
                <w:szCs w:val="20"/>
                <w:color w:val="auto"/>
              </w:rPr>
            </w:pPr>
            <w:r>
              <w:rPr>
                <w:rFonts w:ascii="Arial" w:cs="Arial" w:eastAsia="Arial" w:hAnsi="Arial"/>
                <w:sz w:val="13"/>
                <w:szCs w:val="13"/>
                <w:b w:val="1"/>
                <w:bCs w:val="1"/>
                <w:color w:val="auto"/>
                <w:w w:val="87"/>
              </w:rPr>
              <w:t>Capital</w:t>
            </w:r>
          </w:p>
        </w:tc>
        <w:tc>
          <w:tcPr>
            <w:tcW w:w="40" w:type="dxa"/>
            <w:vAlign w:val="bottom"/>
          </w:tcPr>
          <w:p>
            <w:pPr>
              <w:spacing w:after="0"/>
              <w:rPr>
                <w:sz w:val="11"/>
                <w:szCs w:val="11"/>
                <w:color w:val="auto"/>
              </w:rPr>
            </w:pPr>
          </w:p>
        </w:tc>
        <w:tc>
          <w:tcPr>
            <w:tcW w:w="740" w:type="dxa"/>
            <w:vAlign w:val="bottom"/>
            <w:gridSpan w:val="5"/>
          </w:tcPr>
          <w:p>
            <w:pPr>
              <w:ind w:left="4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300"/>
              <w:spacing w:after="0" w:line="129"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September 30, 2019</w:t>
            </w:r>
          </w:p>
        </w:tc>
        <w:tc>
          <w:tcPr>
            <w:tcW w:w="56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53,511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4"/>
            <w:shd w:val="clear" w:color="auto" w:fill="CCEEFF"/>
          </w:tcPr>
          <w:p>
            <w:pPr>
              <w:jc w:val="right"/>
              <w:ind w:right="65"/>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54</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$ 195,566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113,723</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309,459</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13,422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13,422</w:t>
            </w:r>
          </w:p>
        </w:tc>
        <w:tc>
          <w:tcPr>
            <w:tcW w:w="60" w:type="dxa"/>
            <w:vAlign w:val="bottom"/>
          </w:tcPr>
          <w:p>
            <w:pPr>
              <w:spacing w:after="0"/>
              <w:rPr>
                <w:sz w:val="12"/>
                <w:szCs w:val="12"/>
                <w:color w:val="auto"/>
              </w:rPr>
            </w:pP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6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60" w:type="dxa"/>
            <w:vAlign w:val="bottom"/>
          </w:tcPr>
          <w:p>
            <w:pPr>
              <w:spacing w:after="0"/>
              <w:rPr>
                <w:sz w:val="12"/>
                <w:szCs w:val="12"/>
                <w:color w:val="auto"/>
              </w:rPr>
            </w:pP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5,467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5,467</w:t>
            </w:r>
          </w:p>
        </w:tc>
        <w:tc>
          <w:tcPr>
            <w:tcW w:w="60" w:type="dxa"/>
            <w:vAlign w:val="bottom"/>
          </w:tcPr>
          <w:p>
            <w:pPr>
              <w:spacing w:after="0"/>
              <w:rPr>
                <w:sz w:val="12"/>
                <w:szCs w:val="12"/>
                <w:color w:val="auto"/>
              </w:rPr>
            </w:pPr>
          </w:p>
        </w:tc>
      </w:tr>
      <w:tr>
        <w:trPr>
          <w:trHeight w:val="142"/>
        </w:trPr>
        <w:tc>
          <w:tcPr>
            <w:tcW w:w="42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56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53,573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gridSpan w:val="4"/>
            <w:shd w:val="clear" w:color="auto" w:fill="CCEEFF"/>
          </w:tcPr>
          <w:p>
            <w:pPr>
              <w:jc w:val="right"/>
              <w:ind w:right="65"/>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54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$ 212,240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119,190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3"/>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331,564</w:t>
            </w:r>
          </w:p>
        </w:tc>
        <w:tc>
          <w:tcPr>
            <w:tcW w:w="60" w:type="dxa"/>
            <w:vAlign w:val="bottom"/>
          </w:tcPr>
          <w:p>
            <w:pPr>
              <w:spacing w:after="0"/>
              <w:rPr>
                <w:sz w:val="12"/>
                <w:szCs w:val="12"/>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0"/>
          </w:tcPr>
          <w:p>
            <w:pPr>
              <w:spacing w:after="0"/>
              <w:rPr>
                <w:sz w:val="20"/>
                <w:szCs w:val="20"/>
                <w:color w:val="auto"/>
              </w:rPr>
            </w:pPr>
            <w:r>
              <w:rPr>
                <w:rFonts w:ascii="Arial" w:cs="Arial" w:eastAsia="Arial" w:hAnsi="Arial"/>
                <w:sz w:val="13"/>
                <w:szCs w:val="13"/>
                <w:b w:val="1"/>
                <w:bCs w:val="1"/>
                <w:color w:val="auto"/>
              </w:rPr>
              <w:t>Three Months Ended December 31,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5"/>
          </w:tcPr>
          <w:p>
            <w:pPr>
              <w:jc w:val="center"/>
              <w:ind w:right="8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12"/>
          </w:tcPr>
          <w:p>
            <w:pPr>
              <w:ind w:left="10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90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ind w:right="180"/>
              <w:spacing w:after="0" w:line="129"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80"/>
              <w:spacing w:after="0" w:line="129"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September 30, 2020</w:t>
            </w: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54,223</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3"/>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w w:val="89"/>
              </w:rPr>
              <w:t>54</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tcBorders>
            <w:gridSpan w:val="4"/>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3"/>
              </w:rPr>
              <w:t>$ 209,582</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176,732</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452</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386,820</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17,187</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1,403</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6,100</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6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(12,747)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(12,747)</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Currency translation adjustments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9,642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9,642</w:t>
            </w:r>
          </w:p>
        </w:tc>
      </w:tr>
      <w:tr>
        <w:trPr>
          <w:trHeight w:val="142"/>
        </w:trPr>
        <w:tc>
          <w:tcPr>
            <w:tcW w:w="42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2020</w:t>
            </w: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54,370</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gridSpan w:val="3"/>
          </w:tcPr>
          <w:p>
            <w:pPr>
              <w:jc w:val="right"/>
              <w:ind w:right="45"/>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54</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w w:val="93"/>
              </w:rPr>
              <w:t>$ 221,525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186,374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408,218</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45"/>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7"/>
          </w:tcPr>
          <w:p>
            <w:pPr>
              <w:spacing w:after="0"/>
              <w:rPr>
                <w:sz w:val="20"/>
                <w:szCs w:val="20"/>
                <w:color w:val="auto"/>
              </w:rPr>
            </w:pPr>
            <w:r>
              <w:rPr>
                <w:rFonts w:ascii="Arial" w:cs="Arial" w:eastAsia="Arial" w:hAnsi="Arial"/>
                <w:sz w:val="13"/>
                <w:szCs w:val="13"/>
                <w:b w:val="1"/>
                <w:bCs w:val="1"/>
                <w:color w:val="auto"/>
              </w:rPr>
              <w:t>Six Months Ended December 31,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5"/>
          </w:tcPr>
          <w:p>
            <w:pPr>
              <w:jc w:val="center"/>
              <w:ind w:right="6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bottom w:val="single" w:sz="8" w:color="auto"/>
            </w:tcBorders>
            <w:gridSpan w:val="12"/>
          </w:tcPr>
          <w:p>
            <w:pPr>
              <w:ind w:left="14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3"/>
              </w:rPr>
              <w:t>Stockholders’</w:t>
            </w:r>
          </w:p>
        </w:tc>
      </w:tr>
      <w:tr>
        <w:trPr>
          <w:trHeight w:val="129"/>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ind w:left="10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5"/>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40"/>
              <w:spacing w:after="0" w:line="129"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June 30, 2019</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53,075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207,982</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99,817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112</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307,964</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26,140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26,140</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6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389</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6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688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6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3,961</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700" w:type="dxa"/>
            <w:vAlign w:val="bottom"/>
            <w:gridSpan w:val="7"/>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(26,231)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(26,231)</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19,373</w:t>
            </w:r>
          </w:p>
        </w:tc>
      </w:tr>
      <w:tr>
        <w:trPr>
          <w:trHeight w:val="142"/>
        </w:trPr>
        <w:tc>
          <w:tcPr>
            <w:tcW w:w="42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53,573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212,240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119,190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331,564</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45"/>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7"/>
          </w:tcPr>
          <w:p>
            <w:pPr>
              <w:spacing w:after="0"/>
              <w:rPr>
                <w:sz w:val="20"/>
                <w:szCs w:val="20"/>
                <w:color w:val="auto"/>
              </w:rPr>
            </w:pPr>
            <w:r>
              <w:rPr>
                <w:rFonts w:ascii="Arial" w:cs="Arial" w:eastAsia="Arial" w:hAnsi="Arial"/>
                <w:sz w:val="13"/>
                <w:szCs w:val="13"/>
                <w:b w:val="1"/>
                <w:bCs w:val="1"/>
                <w:color w:val="auto"/>
              </w:rPr>
              <w:t>Six Months Ended December 31,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5"/>
          </w:tcPr>
          <w:p>
            <w:pPr>
              <w:jc w:val="center"/>
              <w:ind w:right="6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12"/>
          </w:tcPr>
          <w:p>
            <w:pPr>
              <w:ind w:left="12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Paid-in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3"/>
              </w:rPr>
              <w:t>Stockholders’</w:t>
            </w:r>
          </w:p>
        </w:tc>
      </w:tr>
      <w:tr>
        <w:trPr>
          <w:trHeight w:val="128"/>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5"/>
          </w:tcPr>
          <w:p>
            <w:pPr>
              <w:jc w:val="right"/>
              <w:ind w:right="20"/>
              <w:spacing w:after="0" w:line="129" w:lineRule="exact"/>
              <w:rPr>
                <w:sz w:val="20"/>
                <w:szCs w:val="20"/>
                <w:color w:val="auto"/>
              </w:rPr>
            </w:pPr>
            <w:r>
              <w:rPr>
                <w:rFonts w:ascii="Arial" w:cs="Arial" w:eastAsia="Arial" w:hAnsi="Arial"/>
                <w:sz w:val="13"/>
                <w:szCs w:val="13"/>
                <w:b w:val="1"/>
                <w:bCs w:val="1"/>
                <w:color w:val="auto"/>
                <w:w w:val="81"/>
              </w:rPr>
              <w:t>Amount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40"/>
              <w:spacing w:after="0" w:line="129"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June 30, 2020</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53,792</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5"/>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227,907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164,272</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675</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392,908</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32,233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32,233</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1,932</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6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608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6,100</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64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(324)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(46,647)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(46,647)</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Currency translation adjustments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22,102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22,102</w:t>
            </w:r>
          </w:p>
        </w:tc>
      </w:tr>
      <w:tr>
        <w:trPr>
          <w:trHeight w:val="142"/>
        </w:trPr>
        <w:tc>
          <w:tcPr>
            <w:tcW w:w="42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2020</w:t>
            </w:r>
          </w:p>
        </w:tc>
        <w:tc>
          <w:tcPr>
            <w:tcW w:w="60" w:type="dxa"/>
            <w:vAlign w:val="bottom"/>
            <w:gridSpan w:val="2"/>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rPr>
              <w:t>54,370</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5"/>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221,525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186,374</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265</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408,218</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Six Months Ended</w:t>
      </w:r>
    </w:p>
    <w:p>
      <w:pPr>
        <w:ind w:left="73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32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19,373</w:t>
            </w:r>
          </w:p>
        </w:tc>
        <w:tc>
          <w:tcPr>
            <w:tcW w:w="220" w:type="dxa"/>
            <w:vAlign w:val="bottom"/>
          </w:tcPr>
          <w:p>
            <w:pPr>
              <w:spacing w:after="0"/>
              <w:rPr>
                <w:sz w:val="17"/>
                <w:szCs w:val="17"/>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22,102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rPr>
              <w:t>Stock-based compensation expense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24,832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30,936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rPr>
              <w:t>Deferred income tax benefit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(12,940)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w w:val="93"/>
              </w:rPr>
              <w:t>Net accretion of discounts and amortization of premiums on available-for-sale securities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42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contract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420"/>
              <w:spacing w:after="0"/>
              <w:rPr>
                <w:sz w:val="20"/>
                <w:szCs w:val="20"/>
                <w:color w:val="auto"/>
              </w:rPr>
            </w:pPr>
            <w:r>
              <w:rPr>
                <w:rFonts w:ascii="Arial" w:cs="Arial" w:eastAsia="Arial" w:hAnsi="Arial"/>
                <w:sz w:val="17"/>
                <w:szCs w:val="17"/>
                <w:color w:val="auto"/>
              </w:rPr>
              <w:t>Prepaid expenses and 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Accrued expenses and other</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Purchases of available-for-sale securities and other</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Proceeds from sales and maturities of available-for-sale securities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124,780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58,996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Capitalized internal-use software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(12,398)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of business, net of cash acquired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640"/>
              <w:spacing w:after="0"/>
              <w:rPr>
                <w:sz w:val="20"/>
                <w:szCs w:val="20"/>
                <w:color w:val="auto"/>
              </w:rPr>
            </w:pPr>
            <w:r>
              <w:rPr>
                <w:rFonts w:ascii="Arial" w:cs="Arial" w:eastAsia="Arial" w:hAnsi="Arial"/>
                <w:sz w:val="17"/>
                <w:szCs w:val="17"/>
                <w:color w:val="auto"/>
              </w:rPr>
              <w:t>Net cash provided by (used in) investing activities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(153,707)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23,127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Net change in client fund obligations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450,825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876,982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employee stock purchase plan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Taxes paid related to net share settlement of equity awards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(25,954)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(44,749)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of debt issuance costs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provided by financing activities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428,157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838,316</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w w:val="94"/>
              </w:rPr>
              <w:t>Net change in cash, cash equivalents and funds held for clients' cash and cash equivalents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310,528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881,115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480" w:type="dxa"/>
            <w:vAlign w:val="bottom"/>
          </w:tcPr>
          <w:p>
            <w:pPr>
              <w:spacing w:after="0" w:line="185" w:lineRule="exact"/>
              <w:rPr>
                <w:sz w:val="20"/>
                <w:szCs w:val="20"/>
                <w:color w:val="auto"/>
              </w:rPr>
            </w:pPr>
            <w:r>
              <w:rPr>
                <w:rFonts w:ascii="Arial" w:cs="Arial" w:eastAsia="Arial" w:hAnsi="Arial"/>
                <w:sz w:val="17"/>
                <w:szCs w:val="17"/>
                <w:color w:val="auto"/>
                <w:w w:val="93"/>
              </w:rPr>
              <w:t>Cash, cash equivalents and funds held for clients' cash and cash equivalents—beginning of</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period</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1,426,143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1,492,133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3"/>
              </w:rPr>
              <w:t>Cash, cash equivalents and funds held for clients' cash and cash equivalents—end of period</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1,736,671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2,373,248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Liabilities assumed for acquisition</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Supplemental Disclosure of Cash Flow Information</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paid for interest</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Cash paid (refunds received) for income taxes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648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w w:val="97"/>
              </w:rPr>
              <w:t>Reconciliation of cash, cash equivalents and funds held for clients' cash and cash equivalents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to the Unaudited Consolidated Balance Sheets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75,900</w:t>
            </w:r>
          </w:p>
        </w:tc>
        <w:tc>
          <w:tcPr>
            <w:tcW w:w="220" w:type="dxa"/>
            <w:vAlign w:val="bottom"/>
          </w:tcPr>
          <w:p>
            <w:pPr>
              <w:spacing w:after="0"/>
              <w:rPr>
                <w:sz w:val="17"/>
                <w:szCs w:val="17"/>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218,696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Funds held for clients' cash and cash equivalents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1,660,771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2,154,552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Total cash, cash equivalents and funds held for clients' cash and cash equivalents</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1,736,671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2,373,248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40" w:hanging="29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including the impact from the outbreak of the novel coronavirus disease (“COVID-19”), and their effects cannot be predicted with certainty; accordingly, accounting estimates require the exercise of judgment. Accounting estimates used in the preparation of these consolidated financial statements may change as new events occur, more experience and additional information is acquired, and the operating environment evolves, including the ongoing impact of COVID-19.</w:t>
      </w:r>
    </w:p>
    <w:p>
      <w:pPr>
        <w:spacing w:after="0" w:line="178"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three or six months ended December 31, 2020 are not necessarily indicative of the results for the full year or the results for any future periods. The impact of the COVID</w:t>
      </w:r>
      <w:r>
        <w:rPr>
          <w:rFonts w:ascii="Arial" w:cs="Arial" w:eastAsia="Arial" w:hAnsi="Arial"/>
          <w:sz w:val="16"/>
          <w:szCs w:val="16"/>
          <w:i w:val="1"/>
          <w:iCs w:val="1"/>
          <w:color w:val="auto"/>
        </w:rPr>
        <w:t>-</w:t>
      </w:r>
    </w:p>
    <w:p>
      <w:pPr>
        <w:spacing w:after="0" w:line="2"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auto"/>
        </w:rPr>
        <w:t>19 pandemic will not be fully known or reflected in the Company’s results of operations and overall financial performance until future periods. Refer to “Part I. Item 1A. Risk Factors” in the Company’s Annual Report on Form 10-K filed with the SEC on August 7, 2020 for risks related to the COVID</w:t>
      </w:r>
      <w:r>
        <w:rPr>
          <w:rFonts w:ascii="Arial" w:cs="Arial" w:eastAsia="Arial" w:hAnsi="Arial"/>
          <w:sz w:val="18"/>
          <w:szCs w:val="18"/>
          <w:i w:val="1"/>
          <w:iCs w:val="1"/>
          <w:color w:val="auto"/>
        </w:rPr>
        <w:t>-</w:t>
      </w:r>
      <w:r>
        <w:rPr>
          <w:rFonts w:ascii="Arial" w:cs="Arial" w:eastAsia="Arial" w:hAnsi="Arial"/>
          <w:sz w:val="18"/>
          <w:szCs w:val="18"/>
          <w:color w:val="auto"/>
        </w:rPr>
        <w:t>19 pandemic and its impact on the Company’s business and financial performance. These unaudited consolidated financial statements should be read in conjunction with the audited consolidated financial statements and related notes for the year ended June 30, 2020 included in the Company’s Annual Report on Form 10-K.</w:t>
      </w:r>
    </w:p>
    <w:p>
      <w:pPr>
        <w:spacing w:after="0" w:line="194" w:lineRule="exact"/>
        <w:rPr>
          <w:sz w:val="20"/>
          <w:szCs w:val="20"/>
          <w:color w:val="auto"/>
        </w:rPr>
      </w:pPr>
    </w:p>
    <w:p>
      <w:pPr>
        <w:ind w:left="340" w:hanging="29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2"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requires the measurement and recognition of expected credit losses for financial instruments held at amortized cost, including trade receivables. Under ASU 2016-13, the Company assesses its allowance for credit losses on accounts receivable by taking into consideration current economic conditions, reasonable and supportable forecasts, as well as past experience including historical write-off trends and client-specific circumstances. The new standard also eliminated the concept of other-than-temporary impairment and requires expected credit losses related to available-for-sale debt securities to be recorded through an allowance for credit losses rather than as a reduction in the amortized cost basis of the securities. The Company adopted this standard effective July 1, 2020, using a modified retrospective approach, and the adoption did not have a material impact on the Company’s financial statements.</w:t>
      </w:r>
    </w:p>
    <w:p>
      <w:pPr>
        <w:spacing w:after="0" w:line="166"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The Company adopted this standard on July 1, 2020, and removed or modified disclosure requirements retrospectively to all periods presented, whereas any new requirements are being applied prospectively from the adoption date. The adoption of this standard did not have a material impact on the Company’s financial statements.</w:t>
      </w:r>
    </w:p>
    <w:p>
      <w:pPr>
        <w:spacing w:after="0" w:line="16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The Company adopted ASU 2019-12 on July 1, 2020, and the adoption of this standard did not have a material impact on the Company’s financial statements.</w:t>
      </w:r>
    </w:p>
    <w:p>
      <w:pPr>
        <w:spacing w:after="0" w:line="192" w:lineRule="exact"/>
        <w:rPr>
          <w:sz w:val="20"/>
          <w:szCs w:val="20"/>
          <w:color w:val="auto"/>
        </w:rPr>
      </w:pPr>
    </w:p>
    <w:p>
      <w:pPr>
        <w:ind w:left="340" w:hanging="29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139" w:firstLine="648"/>
        <w:spacing w:after="0" w:line="283" w:lineRule="auto"/>
        <w:rPr>
          <w:sz w:val="20"/>
          <w:szCs w:val="20"/>
          <w:color w:val="auto"/>
        </w:rPr>
      </w:pPr>
      <w:r>
        <w:rPr>
          <w:rFonts w:ascii="Arial" w:cs="Arial" w:eastAsia="Arial" w:hAnsi="Arial"/>
          <w:sz w:val="16"/>
          <w:szCs w:val="16"/>
          <w:color w:val="auto"/>
        </w:rPr>
        <w:t>The Company derives its revenue from contracts predominantly from recurring and non-recurring service fees. While the majority of its agreements are generally cancellable by the client on 60 days’ notice or less, the Company also has term arrangements,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6" w:lineRule="auto"/>
        <w:rPr>
          <w:sz w:val="20"/>
          <w:szCs w:val="20"/>
          <w:color w:val="auto"/>
        </w:rPr>
      </w:pPr>
      <w:r>
        <w:rPr>
          <w:rFonts w:ascii="Arial" w:cs="Arial" w:eastAsia="Arial" w:hAnsi="Arial"/>
          <w:sz w:val="17"/>
          <w:szCs w:val="17"/>
          <w:color w:val="auto"/>
        </w:rPr>
        <w:t>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disaggregates revenue by Recurring fees and Implementation services and other, which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76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80" w:type="dxa"/>
            <w:vAlign w:val="bottom"/>
          </w:tcPr>
          <w:p>
            <w:pPr>
              <w:spacing w:after="0"/>
              <w:rPr>
                <w:sz w:val="14"/>
                <w:szCs w:val="14"/>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7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0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$ 123,562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$ 140,461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241,339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270,153</w:t>
            </w: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w:t>
            </w:r>
          </w:p>
        </w:tc>
      </w:tr>
      <w:tr>
        <w:trPr>
          <w:trHeight w:val="20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$ 127,980</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$ 145,393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249,853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280,268</w:t>
            </w:r>
          </w:p>
        </w:tc>
      </w:tr>
      <w:tr>
        <w:trPr>
          <w:trHeight w:val="20"/>
        </w:trPr>
        <w:tc>
          <w:tcPr>
            <w:tcW w:w="5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17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7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5,990</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w:t>
            </w: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79" w:firstLine="648"/>
        <w:spacing w:after="0" w:line="311" w:lineRule="auto"/>
        <w:rPr>
          <w:sz w:val="20"/>
          <w:szCs w:val="20"/>
          <w:color w:val="auto"/>
        </w:rPr>
      </w:pPr>
      <w:r>
        <w:rPr>
          <w:rFonts w:ascii="Arial" w:cs="Arial" w:eastAsia="Arial" w:hAnsi="Arial"/>
          <w:sz w:val="16"/>
          <w:szCs w:val="16"/>
          <w:color w:val="auto"/>
        </w:rPr>
        <w:t>Deferred revenue related to these nonrefundable upfront fees are recorded within Accrued expenses and Other long-term liabilities on the Unaudited Consolidated Balance Sheets. The Company expects to recognize these deferred revenue balances of $3,942 in fiscal 2021, $2,680 in fiscal 2022 and $443 in fiscal 2023 and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4"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ectPr>
          <w:pgSz w:w="11900" w:h="16838" w:orient="portrait"/>
          <w:cols w:equalWidth="0" w:num="1">
            <w:col w:w="9019"/>
          </w:cols>
          <w:pgMar w:left="1440" w:top="517" w:right="1440" w:bottom="144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6"/>
          </w:tcPr>
          <w:p>
            <w:pPr>
              <w:jc w:val="center"/>
              <w:ind w:left="479"/>
              <w:spacing w:after="0"/>
              <w:rPr>
                <w:sz w:val="20"/>
                <w:szCs w:val="20"/>
                <w:color w:val="auto"/>
              </w:rPr>
            </w:pPr>
            <w:r>
              <w:rPr>
                <w:rFonts w:ascii="Arial" w:cs="Arial" w:eastAsia="Arial" w:hAnsi="Arial"/>
                <w:sz w:val="14"/>
                <w:szCs w:val="14"/>
                <w:b w:val="1"/>
                <w:bCs w:val="1"/>
                <w:color w:val="auto"/>
                <w:w w:val="93"/>
              </w:rPr>
              <w:t>Three Months Ended December 31, 2019</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5"/>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11,401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125,533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6"/>
          </w:tcPr>
          <w:p>
            <w:pPr>
              <w:jc w:val="center"/>
              <w:ind w:left="479"/>
              <w:spacing w:after="0"/>
              <w:rPr>
                <w:sz w:val="20"/>
                <w:szCs w:val="20"/>
                <w:color w:val="auto"/>
              </w:rPr>
            </w:pPr>
            <w:r>
              <w:rPr>
                <w:rFonts w:ascii="Arial" w:cs="Arial" w:eastAsia="Arial" w:hAnsi="Arial"/>
                <w:sz w:val="14"/>
                <w:szCs w:val="14"/>
                <w:b w:val="1"/>
                <w:bCs w:val="1"/>
                <w:color w:val="auto"/>
                <w:w w:val="93"/>
              </w:rPr>
              <w:t>Three Months Ended December 31, 2020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5"/>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14,071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125,817</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55,657</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181,474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rPr>
              <w:t>Six Months Ended December 31, 2019</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20,886</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13,865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34,751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125,533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6"/>
          </w:tcPr>
          <w:p>
            <w:pPr>
              <w:jc w:val="center"/>
              <w:ind w:left="499"/>
              <w:spacing w:after="0"/>
              <w:rPr>
                <w:sz w:val="20"/>
                <w:szCs w:val="20"/>
                <w:color w:val="auto"/>
              </w:rPr>
            </w:pPr>
            <w:r>
              <w:rPr>
                <w:rFonts w:ascii="Arial" w:cs="Arial" w:eastAsia="Arial" w:hAnsi="Arial"/>
                <w:sz w:val="14"/>
                <w:szCs w:val="14"/>
                <w:b w:val="1"/>
                <w:bCs w:val="1"/>
                <w:color w:val="auto"/>
                <w:w w:val="92"/>
              </w:rPr>
              <w:t>Six Months Ended December 31, 2020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25,711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125,817</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15,504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55,657</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41,215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181,474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balance of the Company’s remaining performance obligations related to minimum monthly fees on its term-based contracts was approximately $42,920 as of December 31, 2020,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Combinations</w:t>
      </w:r>
    </w:p>
    <w:p>
      <w:pPr>
        <w:spacing w:after="0" w:line="229" w:lineRule="exact"/>
        <w:rPr>
          <w:sz w:val="20"/>
          <w:szCs w:val="20"/>
          <w:color w:val="auto"/>
        </w:rPr>
      </w:pPr>
    </w:p>
    <w:p>
      <w:pPr>
        <w:ind w:left="60" w:right="419" w:firstLine="648"/>
        <w:spacing w:after="0" w:line="296" w:lineRule="auto"/>
        <w:rPr>
          <w:sz w:val="20"/>
          <w:szCs w:val="20"/>
          <w:color w:val="auto"/>
        </w:rPr>
      </w:pPr>
      <w:r>
        <w:rPr>
          <w:rFonts w:ascii="Arial" w:cs="Arial" w:eastAsia="Arial" w:hAnsi="Arial"/>
          <w:sz w:val="16"/>
          <w:szCs w:val="16"/>
          <w:color w:val="auto"/>
        </w:rPr>
        <w:t>In November 2020, the Company acquired all of the shares outstanding of Samepage Labs Inc. (“Samepage”) through a merger for purchase price consideration of $15,018, which was paid in cash upon closing. Samepage offers digital collaboration tools including task management, file sharing, real-time collaboration and more. This transaction expands the Company’s product functionality in these areas and demonstrates its commitment to building a modern workforce suite of solutions that meet the needs of HR teams and employees.</w:t>
      </w:r>
    </w:p>
    <w:p>
      <w:pPr>
        <w:spacing w:after="0" w:line="161"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The Company accounts for business combinations in accordance with ASC 805, Business Combinations. The Company recorded the acquisition using the acquisition method of accounting and recognized assets and liabilities at their fair value as of the date of acquisition, with the excess recorded to goodwill. The preliminary allocation of purchase price included approximately $11,529 of goodwill, $3,167 of proprietary technology and other immaterial assets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liabilities. The fair values of assets acquired and liabilities assumed may change over the measurement period as additional information is received. The primary areas that are subject to change are intangible assets and deferred taxes. The measurement period will end no later than one year from the acquisition date.</w:t>
      </w:r>
    </w:p>
    <w:p>
      <w:pPr>
        <w:spacing w:after="0" w:line="184"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results from this acquisition have been included in the Company’s consolidated financial statements since the closing of the acquisition. Pro forma information was not presented because the effect of the acquisition was not material to the Company’s consolidated financial statements. The goodwill associated with this acquisition is not deductible for income tax purposes. Direct costs related to the acquisition were recorded as General and administrative expenses as incurred.</w:t>
      </w:r>
    </w:p>
    <w:p>
      <w:pPr>
        <w:spacing w:after="0" w:line="188"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April 2020, the Company acquired all of the shares outstanding of VidGrid Inc. (“VidGrid”). During the six months ended December 31, 2020, the Company completed its purchase accounting for this acquisition and did not record any changes to the preliminary purchase price allocation. Refer to Note 6 of the audited consolidated financial statements included in the Annual Report on Form 10-K for the fiscal year ended June 30, 2020 for additional details on the acquisition of VidGrid.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Balance Sheet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provide details of selected consolidated balance sheet items: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Activity in the allowance for credit losses related to accounts receivable was as follows:</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Write-offs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December 31, 2020</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617</w:t>
      </w:r>
    </w:p>
    <w:p>
      <w:pPr>
        <w:spacing w:after="0" w:line="2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98</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5715</wp:posOffset>
            </wp:positionV>
            <wp:extent cx="942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ind w:left="1340" w:hanging="1168"/>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14605</wp:posOffset>
            </wp:positionV>
            <wp:extent cx="942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113030</wp:posOffset>
            </wp:positionH>
            <wp:positionV relativeFrom="paragraph">
              <wp:posOffset>31750</wp:posOffset>
            </wp:positionV>
            <wp:extent cx="942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140"/>
        <w:spacing w:after="0" w:line="233" w:lineRule="auto"/>
        <w:tabs>
          <w:tab w:leader="none" w:pos="1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6520" w:space="600"/>
            <w:col w:w="189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11"/>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119,178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134,568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(82,677)</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(93,945)</w:t>
            </w:r>
          </w:p>
        </w:tc>
      </w:tr>
      <w:tr>
        <w:trPr>
          <w:trHeight w:val="209"/>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Amortization of capitalized internal-use software costs is included in Cost of revenues and amounted to $4,690 and $5,882 for the three months ended December 31, 2019 and 2020, respectively, and $9,147 and $11,268 for the six months ended December 31, 2019 and 2020,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45,942</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Software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6,627</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46,508</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40" w:type="dxa"/>
            <w:vAlign w:val="bottom"/>
            <w:tcBorders>
              <w:bottom w:val="single" w:sz="8" w:color="CCEEFF"/>
            </w:tcBorders>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118,046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121,796</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(57,730)</w:t>
            </w:r>
          </w:p>
        </w:tc>
        <w:tc>
          <w:tcPr>
            <w:tcW w:w="40" w:type="dxa"/>
            <w:vAlign w:val="bottom"/>
            <w:tcBorders>
              <w:bottom w:val="single" w:sz="8" w:color="CCEEFF"/>
            </w:tcBorders>
          </w:tcPr>
          <w:p>
            <w:pPr>
              <w:spacing w:after="0"/>
              <w:rPr>
                <w:sz w:val="18"/>
                <w:szCs w:val="18"/>
                <w:color w:val="auto"/>
              </w:rPr>
            </w:pPr>
          </w:p>
        </w:tc>
      </w:tr>
      <w:tr>
        <w:trPr>
          <w:trHeight w:val="209"/>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64,066</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Depreciation expense amounted to $4,076 and $4,014 for the three months ended December 31, 2019 and 2020, respectively, and $7,989 and $8,019 for the six months ended December 31, 2019 and 2020, respectively.</w:t>
      </w:r>
    </w:p>
    <w:p>
      <w:pPr>
        <w:sectPr>
          <w:pgSz w:w="11900" w:h="16838" w:orient="portrait"/>
          <w:cols w:equalWidth="0" w:num="1">
            <w:col w:w="9019"/>
          </w:cols>
          <w:pgMar w:left="1440" w:top="517" w:right="1440"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changes in goodwill during the six months ended December 31, 2020:</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21,655</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Additions attributable to current year acquisition</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11,529</w:t>
            </w: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33,184</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640"/>
              <w:spacing w:after="0"/>
              <w:rPr>
                <w:sz w:val="20"/>
                <w:szCs w:val="20"/>
                <w:color w:val="auto"/>
              </w:rPr>
            </w:pPr>
            <w:r>
              <w:rPr>
                <w:rFonts w:ascii="Arial" w:cs="Arial" w:eastAsia="Arial" w:hAnsi="Arial"/>
                <w:sz w:val="18"/>
                <w:szCs w:val="18"/>
                <w:color w:val="auto"/>
                <w:w w:val="96"/>
              </w:rPr>
              <w:t>Refer to Note 4 for further details on the current year acquisition.</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20" w:type="dxa"/>
            <w:vAlign w:val="bottom"/>
            <w:gridSpan w:val="5"/>
          </w:tcPr>
          <w:p>
            <w:pPr>
              <w:ind w:left="640"/>
              <w:spacing w:after="0"/>
              <w:rPr>
                <w:sz w:val="20"/>
                <w:szCs w:val="20"/>
                <w:color w:val="auto"/>
              </w:rPr>
            </w:pPr>
            <w:r>
              <w:rPr>
                <w:rFonts w:ascii="Arial" w:cs="Arial" w:eastAsia="Arial" w:hAnsi="Arial"/>
                <w:sz w:val="18"/>
                <w:szCs w:val="18"/>
                <w:color w:val="auto"/>
                <w:w w:val="90"/>
              </w:rPr>
              <w:t>The Company’s amortizable intangible assets and estimated useful lives are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Useful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5 - 9 years</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Proprietary technology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2 - 4 years</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 years</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Amortization expense for acquired intangible assets was $562 and $940 for the three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and 2020, respectively and $1,125 and $1,784 for the six months ended December 31, 2019 and 2020,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amortization expense for acquired intangible assets as of December 31, 2020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Fiscal 2022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Fiscal 2023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Fiscal 2024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Fiscal 2025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640"/>
              <w:spacing w:after="0"/>
              <w:rPr>
                <w:sz w:val="20"/>
                <w:szCs w:val="20"/>
                <w:color w:val="auto"/>
              </w:rPr>
            </w:pPr>
            <w:r>
              <w:rPr>
                <w:rFonts w:ascii="Arial" w:cs="Arial" w:eastAsia="Arial" w:hAnsi="Arial"/>
                <w:sz w:val="18"/>
                <w:szCs w:val="18"/>
                <w:color w:val="auto"/>
              </w:rPr>
              <w:t>The components of accrued expenses were as follows: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36,428</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64,204</w:t>
            </w: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38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6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6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360" w:type="dxa"/>
            <w:vAlign w:val="bottom"/>
            <w:gridSpan w:val="2"/>
          </w:tcPr>
          <w:p>
            <w:pPr>
              <w:ind w:left="2220"/>
              <w:spacing w:after="0" w:line="158" w:lineRule="exact"/>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3"/>
                <w:szCs w:val="13"/>
                <w:color w:val="auto"/>
              </w:rPr>
            </w:pPr>
          </w:p>
        </w:tc>
        <w:tc>
          <w:tcPr>
            <w:tcW w:w="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3"/>
                <w:szCs w:val="13"/>
                <w:color w:val="auto"/>
              </w:rPr>
            </w:pPr>
          </w:p>
        </w:tc>
        <w:tc>
          <w:tcPr>
            <w:tcW w:w="6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3"/>
                <w:szCs w:val="13"/>
                <w:color w:val="auto"/>
              </w:rPr>
            </w:pPr>
          </w:p>
        </w:tc>
        <w:tc>
          <w:tcPr>
            <w:tcW w:w="82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7"/>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1,241,282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50,402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122,266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1,614,399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1,615,310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1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$37,155 of corporate investments and $86,022 of funds held for clients.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218,696</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2,154,552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2,154,552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33,345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63,015</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63,371</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2,436,263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2,436,619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1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$13,637 of corporate investments and $49,734 of funds held for clients.</w:t>
      </w:r>
    </w:p>
    <w:p>
      <w:pPr>
        <w:spacing w:after="0" w:line="170"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Cash and cash equivalents and funds held for clients’ cash and cash equivalents include demand deposit accounts and money market funds at June 30, 2020 and December 31, 2020. All of the Company’s available-for-sale securities had expected maturities of one year or less at December 31, 2020.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218,696</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13,637</w:t>
            </w: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2,204,286</w:t>
            </w:r>
          </w:p>
        </w:tc>
      </w:tr>
      <w:tr>
        <w:trPr>
          <w:trHeight w:val="21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prepaid expenses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1,615,310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2,436,619</w:t>
            </w: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There were no available-for-sale securities in an unrealized loss position at June 30, 2020 or December 31, 2020. The Company regularly reviews the composition of its portfolio to determine the existence of credit impairment. The Company did not recognize any credit impairment losses during the six months ended December 31, 2020. All securities in the Company’s portfolio held an A-1 rating or better as of December 31, 2020.</w:t>
      </w:r>
    </w:p>
    <w:p>
      <w:pPr>
        <w:sectPr>
          <w:pgSz w:w="11900" w:h="16838" w:orient="portrait"/>
          <w:cols w:equalWidth="0" w:num="1">
            <w:col w:w="9019"/>
          </w:cols>
          <w:pgMar w:left="1440" w:top="51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Company did not make any material reclassification adjustments out of accumulated other comprehensive income for realized gains and losses on the sale of available-for-sale securities during the three or six months ended December 31, 2019 or 2020. Gross realized gains and losses on the sale of available-for-sale securities were immaterial for both three and six months ended December 31, 2019 and 2020.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Fair Value Measurement</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7"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jc w:val="both"/>
        <w:ind w:left="1040" w:right="119" w:hanging="315"/>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40" w:right="139" w:hanging="315"/>
        <w:spacing w:after="0" w:line="28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2020 and December 31, 2020 based upon the short-term nature of these assets and liabilities.</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2020 or December 31, 2020.</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level for the Company’s cash and cash equivalents and available-for-sale securities is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w w:val="99"/>
              </w:rPr>
              <w:t>Funds held for clients' cash and cash equivalents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123,177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1,615,310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1,492,133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123,177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2,154,552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2,154,552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09"/>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63,371</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2,436,619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2,373,248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determined that the carrying value of long-term debt under its revolving credit facility approximates fair value, which is classified as Level 2, because interest rates associated with the borrowings reflect market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mature in July 2024. As of December 31, 2020, the Company had $100,000 in borrowings outstanding under the credit facility.</w:t>
      </w:r>
    </w:p>
    <w:p>
      <w:pPr>
        <w:spacing w:after="0" w:line="16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4"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December 31, 2020, the Company was in compliance with all of the aforementioned covenants.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0" w:right="159" w:firstLine="648"/>
        <w:spacing w:after="0" w:line="283"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As of December 31, 2020, the Company had 11,798 shares allocated to the plans, of which 2,518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7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six months ended December 31, 2020:</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MSUs granted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18"/>
                <w:szCs w:val="18"/>
                <w:color w:val="auto"/>
              </w:rPr>
            </w:pPr>
          </w:p>
        </w:tc>
      </w:tr>
      <w:tr>
        <w:trPr>
          <w:trHeight w:val="209"/>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December 31,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4"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Stock-based compensation expense related to stock options, restricted stock units (“RSUs”), market share units (“MSUs”) and the Employee Stock Purchase Plan is included in the following line items in the accompanying unaudited consolidated statements of operations and comprehensive income: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7,845</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14,322</w:t>
            </w:r>
          </w:p>
        </w:tc>
        <w:tc>
          <w:tcPr>
            <w:tcW w:w="40" w:type="dxa"/>
            <w:vAlign w:val="bottom"/>
            <w:tcBorders>
              <w:bottom w:val="single" w:sz="8" w:color="CCEEFF"/>
            </w:tcBorders>
          </w:tcPr>
          <w:p>
            <w:pPr>
              <w:spacing w:after="0"/>
              <w:rPr>
                <w:sz w:val="18"/>
                <w:szCs w:val="18"/>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16,659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24,832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30,936</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In addition, the Company capitalized $652 and $528 of stock-based compensation expense in its capitalized internal-use software costs in the three months ended December 31, 2019 and 2020, respectively, and $1,308 and $1,297 during the six months ended December 31, 2019 and 2020, respectively.</w:t>
      </w:r>
    </w:p>
    <w:p>
      <w:pPr>
        <w:spacing w:after="0" w:line="165"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In August 2020, the Company’s board of directors approved the Company’s fiscal 2021 annual operating plan to reflect the operating and financial impacts of the COVID-19 pandemic. In connection and alignment with the board’s approval of the updated operating plan, the compensation committee of the Company’s board of directors approved the modification of the performance targets for vesting of the performance-based restricted stock units granted in fiscal 2020. The Company recorded $1,924 and $2,784 in stock-based compensation expense during the three and six months ended December 31, 2020, respectively, related to these modified performance-based restricted stock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There were no stock options granted during the six months ended December 31, 2019 or 2020. The table below presents stock option activity during the six months ended December 31,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Outstanding Options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2020</w:t>
            </w:r>
          </w:p>
        </w:tc>
        <w:tc>
          <w:tcPr>
            <w:tcW w:w="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$ 167,406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$ 196,538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December 31, 2020</w:t>
            </w:r>
          </w:p>
        </w:tc>
        <w:tc>
          <w:tcPr>
            <w:tcW w:w="8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13.38</w:t>
            </w: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$ 196,538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w:t>
            </w:r>
          </w:p>
        </w:tc>
        <w:tc>
          <w:tcPr>
            <w:tcW w:w="2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total intrinsic value of options exercised was $1,409 and $25,869 during the three months ended December 31, 2019 and 2020, respectively and $2,080 and $37,277 during the six months ended December 31, 2019 and 2020, respectively.</w:t>
      </w:r>
    </w:p>
    <w:p>
      <w:pPr>
        <w:spacing w:after="0" w:line="184"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The Company grants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growth and/or Adjusted EBITDA margin targets in future fiscal years. For these performance-based RSUs, the Company recognizes stock-based compensation expense based upon the probable achievement of these aforementioned performance metrics.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represents restricted stock unit activity during the six months ended December 31, 2020:</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RSUs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83.53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December 31,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RSUs expected to vest at December 31, 2020</w:t>
            </w:r>
          </w:p>
        </w:tc>
        <w:tc>
          <w:tcPr>
            <w:tcW w:w="7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1,367</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At December 31, 2020, there was $82,345 of total unrecognized compensation cost, net of estimated forfeitures, related to unvested restricted stock units granted. That cost is expected to be recognized over a weighted average period of 1.97 years.</w:t>
      </w:r>
    </w:p>
    <w:p>
      <w:pPr>
        <w:spacing w:after="0" w:line="18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also grants MSUs under the 2014 Plan with terms determined at the discretion of the Committee. In August 2020, the Company granted approximately 58 MSUs with a grant date fair value of $178.04.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78"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 Company estimated the grant date fair value of the MSUs using a Monte Carlo simulation model that included the following assumptions: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66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r>
      <w:tr>
        <w:trPr>
          <w:trHeight w:val="230"/>
        </w:trPr>
        <w:tc>
          <w:tcPr>
            <w:tcW w:w="504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6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At December 31, 2020, there was $7,904 of total unrecognized compensation cost, net of estimated forfeitures, related to unvested MSUs. That cost is expected to be recognized over a period of 2.66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Litigation</w:t>
      </w:r>
    </w:p>
    <w:p>
      <w:pPr>
        <w:spacing w:after="0" w:line="22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This claim is still in its earliest stages and the Company is unable to estimate any reasonably possible loss, or range of loss, with respect to this matter. The Company intends to vigorously defend against this lawsuit.</w:t>
      </w:r>
    </w:p>
    <w:p>
      <w:pPr>
        <w:spacing w:after="0" w:line="18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On March 27, 2020, the President signed the Coronavirus Aid, Relief, and Economic Security Act (the “CARES Act”) into law. Additional COVID-19 legislation was included in the Consolidated Appropriations Act, 2021, which was signed into law on December 27, 2020. While the Company continues to analyze the relevant provisions of the CARES Act and subsequent Appropriations Act, it does not expect the provisions of the legislation to have a significant impact on the Company’s income taxes.</w:t>
      </w:r>
    </w:p>
    <w:p>
      <w:pPr>
        <w:spacing w:after="0" w:line="18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jc w:val="both"/>
        <w:ind w:left="60" w:right="379" w:firstLine="648"/>
        <w:spacing w:after="0" w:line="301" w:lineRule="auto"/>
        <w:rPr>
          <w:sz w:val="20"/>
          <w:szCs w:val="20"/>
          <w:color w:val="auto"/>
        </w:rPr>
      </w:pPr>
      <w:r>
        <w:rPr>
          <w:rFonts w:ascii="Arial" w:cs="Arial" w:eastAsia="Arial" w:hAnsi="Arial"/>
          <w:sz w:val="16"/>
          <w:szCs w:val="16"/>
          <w:color w:val="auto"/>
        </w:rPr>
        <w:t>The Company’s effective tax rate was 14.6% and (61.5)% for the three months ended December 31, 2019 and 2020, respectively. The Company’s effective tax rate for the three months ended December 31, 2019 and December 31, 2020 was lower than the federal statutory rate of 21% primarily due to excess tax benefits from employee stock-based compensation, partially offset by an increase to the valuation allowance in the period ended December 31, 2020.</w:t>
      </w:r>
    </w:p>
    <w:p>
      <w:pPr>
        <w:spacing w:after="0" w:line="157"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The Company’s effective tax rate was (50.5)% and (141.2)% for the six months ended December 31, 2019 and 2020, respectively. The Company’s effective tax rate for the six months ended December 31, 2019 and December 31, 2020 was lower than the federal statutory rate of 21% primarily due to excess tax benefits from employee stock-based compensation, partially offset by an increase to the valuation allowance in the period ended December 31, 2020.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Income Per Share</w:t>
      </w:r>
    </w:p>
    <w:p>
      <w:pPr>
        <w:spacing w:after="0" w:line="229"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 The following table presents the calculation of basic and diluted net income per share:</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9,642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19,373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used in computing net income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53,542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54,305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53,415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w w:val="92"/>
              </w:rPr>
              <w:t>Employee stock options, restricted stock units, market share units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employee stock purchase plan shares</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55,826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following table summarizes the outstanding restricted stock units and employee stock purchase plan shares as of the balance sheet date that were excluded from the diluted per share calculation for the periods presented because to include them would have been anti-dilutive: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48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4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Employee stock purchase plan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“Item 1A. Risk Factors” of our Annual Report on Form 10-K for the fiscal year ended June 30, 2020 filed with the SEC on August 7, 2020.</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are a cloud-based provider of payroll and human capital management (“HCM”) software solutions for medium-sized organizations, which we define as those having between 10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4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w:t>
      </w:r>
    </w:p>
    <w:p>
      <w:pPr>
        <w:spacing w:after="0" w:line="17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1"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Many of our prospective and existing clients’ businesses have been impacted by stay-at-home, business closure and other restrictive orders, which has resulted in reduced employee headcount, temporary and permanent business closures, and/or delayed sales/starts. Our business and financial performance may continue to be unfavorably impacted in future periods if a significant number of our clients are unable to continue as viable businesses or reduce headcount, there is a reduction in business confidence and activity, a decrease in government and consumer spending, a decrease in payroll and HCM solutions spending by medium-sized organizations, a decrease in growth in the overall market or a further decline of interest rates, among other factors. Therefore, we expect COVID-19 to continue to have an unfavorable impact on the growth in both Recurring and other revenue and Interest income on funds held for clients in future periods for so long as such conditions persist. Refer to “Part I. Item 1A. Risk Factors” in our Annual Report on Form 10-K filed with the Securities and Exchange Commission on August 7, 2020 for risks related to the COVID-19 pandemic and its impact on our business and financial performance.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$132.4 million for the three months ended December 31, 2019 to $146.3 million for the three months ended December 31, 2020, representing an 11% year-over-year increase. Total revenues increased from $259.1 million for the six months ended December 31, 2019 to $282.1 million for the six months ended December 31, 2020, representing a 9% year-over-year increase. Our total revenue growth during the three and six months ended December 31, 2020 was impacted by the ongoing effects from the COVID-19 pandemic. We expect COVID-19 to continue to unfavorably impact our revenue growth rates in future periods as we anticipate lower client employee counts, potential increases in client losses, a continued low interest rate environment and a decrease in the growth of the overall market, among other factors.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8"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 The table below sets forth our Adjusted Gross Profit and Adjusted EBITDA for the periods presented.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93"/>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jc w:val="center"/>
              <w:ind w:right="3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6"/>
          </w:tcPr>
          <w:p>
            <w:pPr>
              <w:jc w:val="center"/>
              <w:ind w:right="5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93,105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100,671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183,384</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194,874</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60"/>
              <w:spacing w:after="0"/>
              <w:rPr>
                <w:sz w:val="20"/>
                <w:szCs w:val="20"/>
                <w:color w:val="auto"/>
              </w:rPr>
            </w:pPr>
            <w:r>
              <w:rPr>
                <w:rFonts w:ascii="Arial" w:cs="Arial" w:eastAsia="Arial" w:hAnsi="Arial"/>
                <w:sz w:val="18"/>
                <w:szCs w:val="18"/>
                <w:color w:val="auto"/>
                <w:w w:val="90"/>
              </w:rPr>
              <w:t>30,265</w:t>
            </w:r>
          </w:p>
        </w:tc>
        <w:tc>
          <w:tcPr>
            <w:tcW w:w="20" w:type="dxa"/>
            <w:vAlign w:val="bottom"/>
          </w:tcPr>
          <w:p>
            <w:pPr>
              <w:spacing w:after="0"/>
              <w:rPr>
                <w:sz w:val="20"/>
                <w:szCs w:val="20"/>
                <w:color w:val="auto"/>
              </w:rPr>
            </w:pPr>
          </w:p>
        </w:tc>
        <w:tc>
          <w:tcPr>
            <w:tcW w:w="280" w:type="dxa"/>
            <w:vAlign w:val="bottom"/>
            <w:gridSpan w:val="3"/>
          </w:tcPr>
          <w:p>
            <w:pPr>
              <w:jc w:val="center"/>
              <w:ind w:lef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34,970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60,742</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65,834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33"/>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7"/>
          </w:tcPr>
          <w:p>
            <w:pPr>
              <w:ind w:left="3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jc w:val="center"/>
              <w:ind w:right="3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6"/>
          </w:tcPr>
          <w:p>
            <w:pPr>
              <w:jc w:val="center"/>
              <w:ind w:right="5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86,950</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171,040</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179,201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w w:val="89"/>
              </w:rPr>
              <w:t>Stock-based compensation expense and employer payroll taxes related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to stock releases and option exercises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93,105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100,671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183,384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194,874</w:t>
            </w: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93"/>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tcPr>
          <w:p>
            <w:pPr>
              <w:jc w:val="center"/>
              <w:ind w:right="93"/>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7"/>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5,467</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19,373</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(12,938)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w:t>
            </w:r>
          </w:p>
        </w:tc>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22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15,830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Stock-based compensation expense and employer payroll taxes</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related to stock releases and option exercises</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12,829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33,823</w:t>
            </w:r>
          </w:p>
        </w:tc>
        <w:tc>
          <w:tcPr>
            <w:tcW w:w="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30,265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65,834</w:t>
            </w:r>
          </w:p>
        </w:tc>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119" w:hanging="650"/>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nonrecurring costs including acquisition-related and lease exit costs. Also includes the settlement of a certain legal matter and related litigation costs of $1.6 million and $2.0 million for the three and six months ended December 31,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259" w:firstLine="648"/>
        <w:spacing w:after="0" w:line="284"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97% and 99% of our total revenues during the three months ended December 31, 2019 and 2020 respectively, and 96% and 99% of our total revenues during the six months ended December 31, 2019 and 2020, respectively.</w:t>
      </w:r>
    </w:p>
    <w:p>
      <w:pPr>
        <w:spacing w:after="0" w:line="192"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for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5"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We also capitalize a portion of our internal-use software costs, which are then all amortized as Cost of revenues. We amortized $4.7 million and $5.9 million of capitalized internal-use software costs during the three months ended December 31, 2019 and 2020, respectively and $9.1 million and $11.3 million of capitalized internal-use software costs during the six months ended December 31, 2019 and 2020,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and benefits, marketing expenses and other related costs. We capitalize certain selling and commission costs related to new contracts or purchases of additional services by our existing clients and amortize them over a period of 7 years. We pay commissions the following month after the start of service or contract signing, and bonuses for attainment of certain annual performance criteria are subsequently paid annually in the first fiscal quarter of the following year.</w:t>
      </w:r>
    </w:p>
    <w:p>
      <w:pPr>
        <w:spacing w:after="0" w:line="17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759" w:firstLine="648"/>
        <w:spacing w:after="0" w:line="291" w:lineRule="auto"/>
        <w:rPr>
          <w:sz w:val="20"/>
          <w:szCs w:val="20"/>
          <w:color w:val="auto"/>
        </w:rPr>
      </w:pPr>
      <w:r>
        <w:rPr>
          <w:rFonts w:ascii="Arial" w:cs="Arial" w:eastAsia="Arial" w:hAnsi="Arial"/>
          <w:sz w:val="16"/>
          <w:szCs w:val="16"/>
          <w:color w:val="auto"/>
        </w:rPr>
        <w:t>Research and development expenses consist primarily of employee-related expenses for our research and development and product management staff, including wages, stock-based compensation, bonuses and benefits.</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2019 and 2020.</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28"/>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4"/>
          </w:tcPr>
          <w:p>
            <w:pPr>
              <w:jc w:val="center"/>
              <w:ind w:right="75"/>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4"/>
          </w:tcPr>
          <w:p>
            <w:pPr>
              <w:jc w:val="center"/>
              <w:ind w:right="75"/>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1"/>
                <w:szCs w:val="1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13,280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15,390</w:t>
            </w:r>
          </w:p>
        </w:tc>
        <w:tc>
          <w:tcPr>
            <w:tcW w:w="40" w:type="dxa"/>
            <w:vAlign w:val="bottom"/>
            <w:shd w:val="clear" w:color="auto" w:fill="CCEEFF"/>
          </w:tcPr>
          <w:p>
            <w:pPr>
              <w:spacing w:after="0"/>
              <w:rPr>
                <w:sz w:val="18"/>
                <w:szCs w:val="18"/>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19,338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8"/>
              </w:rPr>
              <w:t>29,804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37,985</w:t>
            </w:r>
          </w:p>
        </w:tc>
        <w:tc>
          <w:tcPr>
            <w:tcW w:w="40" w:type="dxa"/>
            <w:vAlign w:val="bottom"/>
            <w:tcBorders>
              <w:bottom w:val="single" w:sz="8" w:color="CCEEFF"/>
            </w:tcBorders>
          </w:tcPr>
          <w:p>
            <w:pPr>
              <w:spacing w:after="0"/>
              <w:rPr>
                <w:sz w:val="18"/>
                <w:szCs w:val="18"/>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43,084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53,375</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Other income (expense) generally consists of interest income related to interest earned on our cash and cash equivalents and corporate investments, net of losses on disposal of property and equipment and interest expense related to our revolving credit facility.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28"/>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jc w:val="center"/>
              <w:ind w:right="11"/>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jc w:val="center"/>
              <w:ind w:right="31"/>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1"/>
                <w:szCs w:val="1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280,268</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6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259,094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282,123</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102,922</w:t>
            </w:r>
          </w:p>
        </w:tc>
        <w:tc>
          <w:tcPr>
            <w:tcW w:w="6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171,040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179,201</w:t>
            </w:r>
          </w:p>
        </w:tc>
        <w:tc>
          <w:tcPr>
            <w:tcW w:w="60" w:type="dxa"/>
            <w:vAlign w:val="bottom"/>
            <w:shd w:val="clear" w:color="auto" w:fill="CCEEFF"/>
          </w:tcPr>
          <w:p>
            <w:pPr>
              <w:spacing w:after="0"/>
              <w:rPr>
                <w:sz w:val="18"/>
                <w:szCs w:val="18"/>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75,449</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37,985</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60" w:type="dxa"/>
            <w:vAlign w:val="bottom"/>
            <w:shd w:val="clear" w:color="auto" w:fill="CCEEFF"/>
          </w:tcPr>
          <w:p>
            <w:pPr>
              <w:spacing w:after="0"/>
              <w:rPr>
                <w:sz w:val="18"/>
                <w:szCs w:val="18"/>
                <w:color w:val="auto"/>
              </w:rPr>
            </w:pPr>
          </w:p>
        </w:tc>
      </w:tr>
      <w:tr>
        <w:trPr>
          <w:trHeight w:val="20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158,926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169,401</w:t>
            </w:r>
          </w:p>
        </w:tc>
        <w:tc>
          <w:tcPr>
            <w:tcW w:w="6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09"/>
        </w:trPr>
        <w:tc>
          <w:tcPr>
            <w:tcW w:w="5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(3,670)</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(12,938)</w:t>
            </w:r>
          </w:p>
        </w:tc>
      </w:tr>
      <w:tr>
        <w:trPr>
          <w:trHeight w:val="21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9"/>
              </w:rPr>
              <w:t>Three Months Ended</w:t>
            </w:r>
          </w:p>
        </w:tc>
        <w:tc>
          <w:tcPr>
            <w:tcW w:w="17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60" w:type="dxa"/>
            <w:vAlign w:val="bottom"/>
          </w:tcPr>
          <w:p>
            <w:pPr>
              <w:spacing w:after="0"/>
              <w:rPr>
                <w:sz w:val="14"/>
                <w:szCs w:val="14"/>
                <w:color w:val="auto"/>
              </w:rPr>
            </w:pPr>
          </w:p>
        </w:tc>
        <w:tc>
          <w:tcPr>
            <w:tcW w:w="17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Revenues: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4 %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37 %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09"/>
        </w:trPr>
        <w:tc>
          <w:tcPr>
            <w:tcW w:w="5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Three Months Ended December 31, 2019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127,980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$ 145,393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$17,413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97 %</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99 %</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(3,458)</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1 %</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Recurring and other revenue for the three months ended December 31, 2020 increased by $17.4 million, or 14%, to $145.4 million from $128.0 million for three months ended December 31, 2019. Recurring and other revenue increased primarily as a result of incremental revenues from new and existing clients, partially offset by a reduction in client employee counts on our platform due to the ongoing impact from COVID-19.</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499" w:firstLine="648"/>
        <w:spacing w:after="0" w:line="296" w:lineRule="auto"/>
        <w:rPr>
          <w:sz w:val="20"/>
          <w:szCs w:val="20"/>
          <w:color w:val="auto"/>
        </w:rPr>
      </w:pPr>
      <w:r>
        <w:rPr>
          <w:rFonts w:ascii="Arial" w:cs="Arial" w:eastAsia="Arial" w:hAnsi="Arial"/>
          <w:sz w:val="16"/>
          <w:szCs w:val="16"/>
          <w:color w:val="auto"/>
        </w:rPr>
        <w:t>Interest income on funds held for clients for the three months ended December 31, 2020 decreased by $3.5 million, or 79%, to $0.9 million from $4.4 million for the three months ended December 31, 2019.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1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$ 45,424</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$ 53,542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$ 8,118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34 %</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37 %</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66 %</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63 %</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Cost of revenues for the three months ended December 31, 2020 increased by $8.1 million, or 18%, to $53.5 million from $45.4 million for the three months ended December 31, 2019. Cost of revenues increased primarily as a result of the continued growth of our business, in particular, $5.0 million in additional employee-related costs resulting from additional personnel necessary to provide services to new and existing clients and $1.2 million in increased internal-use software amortization. Gross margin decreased from 66% for the three months ended December 31, 2019 to 63% for the three months ended December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$ 37,293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$ 37,775</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28 %</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Sales and marketing expenses for the three months ended December 31, 2020 increased by $0.5 million, or 1%, to $37.8 million from $37.3 million for the three months ended. The increase in sales and marketing expense was primarily the result of additional employee-related costs, including those incurred to expand our sales team, partially offset by reduced overall spending on travel and entertainment.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$ 15,410</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$ 19,338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$ 3,928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December 31, 2020 increased by $3.9 million, or 25%, to $19.3 million from $15.4 million for the three months ended December 31, 2019. The increase in research and development expenses was primarily the result of $3.6 million of additional employee-related costs related to additional development personnel.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$ 28,133</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$ 29,323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$ 1,190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20 %</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General and administrative expenses for the three months ended December 31, 2020 increased by $1.2 million, or 4%, to $29.3 million from $28.1 million for the three months ended December 31, 2019. The increase in general and administrative expense was primarily the result of an increase in stock-based compensation costs associated with our equity incentive plan of $1.8 million, partially offset by a decrease in discretionary employee-related costs.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0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(664)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0 %</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Other income (expense) did not materially change for the three months ended December 31, 2020 as compared to the three months ended December 31,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Our effective tax rate was 14.6% and (61.5)% for the three months ended December 31, 2019 and December 31, 2020, respectively. Our effective tax rate for the three months ended December 31, 2019 and December 31, 2020 was lower than the federal statutory rate of 21% primarily due to excess tax benefits from employee stock-based compensation, partially offset by an increase to the valuation allowance in the period ended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Comparison of Six Months Ended December 31, 2019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249,853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$ 280,268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$ 30,415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96 %</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99 %</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(7,386)</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(80)%</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Recurring and other revenue for the six months ended December 31, 2020 increased by $30.4 million, or 12%, to $280.3 million from $249.9 million for the six months ended December 31, 2019. Recurring and other revenue increased primarily as a result of incremental revenues from new and existing clients, partially offset by a reduction in client employee counts on our platform due to the ongoing impact from COVID-19.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jc w:val="both"/>
        <w:ind w:left="60" w:right="99" w:firstLine="648"/>
        <w:spacing w:after="0" w:line="275" w:lineRule="auto"/>
        <w:rPr>
          <w:sz w:val="20"/>
          <w:szCs w:val="20"/>
          <w:color w:val="auto"/>
        </w:rPr>
      </w:pPr>
      <w:r>
        <w:rPr>
          <w:rFonts w:ascii="Arial" w:cs="Arial" w:eastAsia="Arial" w:hAnsi="Arial"/>
          <w:sz w:val="17"/>
          <w:szCs w:val="17"/>
          <w:color w:val="auto"/>
        </w:rPr>
        <w:t>Interest income on funds held for clients for the six months ended December 31, 2020 decreased by $7.4 million, or 80% to $1.9 million from $9.2 million for the six months ended December 31, 2019.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8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7"/>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$ 88,054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$ 102,922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34 %</w:t>
            </w:r>
          </w:p>
        </w:tc>
        <w:tc>
          <w:tcPr>
            <w:tcW w:w="5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36 %</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64 %</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revenues for the six months ended December 31, 2020 increased by $14.9 million, or 17%, to</w:t>
      </w:r>
    </w:p>
    <w:p>
      <w:pPr>
        <w:spacing w:after="0" w:line="23" w:lineRule="exact"/>
        <w:rPr>
          <w:sz w:val="20"/>
          <w:szCs w:val="20"/>
          <w:color w:val="auto"/>
        </w:rPr>
      </w:pPr>
    </w:p>
    <w:p>
      <w:pPr>
        <w:ind w:left="60" w:right="159"/>
        <w:spacing w:after="0" w:line="292" w:lineRule="auto"/>
        <w:rPr>
          <w:sz w:val="20"/>
          <w:szCs w:val="20"/>
          <w:color w:val="auto"/>
        </w:rPr>
      </w:pPr>
      <w:r>
        <w:rPr>
          <w:rFonts w:ascii="Arial" w:cs="Arial" w:eastAsia="Arial" w:hAnsi="Arial"/>
          <w:sz w:val="16"/>
          <w:szCs w:val="16"/>
          <w:color w:val="auto"/>
        </w:rPr>
        <w:t>$102.9 million from $88.1 million for the six months ended December 31, 2019. Cost of revenues increased primarily as a result of the continued growth of our business, in particular, $10.3 million in additional employee-related costs resulting from additional personnel necessary to provide services to new and existing clients, $2.1 million in increased internal-use software amortization and $1.1 million in additional stock-based compensation associated with our equity incentive plan. Gross margin decreased from 66% to 64% for the six months ended December 31, 2019 and 2020,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$ 74,250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$ 75,449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Sales and marketing expenses for the six months ended December 31, 2020 increased by $1.2 million, or 2%, to $75.4 million from $74.3 million for the six months ended December 31, 2019. The increase in sales and marketing expense was primarily the result of additional employee-related costs, including those incurred to expand our sales team, partially offset by reduced overall spending on travel and entertainment.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8"/>
              </w:rPr>
              <w:t>$ 29,804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$ 37,985</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$ 8,181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14 %</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Research and development expenses for the six months ended December 31, 2020 increased by $8.2 million, or 27%, to $38.0 million from $29.8 million for the six months ended December 31, 2019. The increase in research and development expenses was primarily the result of $7.9 million of additional employee-related costs related to additional development personnel and $1.9 million of additional stock-based compensation associated with our equity incentive plan, partially offset by higher period-over-period capitalized internal-use software costs of $2.1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$ 54,872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$ 55,967</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General and administrative expenses for the six months ended December 31, 2020 increased by $1.1 million, or 2%, to $56.0 million from $54.9 million for the six months ended December 31, 2019. The increase in general and administrative expense was primarily the result of $2.6 million in additional stock-based compensation associated with our equity incentive plan and $0.9 million of increased occupancy costs, partially offset by a decrease in discretionary employee-related costs.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Other income for the six months ended December 31, 2020 decreased by $1.4 million as compared to the six months ended December 31, 2019. The decrease in other income (expense) was primarily due to lower interest income earned on our cash and cash equivalents and corporate investments and increased interest expense related to our revolving credit facility.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Our effective tax rate was (50.5)% and (141.2)% for the six months ended December 31, 2019 and December 31, 2020, respectively. Our effective tax rate for the six months ended December 31, 2019 and December 31, 2020 was lower than the federal statutory rate of 21% primarily due to excess tax benefits from employee stock-based compensation, partially offset by an increase to the valuation allowance in the period ended December 31,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left="60" w:right="79" w:firstLine="648"/>
        <w:spacing w:after="0" w:line="291"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81"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In March 2020, the World Health Organization declared the outbreak of COVID-19 as a pandemic which has caused a global slowdown of economic activity that we believe will continue to unfavorably impact our business operations and financial conditions. The duration and severity of the COVID-19 pandemic, and the effect the pandemic will have on our clients and general economic conditions, remains uncertain and difficult to predict. Accounting estimates used in the preparation of these consolidated financial statements may change as new events occur, more experience and additional information is acquired, and the operating environment evolves including the ongoing impact of COVID-19. Refer to “Part I. Item 1A. Risk Factors” in our Annual Report on Form 10-K filed with the SEC on August 7, 2020 for risks related to the COVID-19 pandemic on its business and financial performance.</w:t>
      </w:r>
    </w:p>
    <w:p>
      <w:pPr>
        <w:spacing w:after="0" w:line="178" w:lineRule="exact"/>
        <w:rPr>
          <w:sz w:val="20"/>
          <w:szCs w:val="20"/>
          <w:color w:val="auto"/>
        </w:rPr>
      </w:pPr>
    </w:p>
    <w:p>
      <w:pPr>
        <w:ind w:left="60" w:right="99" w:firstLine="648"/>
        <w:spacing w:after="0" w:line="258" w:lineRule="auto"/>
        <w:rPr>
          <w:sz w:val="20"/>
          <w:szCs w:val="20"/>
          <w:color w:val="auto"/>
        </w:rPr>
      </w:pPr>
      <w:r>
        <w:rPr>
          <w:rFonts w:ascii="Arial" w:cs="Arial" w:eastAsia="Arial" w:hAnsi="Arial"/>
          <w:sz w:val="18"/>
          <w:szCs w:val="18"/>
          <w:color w:val="auto"/>
        </w:rPr>
        <w:t>Our critical accounting policies and use of estimates are disclosed in our audited consolidated financial statements for the year ended June 30, 2020 included in our Annual Report on Form 10-K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1"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As of December 31, 2020, our principal sources of liquidity were $218.7 million of cash and cash equivalents and $13.6 million of total corporate investments. In July 2019, we entered into and currently maintain a five-year revolving credit agreement. This credit agreement provides for a $250.0 million senior revolving credit facility which may be increased up to $375.0 million. In fiscal 2020, we borrowed $100.0 million under this credit facility, which remained outstanding as of December 31, 2020. Although we currently do not have any anticipated need for this additional liquidity, we utilized the borrowing capacity under our credit agreement in order to provide enhanced financial flexibility due to uncertain market conditions arising from COVID-19. Refer to Note 8 of the Notes to the Unaudited Consolidated Financial Statements for additional detail on the credit agreement.</w:t>
      </w:r>
    </w:p>
    <w:p>
      <w:pPr>
        <w:spacing w:after="0" w:line="16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As of December 31, 2020, we had not recognized any credit impairment losses related to our investment portfolio.</w:t>
      </w:r>
    </w:p>
    <w:p>
      <w:pPr>
        <w:spacing w:after="0" w:line="187"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as well as the extent and duration of COVID-19 on the macro-economic environment. Many of these investments will occur in advance of our experiencing any direct benefit from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further utilize the remaining borrowing capacity under our credit facility to satisfy those needs.</w:t>
      </w:r>
    </w:p>
    <w:p>
      <w:pPr>
        <w:spacing w:after="0" w:line="188"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94"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6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 and 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(253,950)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58,996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internal-use software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(12,139)</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(12,398)</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business,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10"/>
        </w:trPr>
        <w:tc>
          <w:tcPr>
            <w:tcW w:w="6460" w:type="dxa"/>
            <w:vAlign w:val="bottom"/>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(153,707)</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Net change in client fund obligations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450,825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876,982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(25,954)</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(44,749)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428,157</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838,316</w:t>
            </w:r>
          </w:p>
        </w:tc>
        <w:tc>
          <w:tcPr>
            <w:tcW w:w="0" w:type="dxa"/>
            <w:vAlign w:val="bottom"/>
          </w:tcPr>
          <w:p>
            <w:pPr>
              <w:spacing w:after="0"/>
              <w:rPr>
                <w:sz w:val="1"/>
                <w:szCs w:val="1"/>
                <w:color w:val="auto"/>
              </w:rPr>
            </w:pPr>
          </w:p>
        </w:tc>
      </w:tr>
      <w:tr>
        <w:trPr>
          <w:trHeight w:val="182"/>
        </w:trPr>
        <w:tc>
          <w:tcPr>
            <w:tcW w:w="64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change in cash, cash equivalents and funds held for clients' cash and cash</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310,528</w:t>
            </w:r>
          </w:p>
        </w:tc>
        <w:tc>
          <w:tcPr>
            <w:tcW w:w="2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881,115</w:t>
            </w:r>
          </w:p>
        </w:tc>
        <w:tc>
          <w:tcPr>
            <w:tcW w:w="0" w:type="dxa"/>
            <w:vAlign w:val="bottom"/>
          </w:tcPr>
          <w:p>
            <w:pPr>
              <w:spacing w:after="0"/>
              <w:rPr>
                <w:sz w:val="1"/>
                <w:szCs w:val="1"/>
                <w:color w:val="auto"/>
              </w:rPr>
            </w:pPr>
          </w:p>
        </w:tc>
      </w:tr>
      <w:tr>
        <w:trPr>
          <w:trHeight w:val="21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Net cash provided by operating activities was $36.1 million and $19.7 million for the six months ended December 31, 2019 and 2020, respectively. The decrease in net cash provided by operating activities from the six months ended December 31, 2019 to the six months ended December 31, 2020 was primarily due to net changes in operating assets and liabilities, mostly driven by changes in accrued expenses related to higher payout of sales incentives and prepaid expenses and other, partially offset by improved operating results after adjusting for non-cash items including stock-based compensation expense, depreciation and amortization expense and deferred income tax benefit during the six months ended December 31,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Net cash provided by (used in) investing activities was $(153.7) million and $23.1 million for the six months ended December 31, 2019 and 2020,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6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change in net cash provided by (used in) investing activities was primarily due to decreases in purchases of available-for-sale securities of $254.0 million and purchases of property and equipment of $6.4 million, partially offset by the decrease in proceeds from sales and maturities of available-for-sale securities of $65.8 million and $15.0 million in costs related to the acquisition of Samepage Labs Inc. during the during the six months ended December 31, 2020 as compared to the six months ended December 31,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Net cash provided by financing activities was $428.2 million and $838.3 million for the six months ended December 31, 2019 and 2020, respectively. The change in net cash provided by financing activities was primarily the result of an increase in client fund obligations of $426.2 million due to the timing of client funds collected and related remittance of those funds to client employees and taxing authorities, partially offset by $18.8 million in increased taxes paid related to net share settlement of equity awards during the six months ended December 31, 2020 as compared to the December 31, 2019.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December 31, 2020:</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3"/>
                <w:szCs w:val="13"/>
                <w:b w:val="1"/>
                <w:bCs w:val="1"/>
                <w:color w:val="auto"/>
                <w:w w:val="87"/>
              </w:rPr>
              <w:t>Payment Due By Fiscal Period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4"/>
        </w:trPr>
        <w:tc>
          <w:tcPr>
            <w:tcW w:w="4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83"/>
              </w:rPr>
              <w:t>Less than 1</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w w:val="96"/>
              </w:rPr>
              <w:t>More than</w:t>
            </w:r>
          </w:p>
        </w:tc>
        <w:tc>
          <w:tcPr>
            <w:tcW w:w="40" w:type="dxa"/>
            <w:vAlign w:val="bottom"/>
          </w:tcPr>
          <w:p>
            <w:pPr>
              <w:spacing w:after="0"/>
              <w:rPr>
                <w:sz w:val="10"/>
                <w:szCs w:val="10"/>
                <w:color w:val="auto"/>
              </w:rPr>
            </w:pPr>
          </w:p>
        </w:tc>
      </w:tr>
      <w:tr>
        <w:trPr>
          <w:trHeight w:val="153"/>
        </w:trPr>
        <w:tc>
          <w:tcPr>
            <w:tcW w:w="4700" w:type="dxa"/>
            <w:vAlign w:val="bottom"/>
          </w:tcPr>
          <w:p>
            <w:pPr>
              <w:spacing w:after="0"/>
              <w:rPr>
                <w:sz w:val="13"/>
                <w:szCs w:val="13"/>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Year</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1-3 Years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5 Years</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$ 103,949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$ 100,831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780" w:type="dxa"/>
            <w:vAlign w:val="bottom"/>
          </w:tcPr>
          <w:p>
            <w:pPr>
              <w:jc w:val="right"/>
              <w:spacing w:after="0"/>
              <w:rPr>
                <w:sz w:val="20"/>
                <w:szCs w:val="20"/>
                <w:color w:val="auto"/>
              </w:rPr>
            </w:pPr>
            <w:r>
              <w:rPr>
                <w:rFonts w:ascii="Arial" w:cs="Arial" w:eastAsia="Arial" w:hAnsi="Arial"/>
                <w:sz w:val="18"/>
                <w:szCs w:val="18"/>
                <w:color w:val="auto"/>
              </w:rPr>
              <w:t>94,102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18,711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46,288</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Unconditional purchase obligations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$ 214,161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21,033</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25,702</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$ 121,138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46,288</w:t>
            </w:r>
          </w:p>
        </w:tc>
        <w:tc>
          <w:tcPr>
            <w:tcW w:w="4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right="199" w:hanging="650"/>
        <w:spacing w:after="0" w:line="30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the contractual maturity of and estimated interest payments on borrowings under our revolving credit facility. Interest was calculated using the interest rate in effect as of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and the ongoing impact from COVID-19. In the event that our sales growth or other factors do not meet our expectations, we may eliminate or curtail capital projects in order to mitigate the impact on our use of cash. Capital expenditures were $12.4 million and $6.0 million for the six months ended December 31, 2019 and 2020, respectively, exclusive of capitalized internal-use software costs of $12.1 million and $14.8 million for the same periods, respectively.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We have operations primarily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significantly disrupted the global economy and financial markets and we believe it will unfavorably impact our future business and financial performance. Refer to “Part I. Item 1A. Risk Factors” on our Annual Report on Form 10-K filed with the SEC on August 7, 2020 for risks related to the COVID-19 pandemic.</w:t>
      </w:r>
    </w:p>
    <w:p>
      <w:pPr>
        <w:spacing w:after="0" w:line="17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have not used, nor do we intend to use, derivatives to mitigate the impact of interest rate or other exposure or for trading or speculative purposes.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As of December 31, 2020, we had cash and cash equivalents of $218.7 million, corporate investments of $13.6 million and funds held for clients of $2,204.3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asset-backed debt securities and corporate debt issuances, which were classified as available-for-sale securities as of December 31, 2020.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9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December 31, 2020. Fluctuations in the value of our available-for-sale securities caused by changes in interest rates are recorded in other comprehensive income and are only realized if we sell the underlying securities.</w:t>
      </w:r>
    </w:p>
    <w:p>
      <w:pPr>
        <w:spacing w:after="0" w:line="18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Additionally, as described in Note 8 of the Notes to the Unaudited Consolidated Financial Statements, we entered into a credit agreement that provides for a revolving credit facility (“credit facility”) in the aggregate amount of $250.0 million, which may be increased up to $375.0 million. Borrowings under the credit facility will generally bear interest at a rate based upon the London Interbank Offered Rate (“LIBOR”) (or a replacement rate for LIBOR) or, at our sole option, an adjusted base rate plus an applicable margin based on our then-applicable net senior secured leverage ratio. As of December 31, 2020, we had $100.0 million in borrowings outstanding under the credit facility. Because interest rates applicable to the credit facility are variable, we are exposed to market risk from changes in the underlying index rates, which affects our interest expense. A hypothetical increase of 100 basis points in interest rates would not have had a significant impact on our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December 31, 2020,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There have been no material changes in our risk factors disclosed in “Item 1A. Risk Factors” of our Annual Report on Form 10-K for the fiscal year ended June 30, 2020 filed with the SEC on August 7, 2020.</w:t>
      </w:r>
    </w:p>
    <w:p>
      <w:pPr>
        <w:spacing w:after="0" w:line="15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9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2"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information required by this Item is set forth in the Index to Exhibits immediately following this page.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380" w:type="dxa"/>
            <w:vAlign w:val="bottom"/>
            <w:gridSpan w:val="10"/>
          </w:tcPr>
          <w:p>
            <w:pPr>
              <w:ind w:left="40"/>
              <w:spacing w:after="0"/>
              <w:rPr>
                <w:sz w:val="20"/>
                <w:szCs w:val="20"/>
                <w:color w:val="auto"/>
              </w:rPr>
            </w:pPr>
            <w:r>
              <w:rPr>
                <w:rFonts w:ascii="Arial" w:cs="Arial" w:eastAsia="Arial" w:hAnsi="Arial"/>
                <w:sz w:val="18"/>
                <w:szCs w:val="18"/>
                <w:b w:val="1"/>
                <w:bCs w:val="1"/>
                <w:color w:val="auto"/>
              </w:rPr>
              <w:t>INDEX TO EXHIBITS</w:t>
            </w:r>
          </w:p>
        </w:tc>
      </w:tr>
      <w:tr>
        <w:trPr>
          <w:trHeight w:val="412"/>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Nos.</w:t>
            </w: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9"/>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7100" w:type="dxa"/>
            <w:vAlign w:val="bottom"/>
            <w:tcBorders>
              <w:top w:val="single" w:sz="8" w:color="auto"/>
              <w:bottom w:val="single" w:sz="8" w:color="0000EE"/>
            </w:tcBorders>
            <w:gridSpan w:val="6"/>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First Amended and Restated Certificate of Incorporation (filed as Exhibit 3.2 of Paylocity Holding</w:t>
              </w:r>
            </w:hyperlink>
          </w:p>
        </w:tc>
        <w:tc>
          <w:tcPr>
            <w:tcW w:w="660" w:type="dxa"/>
            <w:vAlign w:val="bottom"/>
            <w:tcBorders>
              <w:top w:val="single" w:sz="8" w:color="auto"/>
            </w:tcBorders>
            <w:gridSpan w:val="6"/>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2"/>
          </w:tcPr>
          <w:p>
            <w:pPr>
              <w:spacing w:after="0"/>
              <w:rPr>
                <w:rFonts w:ascii="Arial" w:cs="Arial" w:eastAsia="Arial" w:hAnsi="Arial"/>
                <w:sz w:val="18"/>
                <w:szCs w:val="18"/>
                <w:color w:val="0000EE"/>
              </w:rPr>
            </w:pPr>
            <w:hyperlink r:id="rId54">
              <w:r>
                <w:rPr>
                  <w:rFonts w:ascii="Arial" w:cs="Arial" w:eastAsia="Arial" w:hAnsi="Arial"/>
                  <w:sz w:val="18"/>
                  <w:szCs w:val="18"/>
                  <w:color w:val="0000EE"/>
                </w:rPr>
                <w:t>Corporation’s Form S-1 Registration Statement (Registration No. 333-193661)).</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7760" w:type="dxa"/>
            <w:vAlign w:val="bottom"/>
            <w:tcBorders>
              <w:bottom w:val="single" w:sz="8" w:color="0000EE"/>
            </w:tcBorders>
            <w:gridSpan w:val="12"/>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Amended and Restated Bylaws of Paylocity Holding Corporation (filed as Exhibit 3.2 of Paylocity Holding</w:t>
              </w:r>
            </w:hyperlink>
          </w:p>
        </w:tc>
      </w:tr>
      <w:tr>
        <w:trPr>
          <w:trHeight w:val="263"/>
        </w:trPr>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760" w:type="dxa"/>
            <w:vAlign w:val="bottom"/>
            <w:gridSpan w:val="12"/>
          </w:tcPr>
          <w:p>
            <w:pPr>
              <w:spacing w:after="0"/>
              <w:rPr>
                <w:rFonts w:ascii="Arial" w:cs="Arial" w:eastAsia="Arial" w:hAnsi="Arial"/>
                <w:sz w:val="18"/>
                <w:szCs w:val="18"/>
                <w:u w:val="single" w:color="auto"/>
                <w:color w:val="0000EE"/>
                <w:w w:val="97"/>
              </w:rPr>
            </w:pPr>
            <w:hyperlink r:id="rId55">
              <w:r>
                <w:rPr>
                  <w:rFonts w:ascii="Arial" w:cs="Arial" w:eastAsia="Arial" w:hAnsi="Arial"/>
                  <w:sz w:val="18"/>
                  <w:szCs w:val="18"/>
                  <w:u w:val="single" w:color="auto"/>
                  <w:color w:val="0000EE"/>
                  <w:w w:val="97"/>
                </w:rPr>
                <w:t>Corporation’s Annual Report on Form 10-K for the year ended June 30, 2017 (File No. 001-36348)).</w:t>
              </w:r>
            </w:hyperlink>
          </w:p>
        </w:tc>
      </w:tr>
      <w:tr>
        <w:trPr>
          <w:trHeight w:val="445"/>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Form of Market Stock Units Notice of Grant and Award Agreement under the 2014 Equity Incentive Plan</w:t>
              </w:r>
            </w:hyperlink>
          </w:p>
        </w:tc>
        <w:tc>
          <w:tcPr>
            <w:tcW w:w="140" w:type="dxa"/>
            <w:vAlign w:val="bottom"/>
            <w:gridSpan w:val="2"/>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00" w:type="dxa"/>
            <w:vAlign w:val="bottom"/>
            <w:tcBorders>
              <w:bottom w:val="single" w:sz="8" w:color="0000EE"/>
            </w:tcBorders>
            <w:gridSpan w:val="11"/>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(filed as Exhibit 10.1 of Paylocity Holding Corporation’s Current Report on Form 8-K on August 18, 2020</w:t>
              </w:r>
            </w:hyperlink>
          </w:p>
        </w:tc>
        <w:tc>
          <w:tcPr>
            <w:tcW w:w="60" w:type="dxa"/>
            <w:vAlign w:val="bottom"/>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2"/>
          </w:tcPr>
          <w:p>
            <w:pPr>
              <w:spacing w:after="0"/>
              <w:rPr>
                <w:rFonts w:ascii="Arial" w:cs="Arial" w:eastAsia="Arial" w:hAnsi="Arial"/>
                <w:sz w:val="18"/>
                <w:szCs w:val="18"/>
                <w:color w:val="0000EE"/>
              </w:rPr>
            </w:pPr>
            <w:hyperlink r:id="rId56">
              <w:r>
                <w:rPr>
                  <w:rFonts w:ascii="Arial" w:cs="Arial" w:eastAsia="Arial" w:hAnsi="Arial"/>
                  <w:sz w:val="18"/>
                  <w:szCs w:val="18"/>
                  <w:color w:val="0000EE"/>
                </w:rPr>
                <w:t>(File No. 001-36348)).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760" w:type="dxa"/>
            <w:vAlign w:val="bottom"/>
            <w:gridSpan w:val="12"/>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Certification of Chief Executive Officer pursuant to Securities Exchange Act Rules 13a-4 and 15d-14 as</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adopted pursuant to Section 302 of the Sarbanes-Oxley Act of 2002.</w:t>
              </w:r>
            </w:hyperlink>
          </w:p>
        </w:tc>
        <w:tc>
          <w:tcPr>
            <w:tcW w:w="260" w:type="dxa"/>
            <w:vAlign w:val="bottom"/>
            <w:gridSpan w:val="3"/>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Financial Officer pursuant to Securities Exchange Act Rules 13a-4 and 15d-14 as</w:t>
              </w:r>
            </w:hyperlink>
          </w:p>
        </w:tc>
        <w:tc>
          <w:tcPr>
            <w:tcW w:w="300" w:type="dxa"/>
            <w:vAlign w:val="bottom"/>
            <w:gridSpan w:val="5"/>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adopted pursuant to Section 302 of the Sarbanes-Oxley Act of 2002.</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gridSpan w:val="12"/>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2002, by Chief Executive Officer.</w:t>
              </w:r>
            </w:hyperlink>
          </w:p>
        </w:tc>
        <w:tc>
          <w:tcPr>
            <w:tcW w:w="5040" w:type="dxa"/>
            <w:vAlign w:val="bottom"/>
            <w:tcBorders>
              <w:top w:val="single" w:sz="8" w:color="0000EE"/>
            </w:tcBorders>
            <w:gridSpan w:val="5"/>
          </w:tcPr>
          <w:p>
            <w:pPr>
              <w:spacing w:after="0"/>
              <w:rPr>
                <w:sz w:val="19"/>
                <w:szCs w:val="19"/>
                <w:color w:val="auto"/>
              </w:rPr>
            </w:pPr>
          </w:p>
        </w:tc>
        <w:tc>
          <w:tcPr>
            <w:tcW w:w="280" w:type="dxa"/>
            <w:vAlign w:val="bottom"/>
            <w:gridSpan w:val="4"/>
          </w:tcPr>
          <w:p>
            <w:pPr>
              <w:spacing w:after="0"/>
              <w:rPr>
                <w:sz w:val="19"/>
                <w:szCs w:val="19"/>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gridSpan w:val="12"/>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80" w:type="dxa"/>
            <w:vAlign w:val="bottom"/>
            <w:tcBorders>
              <w:top w:val="single" w:sz="8" w:color="0000EE"/>
            </w:tcBorders>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2002, by Chief Financial Officer.</w:t>
              </w:r>
            </w:hyperlink>
          </w:p>
        </w:tc>
        <w:tc>
          <w:tcPr>
            <w:tcW w:w="280" w:type="dxa"/>
            <w:vAlign w:val="bottom"/>
            <w:gridSpan w:val="4"/>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r>
      <w:tr>
        <w:trPr>
          <w:trHeight w:val="507"/>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760" w:type="dxa"/>
            <w:vAlign w:val="bottom"/>
            <w:gridSpan w:val="12"/>
          </w:tcPr>
          <w:p>
            <w:pPr>
              <w:spacing w:after="0"/>
              <w:rPr>
                <w:sz w:val="20"/>
                <w:szCs w:val="20"/>
                <w:color w:val="auto"/>
              </w:rPr>
            </w:pPr>
            <w:r>
              <w:rPr>
                <w:rFonts w:ascii="Arial" w:cs="Arial" w:eastAsia="Arial" w:hAnsi="Arial"/>
                <w:sz w:val="18"/>
                <w:szCs w:val="18"/>
                <w:color w:val="auto"/>
                <w:w w:val="91"/>
              </w:rPr>
              <w:t>XBRL Instance Document (the instance document does not appear in the Interactive Data File because its</w:t>
            </w: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7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7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7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7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7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5" w:lineRule="exact"/>
        <w:rPr>
          <w:sz w:val="20"/>
          <w:szCs w:val="20"/>
          <w:color w:val="auto"/>
        </w:rPr>
      </w:pPr>
    </w:p>
    <w:p>
      <w:pPr>
        <w:ind w:left="320" w:hanging="270"/>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20" w:hanging="270"/>
        <w:spacing w:after="0"/>
        <w:tabs>
          <w:tab w:leader="none" w:pos="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720" w:type="dxa"/>
            <w:vAlign w:val="bottom"/>
            <w:gridSpan w:val="3"/>
          </w:tcPr>
          <w:p>
            <w:pPr>
              <w:ind w:left="210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640" w:type="dxa"/>
            <w:vAlign w:val="bottom"/>
          </w:tcPr>
          <w:p>
            <w:pPr>
              <w:ind w:left="120"/>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February 5, 2021</w:t>
            </w:r>
          </w:p>
        </w:tc>
        <w:tc>
          <w:tcPr>
            <w:tcW w:w="2700" w:type="dxa"/>
            <w:vAlign w:val="bottom"/>
          </w:tcPr>
          <w:p>
            <w:pPr>
              <w:ind w:left="2100"/>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700" w:type="dxa"/>
            <w:vAlign w:val="bottom"/>
          </w:tcPr>
          <w:p>
            <w:pPr>
              <w:ind w:left="2100"/>
              <w:spacing w:after="0" w:line="198" w:lineRule="exact"/>
              <w:rPr>
                <w:sz w:val="20"/>
                <w:szCs w:val="20"/>
                <w:color w:val="auto"/>
              </w:rPr>
            </w:pPr>
            <w:r>
              <w:rPr>
                <w:rFonts w:ascii="Arial" w:cs="Arial" w:eastAsia="Arial" w:hAnsi="Arial"/>
                <w:sz w:val="18"/>
                <w:szCs w:val="18"/>
                <w:b w:val="1"/>
                <w:bCs w:val="1"/>
                <w:color w:val="auto"/>
              </w:rPr>
              <w:t>Name:</w:t>
            </w:r>
          </w:p>
        </w:tc>
        <w:tc>
          <w:tcPr>
            <w:tcW w:w="3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Steven R. Beauchamp</w:t>
            </w:r>
          </w:p>
        </w:tc>
        <w:tc>
          <w:tcPr>
            <w:tcW w:w="2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ind w:left="2100"/>
              <w:spacing w:after="0"/>
              <w:rPr>
                <w:sz w:val="20"/>
                <w:szCs w:val="20"/>
                <w:color w:val="auto"/>
              </w:rPr>
            </w:pPr>
            <w:r>
              <w:rPr>
                <w:rFonts w:ascii="Arial" w:cs="Arial" w:eastAsia="Arial" w:hAnsi="Arial"/>
                <w:sz w:val="18"/>
                <w:szCs w:val="18"/>
                <w:b w:val="1"/>
                <w:bCs w:val="1"/>
                <w:color w:val="auto"/>
              </w:rPr>
              <w:t>Title:</w:t>
            </w: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Executive Officer) and Director</w:t>
            </w:r>
          </w:p>
        </w:tc>
      </w:tr>
      <w:tr>
        <w:trPr>
          <w:trHeight w:val="655"/>
        </w:trPr>
        <w:tc>
          <w:tcPr>
            <w:tcW w:w="640" w:type="dxa"/>
            <w:vAlign w:val="bottom"/>
          </w:tcPr>
          <w:p>
            <w:pPr>
              <w:ind w:left="120"/>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February 5, 2021</w:t>
            </w:r>
          </w:p>
        </w:tc>
        <w:tc>
          <w:tcPr>
            <w:tcW w:w="2700" w:type="dxa"/>
            <w:vAlign w:val="bottom"/>
          </w:tcPr>
          <w:p>
            <w:pPr>
              <w:ind w:left="2100"/>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Toby J. Williams</w:t>
            </w:r>
          </w:p>
        </w:tc>
      </w:tr>
      <w:tr>
        <w:trPr>
          <w:trHeight w:val="198"/>
        </w:trPr>
        <w:tc>
          <w:tcPr>
            <w:tcW w:w="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700" w:type="dxa"/>
            <w:vAlign w:val="bottom"/>
          </w:tcPr>
          <w:p>
            <w:pPr>
              <w:ind w:left="2100"/>
              <w:spacing w:after="0" w:line="198" w:lineRule="exact"/>
              <w:rPr>
                <w:sz w:val="20"/>
                <w:szCs w:val="20"/>
                <w:color w:val="auto"/>
              </w:rPr>
            </w:pPr>
            <w:r>
              <w:rPr>
                <w:rFonts w:ascii="Arial" w:cs="Arial" w:eastAsia="Arial" w:hAnsi="Arial"/>
                <w:sz w:val="18"/>
                <w:szCs w:val="18"/>
                <w:b w:val="1"/>
                <w:bCs w:val="1"/>
                <w:color w:val="auto"/>
              </w:rPr>
              <w:t>Name:</w:t>
            </w:r>
          </w:p>
        </w:tc>
        <w:tc>
          <w:tcPr>
            <w:tcW w:w="3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Toby J. Williams</w:t>
            </w:r>
          </w:p>
        </w:tc>
        <w:tc>
          <w:tcPr>
            <w:tcW w:w="2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ind w:left="2100"/>
              <w:spacing w:after="0"/>
              <w:rPr>
                <w:sz w:val="20"/>
                <w:szCs w:val="20"/>
                <w:color w:val="auto"/>
              </w:rPr>
            </w:pPr>
            <w:r>
              <w:rPr>
                <w:rFonts w:ascii="Arial" w:cs="Arial" w:eastAsia="Arial" w:hAnsi="Arial"/>
                <w:sz w:val="18"/>
                <w:szCs w:val="18"/>
                <w:b w:val="1"/>
                <w:bCs w:val="1"/>
                <w:color w:val="auto"/>
              </w:rPr>
              <w:t>Title:</w:t>
            </w:r>
          </w:p>
        </w:tc>
        <w:tc>
          <w:tcPr>
            <w:tcW w:w="3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Chief Financial Officer (Principal</w:t>
            </w:r>
          </w:p>
        </w:tc>
      </w:tr>
      <w:tr>
        <w:trPr>
          <w:trHeight w:val="234"/>
        </w:trPr>
        <w:tc>
          <w:tcPr>
            <w:tcW w:w="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Financial Officer)</w:t>
            </w:r>
          </w:p>
        </w:tc>
      </w:tr>
      <w:tr>
        <w:trPr>
          <w:trHeight w:val="905"/>
        </w:trPr>
        <w:tc>
          <w:tcPr>
            <w:tcW w:w="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1180"/>
              <w:spacing w:after="0"/>
              <w:rPr>
                <w:sz w:val="20"/>
                <w:szCs w:val="20"/>
                <w:color w:val="auto"/>
              </w:rPr>
            </w:pPr>
            <w:r>
              <w:rPr>
                <w:rFonts w:ascii="Arial" w:cs="Arial" w:eastAsia="Arial" w:hAnsi="Arial"/>
                <w:sz w:val="18"/>
                <w:szCs w:val="18"/>
                <w:color w:val="auto"/>
              </w:rPr>
              <w:t>37</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Steven R. Beauchamp, certify that:</w:t>
      </w:r>
    </w:p>
    <w:p>
      <w:pPr>
        <w:spacing w:after="0" w:line="198" w:lineRule="exact"/>
        <w:rPr>
          <w:sz w:val="20"/>
          <w:szCs w:val="20"/>
          <w:color w:val="auto"/>
        </w:rPr>
      </w:pPr>
    </w:p>
    <w:p>
      <w:pPr>
        <w:ind w:left="1340" w:hanging="408"/>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209" w:lineRule="exact"/>
        <w:rPr>
          <w:rFonts w:ascii="Arial" w:cs="Arial" w:eastAsia="Arial" w:hAnsi="Arial"/>
          <w:sz w:val="17"/>
          <w:szCs w:val="17"/>
          <w:color w:val="auto"/>
        </w:rPr>
      </w:pPr>
    </w:p>
    <w:p>
      <w:pPr>
        <w:ind w:left="500" w:right="299" w:firstLine="432"/>
        <w:spacing w:after="0" w:line="270" w:lineRule="auto"/>
        <w:tabs>
          <w:tab w:leader="none" w:pos="13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500" w:right="119" w:firstLine="432"/>
        <w:spacing w:after="0" w:line="248" w:lineRule="auto"/>
        <w:tabs>
          <w:tab w:leader="none" w:pos="1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00" w:right="199" w:firstLine="432"/>
        <w:spacing w:after="0" w:line="294" w:lineRule="auto"/>
        <w:tabs>
          <w:tab w:leader="none" w:pos="13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940" w:right="139" w:firstLine="432"/>
        <w:spacing w:after="0" w:line="243"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940" w:right="99" w:firstLine="432"/>
        <w:spacing w:after="0" w:line="243" w:lineRule="auto"/>
        <w:tabs>
          <w:tab w:leader="none" w:pos="17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940" w:right="219" w:firstLine="432"/>
        <w:spacing w:after="0" w:line="248"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940" w:right="199" w:firstLine="432"/>
        <w:spacing w:after="0" w:line="294" w:lineRule="auto"/>
        <w:tabs>
          <w:tab w:leader="none" w:pos="17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2020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500" w:right="179" w:firstLine="432"/>
        <w:spacing w:after="0" w:line="248" w:lineRule="auto"/>
        <w:tabs>
          <w:tab w:leader="none" w:pos="13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940" w:right="279" w:firstLine="432"/>
        <w:spacing w:after="0" w:line="248" w:lineRule="auto"/>
        <w:tabs>
          <w:tab w:leader="none" w:pos="17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940" w:right="479" w:firstLine="432"/>
        <w:spacing w:after="0" w:line="261"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Date: February 5, 2021</w:t>
            </w:r>
          </w:p>
        </w:tc>
        <w:tc>
          <w:tcPr>
            <w:tcW w:w="38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 Steven R. Beauchamp</w:t>
            </w:r>
          </w:p>
        </w:tc>
      </w:tr>
      <w:tr>
        <w:trPr>
          <w:trHeight w:val="191"/>
        </w:trPr>
        <w:tc>
          <w:tcPr>
            <w:tcW w:w="5080" w:type="dxa"/>
            <w:vAlign w:val="bottom"/>
          </w:tcPr>
          <w:p>
            <w:pPr>
              <w:ind w:left="4460"/>
              <w:spacing w:after="0" w:line="191"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Steven R. Beauchamp</w:t>
            </w:r>
          </w:p>
        </w:tc>
        <w:tc>
          <w:tcPr>
            <w:tcW w:w="20" w:type="dxa"/>
            <w:vAlign w:val="bottom"/>
          </w:tcPr>
          <w:p>
            <w:pPr>
              <w:spacing w:after="0"/>
              <w:rPr>
                <w:sz w:val="16"/>
                <w:szCs w:val="16"/>
                <w:color w:val="auto"/>
              </w:rPr>
            </w:pPr>
          </w:p>
        </w:tc>
      </w:tr>
      <w:tr>
        <w:trPr>
          <w:trHeight w:val="234"/>
        </w:trPr>
        <w:tc>
          <w:tcPr>
            <w:tcW w:w="5080" w:type="dxa"/>
            <w:vAlign w:val="bottom"/>
          </w:tcPr>
          <w:p>
            <w:pPr>
              <w:ind w:left="4460"/>
              <w:spacing w:after="0"/>
              <w:rPr>
                <w:sz w:val="20"/>
                <w:szCs w:val="20"/>
                <w:color w:val="auto"/>
              </w:rPr>
            </w:pPr>
            <w:r>
              <w:rPr>
                <w:rFonts w:ascii="Arial" w:cs="Arial" w:eastAsia="Arial" w:hAnsi="Arial"/>
                <w:sz w:val="18"/>
                <w:szCs w:val="18"/>
                <w:b w:val="1"/>
                <w:bCs w:val="1"/>
                <w:color w:val="auto"/>
              </w:rPr>
              <w:t>Title:</w:t>
            </w:r>
          </w:p>
        </w:tc>
        <w:tc>
          <w:tcPr>
            <w:tcW w:w="3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43"/>
        </w:trPr>
        <w:tc>
          <w:tcPr>
            <w:tcW w:w="5080" w:type="dxa"/>
            <w:vAlign w:val="bottom"/>
          </w:tcPr>
          <w:p>
            <w:pPr>
              <w:spacing w:after="0"/>
              <w:rPr>
                <w:sz w:val="21"/>
                <w:szCs w:val="21"/>
                <w:color w:val="auto"/>
              </w:rPr>
            </w:pPr>
          </w:p>
        </w:tc>
        <w:tc>
          <w:tcPr>
            <w:tcW w:w="3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Officer) and Director</w:t>
            </w:r>
          </w:p>
        </w:tc>
      </w:tr>
      <w:tr>
        <w:trPr>
          <w:trHeight w:val="776"/>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Toby J. Williams, certify that:</w:t>
      </w:r>
    </w:p>
    <w:p>
      <w:pPr>
        <w:spacing w:after="0" w:line="198" w:lineRule="exact"/>
        <w:rPr>
          <w:sz w:val="20"/>
          <w:szCs w:val="20"/>
          <w:color w:val="auto"/>
        </w:rPr>
      </w:pPr>
    </w:p>
    <w:p>
      <w:pPr>
        <w:ind w:left="1340" w:hanging="408"/>
        <w:spacing w:after="0"/>
        <w:tabs>
          <w:tab w:leader="none" w:pos="1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209" w:lineRule="exact"/>
        <w:rPr>
          <w:rFonts w:ascii="Arial" w:cs="Arial" w:eastAsia="Arial" w:hAnsi="Arial"/>
          <w:sz w:val="17"/>
          <w:szCs w:val="17"/>
          <w:color w:val="auto"/>
        </w:rPr>
      </w:pPr>
    </w:p>
    <w:p>
      <w:pPr>
        <w:ind w:left="500" w:right="299" w:firstLine="432"/>
        <w:spacing w:after="0" w:line="270" w:lineRule="auto"/>
        <w:tabs>
          <w:tab w:leader="none" w:pos="13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500" w:right="119" w:firstLine="432"/>
        <w:spacing w:after="0" w:line="248" w:lineRule="auto"/>
        <w:tabs>
          <w:tab w:leader="none" w:pos="13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00" w:right="199" w:firstLine="432"/>
        <w:spacing w:after="0" w:line="294" w:lineRule="auto"/>
        <w:tabs>
          <w:tab w:leader="none" w:pos="13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940" w:right="139" w:firstLine="432"/>
        <w:spacing w:after="0" w:line="243"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940" w:right="99" w:firstLine="432"/>
        <w:spacing w:after="0" w:line="243" w:lineRule="auto"/>
        <w:tabs>
          <w:tab w:leader="none" w:pos="17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940" w:right="219" w:firstLine="432"/>
        <w:spacing w:after="0" w:line="248"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940" w:right="199" w:firstLine="432"/>
        <w:spacing w:after="0" w:line="294" w:lineRule="auto"/>
        <w:tabs>
          <w:tab w:leader="none" w:pos="17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2020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500" w:right="179" w:firstLine="432"/>
        <w:spacing w:after="0" w:line="248" w:lineRule="auto"/>
        <w:tabs>
          <w:tab w:leader="none" w:pos="13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940" w:right="279" w:firstLine="432"/>
        <w:spacing w:after="0" w:line="248" w:lineRule="auto"/>
        <w:tabs>
          <w:tab w:leader="none" w:pos="17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940" w:right="479" w:firstLine="432"/>
        <w:spacing w:after="0" w:line="261"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Date: February 5, 2021</w:t>
            </w:r>
          </w:p>
        </w:tc>
        <w:tc>
          <w:tcPr>
            <w:tcW w:w="3840" w:type="dxa"/>
            <w:vAlign w:val="bottom"/>
            <w:gridSpan w:val="2"/>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080" w:type="dxa"/>
            <w:vAlign w:val="bottom"/>
          </w:tcPr>
          <w:p>
            <w:pPr>
              <w:ind w:left="4460"/>
              <w:spacing w:after="0" w:line="177"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5"/>
                <w:szCs w:val="15"/>
                <w:color w:val="auto"/>
              </w:rPr>
            </w:pPr>
          </w:p>
        </w:tc>
      </w:tr>
      <w:tr>
        <w:trPr>
          <w:trHeight w:val="203"/>
        </w:trPr>
        <w:tc>
          <w:tcPr>
            <w:tcW w:w="5080" w:type="dxa"/>
            <w:vAlign w:val="bottom"/>
          </w:tcPr>
          <w:p>
            <w:pPr>
              <w:ind w:left="4460"/>
              <w:spacing w:after="0" w:line="202" w:lineRule="exact"/>
              <w:rPr>
                <w:sz w:val="20"/>
                <w:szCs w:val="20"/>
                <w:color w:val="auto"/>
              </w:rPr>
            </w:pPr>
            <w:r>
              <w:rPr>
                <w:rFonts w:ascii="Arial" w:cs="Arial" w:eastAsia="Arial" w:hAnsi="Arial"/>
                <w:sz w:val="18"/>
                <w:szCs w:val="18"/>
                <w:b w:val="1"/>
                <w:bCs w:val="1"/>
                <w:color w:val="auto"/>
              </w:rPr>
              <w:t>Title:</w:t>
            </w:r>
          </w:p>
        </w:tc>
        <w:tc>
          <w:tcPr>
            <w:tcW w:w="3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080" w:type="dxa"/>
            <w:vAlign w:val="bottom"/>
          </w:tcPr>
          <w:p>
            <w:pPr>
              <w:spacing w:after="0"/>
              <w:rPr>
                <w:sz w:val="20"/>
                <w:szCs w:val="20"/>
                <w:color w:val="auto"/>
              </w:rPr>
            </w:pPr>
          </w:p>
        </w:tc>
        <w:tc>
          <w:tcPr>
            <w:tcW w:w="3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749"/>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71" w:lineRule="exact"/>
        <w:rPr>
          <w:sz w:val="20"/>
          <w:szCs w:val="20"/>
          <w:color w:val="auto"/>
        </w:rPr>
      </w:pPr>
    </w:p>
    <w:p>
      <w:pPr>
        <w:ind w:left="60" w:right="199" w:firstLine="441"/>
        <w:spacing w:after="0"/>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2020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76" w:lineRule="exact"/>
        <w:rPr>
          <w:sz w:val="20"/>
          <w:szCs w:val="20"/>
          <w:color w:val="auto"/>
        </w:rPr>
      </w:pPr>
    </w:p>
    <w:p>
      <w:pPr>
        <w:ind w:left="60"/>
        <w:spacing w:after="0"/>
        <w:tabs>
          <w:tab w:leader="none" w:pos="5800" w:val="left"/>
        </w:tabs>
        <w:rPr>
          <w:sz w:val="20"/>
          <w:szCs w:val="20"/>
          <w:color w:val="auto"/>
        </w:rPr>
      </w:pPr>
      <w:r>
        <w:rPr>
          <w:rFonts w:ascii="Arial" w:cs="Arial" w:eastAsia="Arial" w:hAnsi="Arial"/>
          <w:sz w:val="18"/>
          <w:szCs w:val="18"/>
          <w:color w:val="auto"/>
        </w:rPr>
        <w:t>Dated: February 5, 2021</w:t>
      </w:r>
      <w:r>
        <w:rPr>
          <w:sz w:val="20"/>
          <w:szCs w:val="20"/>
          <w:color w:val="auto"/>
        </w:rPr>
        <w:tab/>
      </w:r>
      <w:r>
        <w:rPr>
          <w:rFonts w:ascii="Arial" w:cs="Arial" w:eastAsia="Arial" w:hAnsi="Arial"/>
          <w:sz w:val="16"/>
          <w:szCs w:val="16"/>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Steven R. Beauchamp</w:t>
      </w:r>
    </w:p>
    <w:p>
      <w:pPr>
        <w:jc w:val="center"/>
        <w:ind w:left="4440"/>
        <w:spacing w:after="0"/>
        <w:rPr>
          <w:sz w:val="20"/>
          <w:szCs w:val="20"/>
          <w:color w:val="auto"/>
        </w:rPr>
      </w:pPr>
      <w:r>
        <w:rPr>
          <w:rFonts w:ascii="Arial" w:cs="Arial" w:eastAsia="Arial" w:hAnsi="Arial"/>
          <w:sz w:val="16"/>
          <w:szCs w:val="16"/>
          <w:b w:val="1"/>
          <w:bCs w:val="1"/>
          <w:color w:val="auto"/>
        </w:rPr>
        <w:t>Chief Executive Officer (Principal Executive Officer) and</w:t>
      </w:r>
    </w:p>
    <w:p>
      <w:pPr>
        <w:spacing w:after="0" w:line="19"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Director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71" w:lineRule="exact"/>
        <w:rPr>
          <w:sz w:val="20"/>
          <w:szCs w:val="20"/>
          <w:color w:val="auto"/>
        </w:rPr>
      </w:pPr>
    </w:p>
    <w:p>
      <w:pPr>
        <w:ind w:left="60" w:right="59" w:firstLine="441"/>
        <w:spacing w:after="0"/>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2020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9"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8"/>
          <w:szCs w:val="18"/>
          <w:color w:val="auto"/>
        </w:rPr>
        <w:t>Dated: February 5, 2021</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6350</wp:posOffset>
            </wp:positionV>
            <wp:extent cx="3025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Toby J. Williams</w:t>
      </w:r>
    </w:p>
    <w:p>
      <w:pPr>
        <w:jc w:val="center"/>
        <w:ind w:left="41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3"/>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1)"/>
      <w:numFmt w:val="lowerLetter"/>
      <w:start w:val="5"/>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lvl w:ilvl="1">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4" Type="http://schemas.openxmlformats.org/officeDocument/2006/relationships/hyperlink" Target="http://www.sec.gov/Archives/edgar/data/1591698/000104746914000931/a2218171zex-3_2.htm" TargetMode="External"/><Relationship Id="rId55" Type="http://schemas.openxmlformats.org/officeDocument/2006/relationships/hyperlink" Target="http://www.sec.gov/Archives/edgar/data/1591698/000155837017006561/pcty-20170630ex321ac616a.htm" TargetMode="External"/><Relationship Id="rId56" Type="http://schemas.openxmlformats.org/officeDocument/2006/relationships/hyperlink" Target="https://www.sec.gov/Archives/edgar/data/1591698/000110465920096509/tm20275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2021-02-05T09:13:49Z</dcterms:created>
  <dcterms:modified xsi:type="dcterms:W3CDTF">2021-02-05T09:13:49Z</dcterms:modified>
</cp:coreProperties>
</file>