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68580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95250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5" w:lineRule="exact"/>
        <w:rPr>
          <w:sz w:val="24"/>
          <w:szCs w:val="24"/>
          <w:color w:val="auto"/>
        </w:rPr>
      </w:pPr>
    </w:p>
    <w:p>
      <w:pPr>
        <w:ind w:left="300" w:hanging="292"/>
        <w:spacing w:after="0"/>
        <w:tabs>
          <w:tab w:leader="none" w:pos="3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June 30, 2016</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89" w:lineRule="exact"/>
        <w:rPr>
          <w:sz w:val="24"/>
          <w:szCs w:val="24"/>
          <w:color w:val="auto"/>
        </w:rPr>
      </w:pPr>
    </w:p>
    <w:p>
      <w:pPr>
        <w:ind w:left="360" w:hanging="352"/>
        <w:spacing w:after="0"/>
        <w:tabs>
          <w:tab w:leader="none" w:pos="3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92" w:lineRule="exact"/>
        <w:rPr>
          <w:sz w:val="24"/>
          <w:szCs w:val="24"/>
          <w:color w:val="auto"/>
        </w:rPr>
      </w:pPr>
    </w:p>
    <w:p>
      <w:pPr>
        <w:ind w:left="3940"/>
        <w:spacing w:after="0"/>
        <w:tabs>
          <w:tab w:leader="none" w:pos="67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001- 36348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142240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PAYLOCITY HOLDING CORPORATION</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77470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8" w:lineRule="exact"/>
        <w:rPr>
          <w:sz w:val="24"/>
          <w:szCs w:val="24"/>
          <w:color w:val="auto"/>
        </w:rPr>
      </w:pPr>
    </w:p>
    <w:tbl>
      <w:tblPr>
        <w:tblLayout w:type="fixed"/>
        <w:tblInd w:w="1840" w:type="dxa"/>
        <w:tblCellMar>
          <w:top w:w="0" w:type="dxa"/>
          <w:left w:w="0" w:type="dxa"/>
          <w:bottom w:w="0" w:type="dxa"/>
          <w:right w:w="0" w:type="dxa"/>
        </w:tblCellMar>
      </w:tblPr>
      <w:tr>
        <w:trPr>
          <w:trHeight w:val="205"/>
        </w:trPr>
        <w:tc>
          <w:tcPr>
            <w:tcW w:w="4000" w:type="dxa"/>
            <w:vAlign w:val="bottom"/>
          </w:tcPr>
          <w:p>
            <w:pPr>
              <w:jc w:val="center"/>
              <w:ind w:right="19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540" w:type="dxa"/>
            <w:vAlign w:val="bottom"/>
          </w:tcPr>
          <w:p>
            <w:pPr>
              <w:jc w:val="center"/>
              <w:ind w:left="1959"/>
              <w:spacing w:after="0"/>
              <w:rPr>
                <w:sz w:val="20"/>
                <w:szCs w:val="20"/>
                <w:color w:val="auto"/>
              </w:rPr>
            </w:pPr>
            <w:r>
              <w:rPr>
                <w:rFonts w:ascii="Times New Roman" w:cs="Times New Roman" w:eastAsia="Times New Roman" w:hAnsi="Times New Roman"/>
                <w:sz w:val="16"/>
                <w:szCs w:val="16"/>
                <w:b w:val="1"/>
                <w:bCs w:val="1"/>
                <w:color w:val="auto"/>
              </w:rPr>
              <w:t>46-4066644</w:t>
            </w:r>
          </w:p>
        </w:tc>
      </w:tr>
      <w:tr>
        <w:trPr>
          <w:trHeight w:val="203"/>
        </w:trPr>
        <w:tc>
          <w:tcPr>
            <w:tcW w:w="4000" w:type="dxa"/>
            <w:vAlign w:val="bottom"/>
          </w:tcPr>
          <w:p>
            <w:pPr>
              <w:jc w:val="center"/>
              <w:ind w:right="197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540" w:type="dxa"/>
            <w:vAlign w:val="bottom"/>
          </w:tcPr>
          <w:p>
            <w:pPr>
              <w:jc w:val="center"/>
              <w:ind w:left="195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000" w:type="dxa"/>
            <w:vAlign w:val="bottom"/>
          </w:tcPr>
          <w:p>
            <w:pPr>
              <w:jc w:val="center"/>
              <w:ind w:right="197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540" w:type="dxa"/>
            <w:vAlign w:val="bottom"/>
          </w:tcPr>
          <w:p>
            <w:pPr>
              <w:jc w:val="center"/>
              <w:ind w:left="1959"/>
              <w:spacing w:after="0"/>
              <w:rPr>
                <w:sz w:val="20"/>
                <w:szCs w:val="20"/>
                <w:color w:val="auto"/>
              </w:rPr>
            </w:pPr>
            <w:r>
              <w:rPr>
                <w:rFonts w:ascii="Times New Roman" w:cs="Times New Roman" w:eastAsia="Times New Roman" w:hAnsi="Times New Roman"/>
                <w:sz w:val="16"/>
                <w:szCs w:val="16"/>
                <w:color w:val="auto"/>
              </w:rPr>
              <w:t>Identification Number)</w:t>
            </w:r>
          </w:p>
        </w:tc>
      </w:tr>
    </w:tbl>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3850 N. Wilke Road</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Arlington Heights, Illinois 60004</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(847) 463-3200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380" w:type="dxa"/>
            <w:vAlign w:val="bottom"/>
          </w:tcPr>
          <w:p>
            <w:pPr>
              <w:spacing w:after="0"/>
              <w:rPr>
                <w:sz w:val="12"/>
                <w:szCs w:val="12"/>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140" w:type="dxa"/>
            <w:vAlign w:val="bottom"/>
            <w:gridSpan w:val="3"/>
          </w:tcPr>
          <w:p>
            <w:pPr>
              <w:ind w:left="680"/>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204"/>
        </w:trPr>
        <w:tc>
          <w:tcPr>
            <w:tcW w:w="2380" w:type="dxa"/>
            <w:vAlign w:val="bottom"/>
          </w:tcPr>
          <w:p>
            <w:pPr>
              <w:ind w:left="1400"/>
              <w:spacing w:after="0"/>
              <w:rPr>
                <w:sz w:val="20"/>
                <w:szCs w:val="20"/>
                <w:color w:val="auto"/>
              </w:rPr>
            </w:pPr>
            <w:r>
              <w:rPr>
                <w:rFonts w:ascii="Times New Roman" w:cs="Times New Roman" w:eastAsia="Times New Roman" w:hAnsi="Times New Roman"/>
                <w:sz w:val="16"/>
                <w:szCs w:val="16"/>
                <w:color w:val="auto"/>
                <w:w w:val="92"/>
              </w:rPr>
              <w:t>Common Stock,</w:t>
            </w:r>
          </w:p>
        </w:tc>
        <w:tc>
          <w:tcPr>
            <w:tcW w:w="8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par value $</w:t>
            </w:r>
          </w:p>
        </w:tc>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0.001 per share</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The</w:t>
            </w:r>
          </w:p>
        </w:tc>
        <w:tc>
          <w:tcPr>
            <w:tcW w:w="2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w w:val="92"/>
              </w:rPr>
              <w:t>LLC</w:t>
            </w:r>
          </w:p>
        </w:tc>
      </w:tr>
      <w:tr>
        <w:trPr>
          <w:trHeight w:val="260"/>
        </w:trPr>
        <w:tc>
          <w:tcPr>
            <w:tcW w:w="2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760" w:type="dxa"/>
            <w:vAlign w:val="bottom"/>
            <w:gridSpan w:val="7"/>
          </w:tcPr>
          <w:p>
            <w:pPr>
              <w:jc w:val="center"/>
              <w:ind w:right="17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r>
      <w:tr>
        <w:trPr>
          <w:trHeight w:val="212"/>
        </w:trPr>
        <w:tc>
          <w:tcPr>
            <w:tcW w:w="2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gridSpan w:val="2"/>
          </w:tcPr>
          <w:p>
            <w:pPr>
              <w:jc w:val="center"/>
              <w:ind w:left="859"/>
              <w:spacing w:after="0"/>
              <w:rPr>
                <w:sz w:val="20"/>
                <w:szCs w:val="20"/>
                <w:color w:val="auto"/>
              </w:rPr>
            </w:pPr>
            <w:r>
              <w:rPr>
                <w:rFonts w:ascii="Times New Roman" w:cs="Times New Roman" w:eastAsia="Times New Roman" w:hAnsi="Times New Roman"/>
                <w:sz w:val="16"/>
                <w:szCs w:val="16"/>
                <w:b w:val="1"/>
                <w:bCs w:val="1"/>
                <w:color w:val="auto"/>
              </w:rPr>
              <w:t>None</w:t>
            </w: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114"/>
        </w:trPr>
        <w:tc>
          <w:tcPr>
            <w:tcW w:w="2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257"/>
        </w:trPr>
        <w:tc>
          <w:tcPr>
            <w:tcW w:w="5600" w:type="dxa"/>
            <w:vAlign w:val="bottom"/>
            <w:gridSpan w:val="4"/>
          </w:tcPr>
          <w:p>
            <w:pPr>
              <w:spacing w:after="0"/>
              <w:rPr>
                <w:sz w:val="20"/>
                <w:szCs w:val="20"/>
                <w:color w:val="auto"/>
              </w:rPr>
            </w:pPr>
            <w:r>
              <w:rPr>
                <w:rFonts w:ascii="Times New Roman" w:cs="Times New Roman" w:eastAsia="Times New Roman" w:hAnsi="Times New Roman"/>
                <w:sz w:val="12"/>
                <w:szCs w:val="12"/>
                <w:color w:val="auto"/>
                <w:w w:val="98"/>
              </w:rPr>
              <w:t>Indicate by check mark if the registrant is a well-known seasoned issuer, as defined in Rule 405 of the Securities Act.</w:t>
            </w:r>
          </w:p>
        </w:tc>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Yes  x</w:t>
            </w:r>
          </w:p>
        </w:tc>
        <w:tc>
          <w:tcPr>
            <w:tcW w:w="4060" w:type="dxa"/>
            <w:vAlign w:val="bottom"/>
            <w:gridSpan w:val="4"/>
          </w:tcPr>
          <w:p>
            <w:pPr>
              <w:jc w:val="center"/>
              <w:ind w:right="3479"/>
              <w:spacing w:after="0"/>
              <w:rPr>
                <w:sz w:val="20"/>
                <w:szCs w:val="20"/>
                <w:color w:val="auto"/>
              </w:rPr>
            </w:pPr>
            <w:r>
              <w:rPr>
                <w:rFonts w:ascii="Times New Roman" w:cs="Times New Roman" w:eastAsia="Times New Roman" w:hAnsi="Times New Roman"/>
                <w:sz w:val="12"/>
                <w:szCs w:val="12"/>
                <w:color w:val="auto"/>
              </w:rPr>
              <w:t>No  o</w:t>
            </w:r>
          </w:p>
        </w:tc>
      </w:tr>
      <w:tr>
        <w:trPr>
          <w:trHeight w:val="216"/>
        </w:trPr>
        <w:tc>
          <w:tcPr>
            <w:tcW w:w="5600" w:type="dxa"/>
            <w:vAlign w:val="bottom"/>
            <w:gridSpan w:val="4"/>
          </w:tcPr>
          <w:p>
            <w:pPr>
              <w:spacing w:after="0"/>
              <w:rPr>
                <w:sz w:val="20"/>
                <w:szCs w:val="20"/>
                <w:color w:val="auto"/>
              </w:rPr>
            </w:pPr>
            <w:r>
              <w:rPr>
                <w:rFonts w:ascii="Times New Roman" w:cs="Times New Roman" w:eastAsia="Times New Roman" w:hAnsi="Times New Roman"/>
                <w:sz w:val="12"/>
                <w:szCs w:val="12"/>
                <w:color w:val="auto"/>
                <w:w w:val="97"/>
              </w:rPr>
              <w:t>Indicate by check mark if the registrant is not required to file reports pursuant to Section 13 or Section 15(d) of the Act.</w:t>
            </w:r>
          </w:p>
        </w:tc>
        <w:tc>
          <w:tcPr>
            <w:tcW w:w="3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Yes</w:t>
            </w:r>
          </w:p>
        </w:tc>
        <w:tc>
          <w:tcPr>
            <w:tcW w:w="4060" w:type="dxa"/>
            <w:vAlign w:val="bottom"/>
            <w:gridSpan w:val="4"/>
          </w:tcPr>
          <w:p>
            <w:pPr>
              <w:jc w:val="center"/>
              <w:ind w:right="3439"/>
              <w:spacing w:after="0"/>
              <w:rPr>
                <w:sz w:val="20"/>
                <w:szCs w:val="20"/>
                <w:color w:val="auto"/>
              </w:rPr>
            </w:pPr>
            <w:r>
              <w:rPr>
                <w:rFonts w:ascii="Times New Roman" w:cs="Times New Roman" w:eastAsia="Times New Roman" w:hAnsi="Times New Roman"/>
                <w:sz w:val="12"/>
                <w:szCs w:val="12"/>
                <w:color w:val="auto"/>
              </w:rPr>
              <w:t>o  No  x</w:t>
            </w:r>
          </w:p>
        </w:tc>
      </w:tr>
    </w:tbl>
    <w:p>
      <w:pPr>
        <w:spacing w:after="0" w:line="66" w:lineRule="exact"/>
        <w:rPr>
          <w:sz w:val="24"/>
          <w:szCs w:val="24"/>
          <w:color w:val="auto"/>
        </w:rPr>
      </w:pPr>
    </w:p>
    <w:p>
      <w:pPr>
        <w:ind w:right="60"/>
        <w:spacing w:after="0" w:line="256" w:lineRule="auto"/>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57" w:lineRule="exact"/>
        <w:rPr>
          <w:sz w:val="24"/>
          <w:szCs w:val="24"/>
          <w:color w:val="auto"/>
        </w:rPr>
      </w:pPr>
    </w:p>
    <w:p>
      <w:pPr>
        <w:ind w:right="140"/>
        <w:spacing w:after="0" w:line="256" w:lineRule="auto"/>
        <w:rPr>
          <w:sz w:val="20"/>
          <w:szCs w:val="20"/>
          <w:color w:val="auto"/>
        </w:rPr>
      </w:pPr>
      <w:r>
        <w:rPr>
          <w:rFonts w:ascii="Times New Roman" w:cs="Times New Roman" w:eastAsia="Times New Roman" w:hAnsi="Times New Roman"/>
          <w:sz w:val="12"/>
          <w:szCs w:val="12"/>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57" w:lineRule="exact"/>
        <w:rPr>
          <w:sz w:val="24"/>
          <w:szCs w:val="24"/>
          <w:color w:val="auto"/>
        </w:rPr>
      </w:pPr>
    </w:p>
    <w:p>
      <w:pPr>
        <w:ind w:right="500"/>
        <w:spacing w:after="0" w:line="256" w:lineRule="auto"/>
        <w:rPr>
          <w:sz w:val="20"/>
          <w:szCs w:val="20"/>
          <w:color w:val="auto"/>
        </w:rPr>
      </w:pPr>
      <w:r>
        <w:rPr>
          <w:rFonts w:ascii="Times New Roman" w:cs="Times New Roman" w:eastAsia="Times New Roman" w:hAnsi="Times New Roman"/>
          <w:sz w:val="12"/>
          <w:szCs w:val="12"/>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57" w:lineRule="exact"/>
        <w:rPr>
          <w:sz w:val="24"/>
          <w:szCs w:val="24"/>
          <w:color w:val="auto"/>
        </w:rPr>
      </w:pPr>
    </w:p>
    <w:p>
      <w:pPr>
        <w:ind w:right="300"/>
        <w:spacing w:after="0" w:line="256"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0" w:gutter="0" w:footer="0" w:header="0"/>
        </w:sectPr>
      </w:pP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Large accelerated filer</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x</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o</w:t>
      </w:r>
    </w:p>
    <w:p>
      <w:pPr>
        <w:spacing w:after="0" w:line="78" w:lineRule="exact"/>
        <w:rPr>
          <w:sz w:val="24"/>
          <w:szCs w:val="24"/>
          <w:color w:val="auto"/>
        </w:rPr>
      </w:pPr>
    </w:p>
    <w:p>
      <w:pPr>
        <w:sectPr>
          <w:pgSz w:w="11900" w:h="16838" w:orient="portrait"/>
          <w:cols w:equalWidth="0" w:num="4">
            <w:col w:w="1060" w:space="720"/>
            <w:col w:w="6620" w:space="720"/>
            <w:col w:w="1520" w:space="720"/>
            <w:col w:w="60"/>
          </w:cols>
          <w:pgMar w:left="240" w:top="229" w:right="239" w:bottom="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o</w:t>
      </w:r>
    </w:p>
    <w:p>
      <w:pPr>
        <w:spacing w:after="0" w:line="78" w:lineRule="exact"/>
        <w:rPr>
          <w:sz w:val="24"/>
          <w:szCs w:val="24"/>
          <w:color w:val="auto"/>
        </w:rPr>
      </w:pPr>
    </w:p>
    <w:p>
      <w:pPr>
        <w:sectPr>
          <w:pgSz w:w="11900" w:h="16838" w:orient="portrait"/>
          <w:cols w:equalWidth="0" w:num="4">
            <w:col w:w="1060" w:space="720"/>
            <w:col w:w="6620" w:space="720"/>
            <w:col w:w="1520" w:space="720"/>
            <w:col w:w="60"/>
          </w:cols>
          <w:pgMar w:left="240" w:top="229" w:right="239" w:bottom="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2"/>
          <w:szCs w:val="12"/>
          <w:color w:val="auto"/>
        </w:rPr>
        <w:t>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No x</w:t>
      </w:r>
    </w:p>
    <w:p>
      <w:pPr>
        <w:spacing w:after="0" w:line="119" w:lineRule="exact"/>
        <w:rPr>
          <w:sz w:val="24"/>
          <w:szCs w:val="24"/>
          <w:color w:val="auto"/>
        </w:rPr>
      </w:pPr>
    </w:p>
    <w:p>
      <w:pPr>
        <w:sectPr>
          <w:pgSz w:w="11900" w:h="16838" w:orient="portrait"/>
          <w:cols w:equalWidth="0" w:num="3">
            <w:col w:w="4820" w:space="120"/>
            <w:col w:w="320" w:space="120"/>
            <w:col w:w="6040"/>
          </w:cols>
          <w:pgMar w:left="240" w:top="229" w:right="239" w:bottom="0" w:gutter="0" w:footer="0" w:header="0"/>
          <w:type w:val="continuous"/>
        </w:sectPr>
      </w:pPr>
    </w:p>
    <w:p>
      <w:pPr>
        <w:ind w:right="140"/>
        <w:spacing w:after="0" w:line="256" w:lineRule="auto"/>
        <w:rPr>
          <w:sz w:val="20"/>
          <w:szCs w:val="20"/>
          <w:color w:val="auto"/>
        </w:rPr>
      </w:pPr>
      <w:r>
        <w:rPr>
          <w:rFonts w:ascii="Times New Roman" w:cs="Times New Roman" w:eastAsia="Times New Roman" w:hAnsi="Times New Roman"/>
          <w:sz w:val="12"/>
          <w:szCs w:val="12"/>
          <w:color w:val="auto"/>
        </w:rPr>
        <w:t>The aggregate market value of voting stock held by non-affiliates of the registrant as of December 31, 2015, the last day of registrant’s most recently completed second fiscal quarter, was $988,936,928 (based on the closing price for shares of the registrant’s common stock as reported by the NASDAQ Global Select Market for the last business day prior to that date).</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As of August 5, 2016, there were 51,157,430 shares of the registrant’s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71755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14" w:lineRule="exact"/>
        <w:rPr>
          <w:sz w:val="24"/>
          <w:szCs w:val="24"/>
          <w:color w:val="auto"/>
        </w:rPr>
      </w:pPr>
    </w:p>
    <w:p>
      <w:pPr>
        <w:ind w:right="200"/>
        <w:spacing w:after="0" w:line="253" w:lineRule="auto"/>
        <w:rPr>
          <w:sz w:val="20"/>
          <w:szCs w:val="20"/>
          <w:color w:val="auto"/>
        </w:rPr>
      </w:pPr>
      <w:r>
        <w:rPr>
          <w:rFonts w:ascii="Times New Roman" w:cs="Times New Roman" w:eastAsia="Times New Roman" w:hAnsi="Times New Roman"/>
          <w:sz w:val="12"/>
          <w:szCs w:val="12"/>
          <w:color w:val="auto"/>
        </w:rPr>
        <w:t>The information required by Part III of this Report, to the extent not set forth herein, is incorporated herein by reference from the Proxy Statement relating to the registrant’s 2017 annual meeting of stockholders, which shall be filed with the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263525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700" w:type="dxa"/>
            <w:vAlign w:val="bottom"/>
            <w:gridSpan w:val="2"/>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8"/>
              </w:rPr>
              <w:t>PAYLOCITY HOLDING CORPORATION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700" w:type="dxa"/>
            <w:vAlign w:val="bottom"/>
            <w:gridSpan w:val="2"/>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700" w:type="dxa"/>
            <w:vAlign w:val="bottom"/>
            <w:gridSpan w:val="2"/>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9"/>
              </w:rPr>
              <w:t>For the Year Ended June 30, 2016</w:t>
            </w: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700" w:type="dxa"/>
            <w:vAlign w:val="bottom"/>
            <w:gridSpan w:val="2"/>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351"/>
        </w:trPr>
        <w:tc>
          <w:tcPr>
            <w:tcW w:w="600" w:type="dxa"/>
            <w:vAlign w:val="bottom"/>
            <w:gridSpan w:val="2"/>
            <w:vMerge w:val="restart"/>
          </w:tcPr>
          <w:p>
            <w:pPr>
              <w:spacing w:after="0"/>
              <w:rPr>
                <w:rFonts w:ascii="Times New Roman" w:cs="Times New Roman" w:eastAsia="Times New Roman" w:hAnsi="Times New Roman"/>
                <w:sz w:val="18"/>
                <w:szCs w:val="18"/>
                <w:b w:val="1"/>
                <w:bCs w:val="1"/>
                <w:color w:val="0000EE"/>
                <w:w w:val="95"/>
              </w:rPr>
            </w:pPr>
            <w:hyperlink w:anchor="page2">
              <w:r>
                <w:rPr>
                  <w:rFonts w:ascii="Times New Roman" w:cs="Times New Roman" w:eastAsia="Times New Roman" w:hAnsi="Times New Roman"/>
                  <w:sz w:val="18"/>
                  <w:szCs w:val="18"/>
                  <w:b w:val="1"/>
                  <w:bCs w:val="1"/>
                  <w:color w:val="0000EE"/>
                  <w:w w:val="95"/>
                </w:rPr>
                <w:t>PART I</w:t>
              </w:r>
            </w:hyperlink>
          </w:p>
        </w:tc>
        <w:tc>
          <w:tcPr>
            <w:tcW w:w="500" w:type="dxa"/>
            <w:vAlign w:val="bottom"/>
            <w:gridSpan w:val="2"/>
            <w:vMerge w:val="restart"/>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600" w:type="dxa"/>
            <w:vAlign w:val="bottom"/>
            <w:tcBorders>
              <w:bottom w:val="single" w:sz="8" w:color="0000EE"/>
            </w:tcBorders>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w:anchor="page2">
              <w:r>
                <w:rPr>
                  <w:rFonts w:ascii="Times New Roman" w:cs="Times New Roman" w:eastAsia="Times New Roman" w:hAnsi="Times New Roman"/>
                  <w:sz w:val="18"/>
                  <w:szCs w:val="18"/>
                  <w:color w:val="0000EE"/>
                  <w:w w:val="97"/>
                </w:rPr>
                <w:t>Item 1.</w:t>
              </w:r>
            </w:hyperlink>
          </w:p>
        </w:tc>
        <w:tc>
          <w:tcPr>
            <w:tcW w:w="580" w:type="dxa"/>
            <w:vAlign w:val="bottom"/>
            <w:gridSpan w:val="3"/>
          </w:tcPr>
          <w:p>
            <w:pPr>
              <w:spacing w:after="0"/>
              <w:rPr>
                <w:sz w:val="24"/>
                <w:szCs w:val="24"/>
                <w:color w:val="auto"/>
              </w:rPr>
            </w:pPr>
          </w:p>
        </w:tc>
        <w:tc>
          <w:tcPr>
            <w:tcW w:w="2480" w:type="dxa"/>
            <w:vAlign w:val="bottom"/>
            <w:gridSpan w:val="7"/>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Business</w:t>
              </w:r>
            </w:hyperlink>
          </w:p>
        </w:tc>
        <w:tc>
          <w:tcPr>
            <w:tcW w:w="7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Times New Roman" w:cs="Times New Roman" w:eastAsia="Times New Roman" w:hAnsi="Times New Roman"/>
                <w:sz w:val="18"/>
                <w:szCs w:val="18"/>
                <w:color w:val="0000EE"/>
                <w:w w:val="96"/>
              </w:rPr>
            </w:pPr>
            <w:hyperlink w:anchor="page10">
              <w:r>
                <w:rPr>
                  <w:rFonts w:ascii="Times New Roman" w:cs="Times New Roman" w:eastAsia="Times New Roman" w:hAnsi="Times New Roman"/>
                  <w:sz w:val="18"/>
                  <w:szCs w:val="18"/>
                  <w:color w:val="0000EE"/>
                  <w:w w:val="96"/>
                </w:rPr>
                <w:t>Item 1A.</w:t>
              </w:r>
            </w:hyperlink>
          </w:p>
        </w:tc>
        <w:tc>
          <w:tcPr>
            <w:tcW w:w="440" w:type="dxa"/>
            <w:vAlign w:val="bottom"/>
          </w:tcPr>
          <w:p>
            <w:pPr>
              <w:spacing w:after="0"/>
              <w:rPr>
                <w:sz w:val="17"/>
                <w:szCs w:val="17"/>
                <w:color w:val="auto"/>
              </w:rPr>
            </w:pPr>
          </w:p>
        </w:tc>
        <w:tc>
          <w:tcPr>
            <w:tcW w:w="2480" w:type="dxa"/>
            <w:vAlign w:val="bottom"/>
            <w:gridSpan w:val="7"/>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Risk Factors</w:t>
              </w:r>
            </w:hyperlink>
          </w:p>
        </w:tc>
        <w:tc>
          <w:tcPr>
            <w:tcW w:w="77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Item 1B.</w:t>
              </w:r>
            </w:hyperlink>
          </w:p>
        </w:tc>
        <w:tc>
          <w:tcPr>
            <w:tcW w:w="440" w:type="dxa"/>
            <w:vAlign w:val="bottom"/>
          </w:tcPr>
          <w:p>
            <w:pPr>
              <w:spacing w:after="0"/>
              <w:rPr>
                <w:sz w:val="17"/>
                <w:szCs w:val="17"/>
                <w:color w:val="auto"/>
              </w:rPr>
            </w:pPr>
          </w:p>
        </w:tc>
        <w:tc>
          <w:tcPr>
            <w:tcW w:w="2480" w:type="dxa"/>
            <w:vAlign w:val="bottom"/>
            <w:gridSpan w:val="7"/>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Unresolved Staff Comments</w:t>
              </w:r>
            </w:hyperlink>
          </w:p>
        </w:tc>
        <w:tc>
          <w:tcPr>
            <w:tcW w:w="77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21">
              <w:r>
                <w:rPr>
                  <w:rFonts w:ascii="Times New Roman" w:cs="Times New Roman" w:eastAsia="Times New Roman" w:hAnsi="Times New Roman"/>
                  <w:sz w:val="18"/>
                  <w:szCs w:val="18"/>
                  <w:color w:val="0000EE"/>
                  <w:w w:val="97"/>
                </w:rPr>
                <w:t>Item 2.</w:t>
              </w:r>
            </w:hyperlink>
          </w:p>
        </w:tc>
        <w:tc>
          <w:tcPr>
            <w:tcW w:w="140" w:type="dxa"/>
            <w:vAlign w:val="bottom"/>
            <w:tcBorders>
              <w:top w:val="single" w:sz="8" w:color="0000EE"/>
            </w:tcBorders>
            <w:gridSpan w:val="2"/>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Properties</w:t>
              </w:r>
            </w:hyperlink>
          </w:p>
        </w:tc>
        <w:tc>
          <w:tcPr>
            <w:tcW w:w="1300" w:type="dxa"/>
            <w:vAlign w:val="bottom"/>
            <w:tcBorders>
              <w:top w:val="single" w:sz="8" w:color="0000EE"/>
            </w:tcBorders>
            <w:gridSpan w:val="4"/>
          </w:tcPr>
          <w:p>
            <w:pPr>
              <w:spacing w:after="0"/>
              <w:rPr>
                <w:sz w:val="17"/>
                <w:szCs w:val="17"/>
                <w:color w:val="auto"/>
              </w:rPr>
            </w:pPr>
          </w:p>
        </w:tc>
        <w:tc>
          <w:tcPr>
            <w:tcW w:w="440" w:type="dxa"/>
            <w:vAlign w:val="bottom"/>
          </w:tcPr>
          <w:p>
            <w:pPr>
              <w:spacing w:after="0"/>
              <w:rPr>
                <w:sz w:val="17"/>
                <w:szCs w:val="17"/>
                <w:color w:val="auto"/>
              </w:rPr>
            </w:pPr>
          </w:p>
        </w:tc>
        <w:tc>
          <w:tcPr>
            <w:tcW w:w="77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21">
              <w:r>
                <w:rPr>
                  <w:rFonts w:ascii="Times New Roman" w:cs="Times New Roman" w:eastAsia="Times New Roman" w:hAnsi="Times New Roman"/>
                  <w:sz w:val="18"/>
                  <w:szCs w:val="18"/>
                  <w:color w:val="0000EE"/>
                  <w:w w:val="97"/>
                </w:rPr>
                <w:t>Item 3.</w:t>
              </w:r>
            </w:hyperlink>
          </w:p>
        </w:tc>
        <w:tc>
          <w:tcPr>
            <w:tcW w:w="580" w:type="dxa"/>
            <w:vAlign w:val="bottom"/>
            <w:gridSpan w:val="3"/>
          </w:tcPr>
          <w:p>
            <w:pPr>
              <w:spacing w:after="0"/>
              <w:rPr>
                <w:sz w:val="17"/>
                <w:szCs w:val="17"/>
                <w:color w:val="auto"/>
              </w:rPr>
            </w:pPr>
          </w:p>
        </w:tc>
        <w:tc>
          <w:tcPr>
            <w:tcW w:w="13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Legal Proceedings</w:t>
              </w:r>
            </w:hyperlink>
          </w:p>
        </w:tc>
        <w:tc>
          <w:tcPr>
            <w:tcW w:w="1140" w:type="dxa"/>
            <w:vAlign w:val="bottom"/>
            <w:gridSpan w:val="3"/>
          </w:tcPr>
          <w:p>
            <w:pPr>
              <w:spacing w:after="0"/>
              <w:rPr>
                <w:sz w:val="17"/>
                <w:szCs w:val="17"/>
                <w:color w:val="auto"/>
              </w:rPr>
            </w:pPr>
          </w:p>
        </w:tc>
        <w:tc>
          <w:tcPr>
            <w:tcW w:w="77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21">
              <w:r>
                <w:rPr>
                  <w:rFonts w:ascii="Times New Roman" w:cs="Times New Roman" w:eastAsia="Times New Roman" w:hAnsi="Times New Roman"/>
                  <w:sz w:val="18"/>
                  <w:szCs w:val="18"/>
                  <w:color w:val="0000EE"/>
                  <w:w w:val="97"/>
                </w:rPr>
                <w:t>Item 4.</w:t>
              </w:r>
            </w:hyperlink>
          </w:p>
        </w:tc>
        <w:tc>
          <w:tcPr>
            <w:tcW w:w="580" w:type="dxa"/>
            <w:vAlign w:val="bottom"/>
            <w:gridSpan w:val="3"/>
          </w:tcPr>
          <w:p>
            <w:pPr>
              <w:spacing w:after="0"/>
              <w:rPr>
                <w:sz w:val="17"/>
                <w:szCs w:val="17"/>
                <w:color w:val="auto"/>
              </w:rPr>
            </w:pPr>
          </w:p>
        </w:tc>
        <w:tc>
          <w:tcPr>
            <w:tcW w:w="17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Mine Safety Disclosures</w:t>
              </w:r>
            </w:hyperlink>
          </w:p>
        </w:tc>
        <w:tc>
          <w:tcPr>
            <w:tcW w:w="700" w:type="dxa"/>
            <w:vAlign w:val="bottom"/>
            <w:gridSpan w:val="2"/>
          </w:tcPr>
          <w:p>
            <w:pPr>
              <w:spacing w:after="0"/>
              <w:rPr>
                <w:sz w:val="17"/>
                <w:szCs w:val="17"/>
                <w:color w:val="auto"/>
              </w:rPr>
            </w:pPr>
          </w:p>
        </w:tc>
        <w:tc>
          <w:tcPr>
            <w:tcW w:w="77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Borders>
              <w:bottom w:val="single" w:sz="8" w:color="0000EE"/>
            </w:tcBorders>
            <w:gridSpan w:val="5"/>
          </w:tcPr>
          <w:p>
            <w:pPr>
              <w:spacing w:after="0"/>
              <w:rPr>
                <w:rFonts w:ascii="Times New Roman" w:cs="Times New Roman" w:eastAsia="Times New Roman" w:hAnsi="Times New Roman"/>
                <w:sz w:val="18"/>
                <w:szCs w:val="18"/>
                <w:b w:val="1"/>
                <w:bCs w:val="1"/>
                <w:color w:val="0000EE"/>
                <w:w w:val="97"/>
              </w:rPr>
            </w:pPr>
            <w:hyperlink w:anchor="page21">
              <w:r>
                <w:rPr>
                  <w:rFonts w:ascii="Times New Roman" w:cs="Times New Roman" w:eastAsia="Times New Roman" w:hAnsi="Times New Roman"/>
                  <w:sz w:val="18"/>
                  <w:szCs w:val="18"/>
                  <w:b w:val="1"/>
                  <w:bCs w:val="1"/>
                  <w:color w:val="0000EE"/>
                  <w:w w:val="97"/>
                </w:rPr>
                <w:t>PART II</w:t>
              </w:r>
            </w:hyperlink>
          </w:p>
        </w:tc>
        <w:tc>
          <w:tcPr>
            <w:tcW w:w="420" w:type="dxa"/>
            <w:vAlign w:val="bottom"/>
            <w:gridSpan w:val="4"/>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412"/>
        </w:trPr>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21">
              <w:r>
                <w:rPr>
                  <w:rFonts w:ascii="Times New Roman" w:cs="Times New Roman" w:eastAsia="Times New Roman" w:hAnsi="Times New Roman"/>
                  <w:sz w:val="18"/>
                  <w:szCs w:val="18"/>
                  <w:color w:val="0000EE"/>
                  <w:w w:val="97"/>
                </w:rPr>
                <w:t>Item 5.</w:t>
              </w:r>
            </w:hyperlink>
          </w:p>
        </w:tc>
        <w:tc>
          <w:tcPr>
            <w:tcW w:w="580" w:type="dxa"/>
            <w:vAlign w:val="bottom"/>
            <w:gridSpan w:val="8"/>
          </w:tcPr>
          <w:p>
            <w:pPr>
              <w:spacing w:after="0"/>
              <w:rPr>
                <w:sz w:val="24"/>
                <w:szCs w:val="24"/>
                <w:color w:val="auto"/>
              </w:rPr>
            </w:pPr>
          </w:p>
        </w:tc>
        <w:tc>
          <w:tcPr>
            <w:tcW w:w="80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Market for Registrant’s Common Equity, Related Stockholder Matters and Issuer Purchases of Equity Securities</w:t>
              </w:r>
            </w:hyperlink>
          </w:p>
        </w:tc>
        <w:tc>
          <w:tcPr>
            <w:tcW w:w="880" w:type="dxa"/>
            <w:vAlign w:val="bottom"/>
          </w:tcPr>
          <w:p>
            <w:pPr>
              <w:spacing w:after="0"/>
              <w:rPr>
                <w:sz w:val="24"/>
                <w:szCs w:val="24"/>
                <w:color w:val="auto"/>
              </w:rPr>
            </w:pP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28</w:t>
            </w: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22">
              <w:r>
                <w:rPr>
                  <w:rFonts w:ascii="Times New Roman" w:cs="Times New Roman" w:eastAsia="Times New Roman" w:hAnsi="Times New Roman"/>
                  <w:sz w:val="18"/>
                  <w:szCs w:val="18"/>
                  <w:color w:val="0000EE"/>
                  <w:w w:val="97"/>
                </w:rPr>
                <w:t>Item 6.</w:t>
              </w:r>
            </w:hyperlink>
          </w:p>
        </w:tc>
        <w:tc>
          <w:tcPr>
            <w:tcW w:w="580" w:type="dxa"/>
            <w:vAlign w:val="bottom"/>
            <w:gridSpan w:val="8"/>
          </w:tcPr>
          <w:p>
            <w:pPr>
              <w:spacing w:after="0"/>
              <w:rPr>
                <w:sz w:val="17"/>
                <w:szCs w:val="17"/>
                <w:color w:val="auto"/>
              </w:rPr>
            </w:pPr>
          </w:p>
        </w:tc>
        <w:tc>
          <w:tcPr>
            <w:tcW w:w="8960" w:type="dxa"/>
            <w:vAlign w:val="bottom"/>
            <w:gridSpan w:val="17"/>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Consolidated Selected Financial Data</w:t>
              </w:r>
            </w:hyperlink>
          </w:p>
        </w:tc>
        <w:tc>
          <w:tcPr>
            <w:tcW w:w="140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Item 7.</w:t>
              </w:r>
            </w:hyperlink>
          </w:p>
        </w:tc>
        <w:tc>
          <w:tcPr>
            <w:tcW w:w="80" w:type="dxa"/>
            <w:vAlign w:val="bottom"/>
          </w:tcPr>
          <w:p>
            <w:pPr>
              <w:spacing w:after="0"/>
              <w:rPr>
                <w:sz w:val="17"/>
                <w:szCs w:val="17"/>
                <w:color w:val="auto"/>
              </w:rPr>
            </w:pPr>
          </w:p>
        </w:tc>
        <w:tc>
          <w:tcPr>
            <w:tcW w:w="500" w:type="dxa"/>
            <w:vAlign w:val="bottom"/>
            <w:gridSpan w:val="7"/>
          </w:tcPr>
          <w:p>
            <w:pPr>
              <w:spacing w:after="0"/>
              <w:rPr>
                <w:sz w:val="17"/>
                <w:szCs w:val="17"/>
                <w:color w:val="auto"/>
              </w:rPr>
            </w:pPr>
          </w:p>
        </w:tc>
        <w:tc>
          <w:tcPr>
            <w:tcW w:w="8960" w:type="dxa"/>
            <w:vAlign w:val="bottom"/>
            <w:gridSpan w:val="17"/>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40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Item 7A.</w:t>
              </w:r>
            </w:hyperlink>
          </w:p>
        </w:tc>
        <w:tc>
          <w:tcPr>
            <w:tcW w:w="440" w:type="dxa"/>
            <w:vAlign w:val="bottom"/>
            <w:gridSpan w:val="5"/>
          </w:tcPr>
          <w:p>
            <w:pPr>
              <w:spacing w:after="0"/>
              <w:rPr>
                <w:sz w:val="17"/>
                <w:szCs w:val="17"/>
                <w:color w:val="auto"/>
              </w:rPr>
            </w:pPr>
          </w:p>
        </w:tc>
        <w:tc>
          <w:tcPr>
            <w:tcW w:w="8960" w:type="dxa"/>
            <w:vAlign w:val="bottom"/>
            <w:gridSpan w:val="17"/>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Quantitative and Qualitative Disclosures About Market Risk</w:t>
              </w:r>
            </w:hyperlink>
          </w:p>
        </w:tc>
        <w:tc>
          <w:tcPr>
            <w:tcW w:w="140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5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37">
              <w:r>
                <w:rPr>
                  <w:rFonts w:ascii="Times New Roman" w:cs="Times New Roman" w:eastAsia="Times New Roman" w:hAnsi="Times New Roman"/>
                  <w:sz w:val="18"/>
                  <w:szCs w:val="18"/>
                  <w:color w:val="0000EE"/>
                  <w:w w:val="97"/>
                </w:rPr>
                <w:t>Item 8.</w:t>
              </w:r>
            </w:hyperlink>
          </w:p>
        </w:tc>
        <w:tc>
          <w:tcPr>
            <w:tcW w:w="140" w:type="dxa"/>
            <w:vAlign w:val="bottom"/>
            <w:tcBorders>
              <w:top w:val="single" w:sz="8" w:color="0000EE"/>
            </w:tcBorders>
            <w:gridSpan w:val="3"/>
          </w:tcPr>
          <w:p>
            <w:pPr>
              <w:spacing w:after="0"/>
              <w:rPr>
                <w:sz w:val="17"/>
                <w:szCs w:val="17"/>
                <w:color w:val="auto"/>
              </w:rPr>
            </w:pPr>
          </w:p>
        </w:tc>
        <w:tc>
          <w:tcPr>
            <w:tcW w:w="440" w:type="dxa"/>
            <w:vAlign w:val="bottom"/>
            <w:gridSpan w:val="5"/>
          </w:tcPr>
          <w:p>
            <w:pPr>
              <w:spacing w:after="0"/>
              <w:rPr>
                <w:sz w:val="17"/>
                <w:szCs w:val="17"/>
                <w:color w:val="auto"/>
              </w:rPr>
            </w:pPr>
          </w:p>
        </w:tc>
        <w:tc>
          <w:tcPr>
            <w:tcW w:w="33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4600" w:type="dxa"/>
            <w:vAlign w:val="bottom"/>
            <w:gridSpan w:val="7"/>
          </w:tcPr>
          <w:p>
            <w:pPr>
              <w:spacing w:after="0"/>
              <w:rPr>
                <w:sz w:val="17"/>
                <w:szCs w:val="17"/>
                <w:color w:val="auto"/>
              </w:rPr>
            </w:pPr>
          </w:p>
        </w:tc>
        <w:tc>
          <w:tcPr>
            <w:tcW w:w="140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37">
              <w:r>
                <w:rPr>
                  <w:rFonts w:ascii="Times New Roman" w:cs="Times New Roman" w:eastAsia="Times New Roman" w:hAnsi="Times New Roman"/>
                  <w:sz w:val="18"/>
                  <w:szCs w:val="18"/>
                  <w:color w:val="0000EE"/>
                  <w:w w:val="97"/>
                </w:rPr>
                <w:t>Item 9.</w:t>
              </w:r>
            </w:hyperlink>
          </w:p>
        </w:tc>
        <w:tc>
          <w:tcPr>
            <w:tcW w:w="580" w:type="dxa"/>
            <w:vAlign w:val="bottom"/>
            <w:gridSpan w:val="8"/>
          </w:tcPr>
          <w:p>
            <w:pPr>
              <w:spacing w:after="0"/>
              <w:rPr>
                <w:sz w:val="17"/>
                <w:szCs w:val="17"/>
                <w:color w:val="auto"/>
              </w:rPr>
            </w:pPr>
          </w:p>
        </w:tc>
        <w:tc>
          <w:tcPr>
            <w:tcW w:w="8960" w:type="dxa"/>
            <w:vAlign w:val="bottom"/>
            <w:gridSpan w:val="17"/>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40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Item 9A.</w:t>
              </w:r>
            </w:hyperlink>
          </w:p>
        </w:tc>
        <w:tc>
          <w:tcPr>
            <w:tcW w:w="440" w:type="dxa"/>
            <w:vAlign w:val="bottom"/>
            <w:gridSpan w:val="5"/>
          </w:tcPr>
          <w:p>
            <w:pPr>
              <w:spacing w:after="0"/>
              <w:rPr>
                <w:sz w:val="17"/>
                <w:szCs w:val="17"/>
                <w:color w:val="auto"/>
              </w:rPr>
            </w:pPr>
          </w:p>
        </w:tc>
        <w:tc>
          <w:tcPr>
            <w:tcW w:w="17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Controls and Procedures</w:t>
              </w:r>
            </w:hyperlink>
          </w:p>
        </w:tc>
        <w:tc>
          <w:tcPr>
            <w:tcW w:w="7180" w:type="dxa"/>
            <w:vAlign w:val="bottom"/>
            <w:gridSpan w:val="15"/>
          </w:tcPr>
          <w:p>
            <w:pPr>
              <w:spacing w:after="0"/>
              <w:rPr>
                <w:sz w:val="17"/>
                <w:szCs w:val="17"/>
                <w:color w:val="auto"/>
              </w:rPr>
            </w:pPr>
          </w:p>
        </w:tc>
        <w:tc>
          <w:tcPr>
            <w:tcW w:w="140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6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w:anchor="page37">
              <w:r>
                <w:rPr>
                  <w:rFonts w:ascii="Times New Roman" w:cs="Times New Roman" w:eastAsia="Times New Roman" w:hAnsi="Times New Roman"/>
                  <w:sz w:val="18"/>
                  <w:szCs w:val="18"/>
                  <w:color w:val="0000EE"/>
                  <w:w w:val="98"/>
                </w:rPr>
                <w:t>Item 9B.</w:t>
              </w:r>
            </w:hyperlink>
          </w:p>
        </w:tc>
        <w:tc>
          <w:tcPr>
            <w:tcW w:w="460" w:type="dxa"/>
            <w:vAlign w:val="bottom"/>
            <w:gridSpan w:val="6"/>
          </w:tcPr>
          <w:p>
            <w:pPr>
              <w:spacing w:after="0"/>
              <w:rPr>
                <w:sz w:val="17"/>
                <w:szCs w:val="17"/>
                <w:color w:val="auto"/>
              </w:rPr>
            </w:pPr>
          </w:p>
        </w:tc>
        <w:tc>
          <w:tcPr>
            <w:tcW w:w="13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37">
              <w:r>
                <w:rPr>
                  <w:rFonts w:ascii="Times New Roman" w:cs="Times New Roman" w:eastAsia="Times New Roman" w:hAnsi="Times New Roman"/>
                  <w:sz w:val="18"/>
                  <w:szCs w:val="18"/>
                  <w:color w:val="0000EE"/>
                  <w:w w:val="98"/>
                </w:rPr>
                <w:t>Other Information</w:t>
              </w:r>
            </w:hyperlink>
          </w:p>
        </w:tc>
        <w:tc>
          <w:tcPr>
            <w:tcW w:w="7640" w:type="dxa"/>
            <w:vAlign w:val="bottom"/>
            <w:gridSpan w:val="16"/>
          </w:tcPr>
          <w:p>
            <w:pPr>
              <w:spacing w:after="0"/>
              <w:rPr>
                <w:sz w:val="17"/>
                <w:szCs w:val="17"/>
                <w:color w:val="auto"/>
              </w:rPr>
            </w:pPr>
          </w:p>
        </w:tc>
        <w:tc>
          <w:tcPr>
            <w:tcW w:w="140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412"/>
        </w:trPr>
        <w:tc>
          <w:tcPr>
            <w:tcW w:w="740" w:type="dxa"/>
            <w:vAlign w:val="bottom"/>
            <w:tcBorders>
              <w:bottom w:val="single" w:sz="8" w:color="0000EE"/>
            </w:tcBorders>
            <w:gridSpan w:val="7"/>
          </w:tcPr>
          <w:p>
            <w:pPr>
              <w:spacing w:after="0"/>
              <w:rPr>
                <w:rFonts w:ascii="Times New Roman" w:cs="Times New Roman" w:eastAsia="Times New Roman" w:hAnsi="Times New Roman"/>
                <w:sz w:val="18"/>
                <w:szCs w:val="18"/>
                <w:b w:val="1"/>
                <w:bCs w:val="1"/>
                <w:color w:val="0000EE"/>
                <w:w w:val="96"/>
              </w:rPr>
            </w:pPr>
            <w:hyperlink w:anchor="page38">
              <w:r>
                <w:rPr>
                  <w:rFonts w:ascii="Times New Roman" w:cs="Times New Roman" w:eastAsia="Times New Roman" w:hAnsi="Times New Roman"/>
                  <w:sz w:val="18"/>
                  <w:szCs w:val="18"/>
                  <w:b w:val="1"/>
                  <w:bCs w:val="1"/>
                  <w:color w:val="0000EE"/>
                  <w:w w:val="96"/>
                </w:rPr>
                <w:t>PART III</w:t>
              </w:r>
            </w:hyperlink>
          </w:p>
        </w:tc>
        <w:tc>
          <w:tcPr>
            <w:tcW w:w="360" w:type="dxa"/>
            <w:vAlign w:val="bottom"/>
            <w:gridSpan w:val="2"/>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2"/>
        </w:trPr>
        <w:tc>
          <w:tcPr>
            <w:tcW w:w="1100" w:type="dxa"/>
            <w:vAlign w:val="bottom"/>
            <w:gridSpan w:val="9"/>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10.</w:t>
              </w:r>
            </w:hyperlink>
          </w:p>
        </w:tc>
        <w:tc>
          <w:tcPr>
            <w:tcW w:w="8960" w:type="dxa"/>
            <w:vAlign w:val="bottom"/>
            <w:gridSpan w:val="17"/>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Directors, Executive Officers and Corporate Governance</w:t>
              </w:r>
            </w:hyperlink>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100" w:type="dxa"/>
            <w:vAlign w:val="bottom"/>
            <w:gridSpan w:val="9"/>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11.</w:t>
              </w:r>
            </w:hyperlink>
          </w:p>
        </w:tc>
        <w:tc>
          <w:tcPr>
            <w:tcW w:w="8960" w:type="dxa"/>
            <w:vAlign w:val="bottom"/>
            <w:gridSpan w:val="17"/>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Executive Compensation</w:t>
              </w:r>
            </w:hyperlink>
          </w:p>
        </w:tc>
        <w:tc>
          <w:tcPr>
            <w:tcW w:w="140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100" w:type="dxa"/>
            <w:vAlign w:val="bottom"/>
            <w:gridSpan w:val="9"/>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12.</w:t>
              </w:r>
            </w:hyperlink>
          </w:p>
        </w:tc>
        <w:tc>
          <w:tcPr>
            <w:tcW w:w="8960" w:type="dxa"/>
            <w:vAlign w:val="bottom"/>
            <w:gridSpan w:val="17"/>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40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720" w:type="dxa"/>
            <w:vAlign w:val="bottom"/>
            <w:gridSpan w:val="6"/>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13.</w:t>
              </w:r>
            </w:hyperlink>
          </w:p>
        </w:tc>
        <w:tc>
          <w:tcPr>
            <w:tcW w:w="380" w:type="dxa"/>
            <w:vAlign w:val="bottom"/>
            <w:gridSpan w:val="3"/>
          </w:tcPr>
          <w:p>
            <w:pPr>
              <w:spacing w:after="0"/>
              <w:rPr>
                <w:sz w:val="17"/>
                <w:szCs w:val="17"/>
                <w:color w:val="auto"/>
              </w:rPr>
            </w:pPr>
          </w:p>
        </w:tc>
        <w:tc>
          <w:tcPr>
            <w:tcW w:w="8960" w:type="dxa"/>
            <w:vAlign w:val="bottom"/>
            <w:gridSpan w:val="17"/>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Certain Relationships and Related Transactions and Director Independence</w:t>
              </w:r>
            </w:hyperlink>
          </w:p>
        </w:tc>
        <w:tc>
          <w:tcPr>
            <w:tcW w:w="140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72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14.</w:t>
              </w:r>
            </w:hyperlink>
          </w:p>
        </w:tc>
        <w:tc>
          <w:tcPr>
            <w:tcW w:w="380" w:type="dxa"/>
            <w:vAlign w:val="bottom"/>
            <w:gridSpan w:val="3"/>
          </w:tcPr>
          <w:p>
            <w:pPr>
              <w:spacing w:after="0"/>
              <w:rPr>
                <w:sz w:val="17"/>
                <w:szCs w:val="17"/>
                <w:color w:val="auto"/>
              </w:rPr>
            </w:pPr>
          </w:p>
        </w:tc>
        <w:tc>
          <w:tcPr>
            <w:tcW w:w="54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Principal Accountant Fees and Services</w:t>
              </w:r>
            </w:hyperlink>
          </w:p>
        </w:tc>
        <w:tc>
          <w:tcPr>
            <w:tcW w:w="3560" w:type="dxa"/>
            <w:vAlign w:val="bottom"/>
            <w:gridSpan w:val="6"/>
          </w:tcPr>
          <w:p>
            <w:pPr>
              <w:spacing w:after="0"/>
              <w:rPr>
                <w:sz w:val="17"/>
                <w:szCs w:val="17"/>
                <w:color w:val="auto"/>
              </w:rPr>
            </w:pPr>
          </w:p>
        </w:tc>
        <w:tc>
          <w:tcPr>
            <w:tcW w:w="140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12"/>
        </w:trPr>
        <w:tc>
          <w:tcPr>
            <w:tcW w:w="1100" w:type="dxa"/>
            <w:vAlign w:val="bottom"/>
            <w:gridSpan w:val="9"/>
          </w:tcPr>
          <w:p>
            <w:pPr>
              <w:spacing w:after="0"/>
              <w:rPr>
                <w:rFonts w:ascii="Times New Roman" w:cs="Times New Roman" w:eastAsia="Times New Roman" w:hAnsi="Times New Roman"/>
                <w:sz w:val="18"/>
                <w:szCs w:val="18"/>
                <w:b w:val="1"/>
                <w:bCs w:val="1"/>
                <w:color w:val="0000EE"/>
              </w:rPr>
            </w:pPr>
            <w:hyperlink w:anchor="page38">
              <w:r>
                <w:rPr>
                  <w:rFonts w:ascii="Times New Roman" w:cs="Times New Roman" w:eastAsia="Times New Roman" w:hAnsi="Times New Roman"/>
                  <w:sz w:val="18"/>
                  <w:szCs w:val="18"/>
                  <w:b w:val="1"/>
                  <w:bCs w:val="1"/>
                  <w:color w:val="0000EE"/>
                </w:rPr>
                <w:t>PART IV</w:t>
              </w:r>
            </w:hyperlink>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2"/>
        </w:trPr>
        <w:tc>
          <w:tcPr>
            <w:tcW w:w="72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15.</w:t>
              </w:r>
            </w:hyperlink>
          </w:p>
        </w:tc>
        <w:tc>
          <w:tcPr>
            <w:tcW w:w="380" w:type="dxa"/>
            <w:vAlign w:val="bottom"/>
            <w:gridSpan w:val="3"/>
          </w:tcPr>
          <w:p>
            <w:pPr>
              <w:spacing w:after="0"/>
              <w:rPr>
                <w:sz w:val="24"/>
                <w:szCs w:val="24"/>
                <w:color w:val="auto"/>
              </w:rPr>
            </w:pPr>
          </w:p>
        </w:tc>
        <w:tc>
          <w:tcPr>
            <w:tcW w:w="8960" w:type="dxa"/>
            <w:vAlign w:val="bottom"/>
            <w:gridSpan w:val="17"/>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Exhibits and Financial Statement Schedules</w:t>
              </w:r>
            </w:hyperlink>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100" w:type="dxa"/>
            <w:vAlign w:val="bottom"/>
            <w:gridSpan w:val="9"/>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Signatures</w:t>
              </w:r>
            </w:hyperlink>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345"/>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49"/>
        </w:trPr>
        <w:tc>
          <w:tcPr>
            <w:tcW w:w="5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33" w:lineRule="exact"/>
        <w:rPr>
          <w:sz w:val="20"/>
          <w:szCs w:val="20"/>
          <w:color w:val="auto"/>
        </w:rPr>
      </w:pPr>
    </w:p>
    <w:p>
      <w:pPr>
        <w:ind w:right="120"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Except for the historical financial information contained herein, the matters discussed in this report on Form 10-K (as well as documents incorporated herein by reference) may be considered “forward-looking” statements within the meaning of Section 27A of the Securities Act of 1933, as amended, and Section 21E of the Securities Exchange Act of 1934, as amended. All statements, other than statements of historical fact, are statements that could be deemed forward-looking statements, including, but not limited to, statements regarding our future financial position, business strategy and plans and objectives of management for future operations. When used in this Annual Report, the words “believe,” “may,” “could,” “will,” “estimate,” “continue,” “intend,” “expect,” “anticipate,” “plan,” “project” and similar expressions are intended to identify forward-looking statements.</w:t>
      </w:r>
    </w:p>
    <w:p>
      <w:pPr>
        <w:spacing w:after="0" w:line="88"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report, and in particular, the risks discussed under Part 1, Item 1A:”Risk Factors” and those discussed in other documents we file with the Securities and Exchange Commission. Except as required by law, we do not intend to update these forward-looking statements publicly or to update the reasons actual results could differ materially from those anticipated in these forward-looking statements, even if new information becomes available in the future.</w:t>
      </w:r>
    </w:p>
    <w:p>
      <w:pPr>
        <w:spacing w:after="0" w:line="89" w:lineRule="exact"/>
        <w:rPr>
          <w:sz w:val="20"/>
          <w:szCs w:val="20"/>
          <w:color w:val="auto"/>
        </w:rPr>
      </w:pPr>
    </w:p>
    <w:p>
      <w:pPr>
        <w:ind w:right="30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In light of these risks, uncertainties and assumptions, the forward-looking events and circumstances discussed in this report and in the documents incorporated in this report may not occur and actual results could differ materially and adversely from those anticipated or implied in the forward-looking statements. Accordingly, readers are cautioned not to place undue reliance on such forward-looking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3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are a cloud-based provider of payroll and human capital management, or HCM, software solutions for medium-sized organizations, which we define as those having between 20 and 1,000 employees. Our comprehensive and easy-to-use solutions enable our clients to manage their workforces more effectively. As of June 30, 2016, we served approximately 12,500 clients across the U.S., which on average had over 100 employees. Our solutions help drive strategic human capital decision-making and improve employee engagement by enhancing the human resource, payroll and finance capabilities of our clients.</w:t>
      </w:r>
    </w:p>
    <w:p>
      <w:pPr>
        <w:spacing w:after="0" w:line="8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multi-tenant software platform is highly configurable and includes a unified suite of payroll and HCM applications, such as time and labor tracking, benefits and talent management. Our solutions have been organically developed from our core payroll solution, which we believe is the most critical system of record for medium-sized organizations and an essential gateway to other HCM functionality. Our payroll and HCM applications use a unified database and provide robust on-demand reporting and analytics. Our platform provides intuitive self-service functionality for employees and managers combined with seamless integration across all our solutions. We supplement our comprehensive software platform with an integrated implementation and client service organization, all of which are designed to meet the needs of medium-sized organizations.</w:t>
      </w:r>
    </w:p>
    <w:p>
      <w:pPr>
        <w:spacing w:after="0" w:line="93"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Effective management of human capital is a core function in all organizations and requires a significant commitment of resources. Organizations are faced with complex and ever-changing requirements, including diverse federal, state and local regulations across multiple jurisdictions. In addition, the workplace operating environment is rapidly changing as employees increasingly become mobile, work remotely and expect an end user experience similar to that of consumer-oriented Internet applications. Medium-sized organizations operating without the infrastructure, expertise or personnel of larger enterprises are uniquely pressured in this complex and dynamic environment. Existing solutions offered by third-party payroll service providers can have limited capabilities and configurability while enterprise-focused software vendors can be expensive and time-consuming to implement and manage. We believe that medium-sized organizations are better served by solutions designed to meet their unique needs.</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solutions provide the following key benefits to our clients:</w:t>
      </w:r>
    </w:p>
    <w:p>
      <w:pPr>
        <w:spacing w:after="0" w:line="131" w:lineRule="exact"/>
        <w:rPr>
          <w:sz w:val="20"/>
          <w:szCs w:val="20"/>
          <w:color w:val="auto"/>
        </w:rPr>
      </w:pPr>
    </w:p>
    <w:p>
      <w:pPr>
        <w:ind w:left="940" w:hanging="284"/>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cloud-based platform optimized to meet the payroll and HCM needs of medium-sized organizations;</w:t>
      </w:r>
    </w:p>
    <w:p>
      <w:pPr>
        <w:sectPr>
          <w:pgSz w:w="11900" w:h="16838" w:orient="portrait"/>
          <w:cols w:equalWidth="0" w:num="1">
            <w:col w:w="11460"/>
          </w:cols>
          <w:pgMar w:left="240" w:top="108" w:right="199" w:bottom="0" w:gutter="0" w:footer="0" w:header="0"/>
        </w:sectPr>
      </w:pPr>
    </w:p>
    <w:bookmarkStart w:id="2" w:name="page3"/>
    <w:bookmarkEnd w:id="2"/>
    <w:p>
      <w:pPr>
        <w:ind w:left="940" w:hanging="284"/>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Modern, intuitive user experience and self-service capabilities that significantly increase employee engagement;</w:t>
      </w:r>
    </w:p>
    <w:p>
      <w:pPr>
        <w:spacing w:after="0" w:line="130"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Flexible and configurable platform that aligns with business processes and centralizes payroll and HCM data;</w:t>
      </w:r>
    </w:p>
    <w:p>
      <w:pPr>
        <w:spacing w:after="0" w:line="130"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as a service, or SaaS, delivery model that reduces total cost of ownership for our clients; and</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Seamless data integration with our extensive partner ecosystem that saves time and expense and reduces the risk of errors.</w:t>
      </w:r>
    </w:p>
    <w:p>
      <w:pPr>
        <w:spacing w:after="0" w:line="13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market and sell our products primarily through our direct sales force. We generate sales leads through a variety of focused marketing initiatives and from our extensive referral network of 401(k) advisors, benefits administrators, insurance brokers, third-party administrators and HR consultants. We derive revenue from a client based on the solutions purchased by the client, the number of client employees and the amount, type and timing of services provided in respect of those client employees. Our annual revenue retention rate was greater than 92% in each of the fiscal years 2014, 2015 and 2016. Our total revenues increased from $108.7 million in fiscal 2014 to $152.7 million in fiscal 2015, representing a 40% year-over-year increase and to $230.7 million in fiscal 2016, representing a 51% year-over-year increase. Our recurring revenues increased from $101.9 million in fiscal 2014 to $144.1 million in fiscal 2015, representing a 41% year-over-year increase, and to $220.1 million in fiscal 2016, representing a 53% year-over-year increase. Although we do not have long-term contracts with our clients and our agreements with clients are generally terminable on 60 days’ or less notice, our recurring revenue model provides significant visibility into our future operating results.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35"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Effective management of human capital is a core function for all organizations and requires a significant commitment of resources. Identifying, acquiring and retaining talent is a priority at all levels of an organization. In today’s increasingly complex business and regulatory environment, organizations are being pressured to manage critical payroll and HCM functions more effectively, automate manual processes and decrease their operating costs.</w:t>
      </w:r>
    </w:p>
    <w:p>
      <w:pPr>
        <w:spacing w:after="0" w:line="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Complex and Dynamic Tax and Regulatory Environment</w:t>
      </w:r>
    </w:p>
    <w:p>
      <w:pPr>
        <w:spacing w:after="0" w:line="13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tax and regulatory environment in the United States is complex and dynamic. Organizations are subject to a myriad of tax, benefit, workers compensation, healthcare and other rules, regulations and reporting obligations. In addition to U.S. federal taxing and regulatory authorities, there are more than 10,000 state and local tax codes in the United States. Further, federal, state and local government agencies continually enact and amend the rules, regulations and reporting requirements with which organizations must comply.</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Growing Demand for Mobility and Enhanced User Experience</w:t>
      </w:r>
    </w:p>
    <w:p>
      <w:pPr>
        <w:spacing w:after="0" w:line="13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Connectivity and mobility are enabling employees to spend less time in traditional office environments and more time working remotely. This trend increases the demand for advanced and intuitive solutions that improve collaboration and foster employee engagement, such as remote self-service access to payroll and timesheet reporting, HR and benefits portals and other talent management applications. Given the prominence of consumer-oriented Internet applications, employees expect the user experience and accessibility of internal systems to be similar to those of the latest Internet applications, such as LinkedIn, Amazon and Facebook.</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Medium-Sized Organizations Face Unique Challenges</w:t>
      </w:r>
    </w:p>
    <w:p>
      <w:pPr>
        <w:spacing w:after="0" w:line="13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Medium-sized organizations functioning without the infrastructure, expertise or personnel of larger enterprises are uniquely pressured in the current complex and dynamic environment. Employees in these medium-sized organizations often perform multiple job functions, and many medium-sized organizations have limited financial, technical and other resources needed to effectively manage their critical business requirements and to build and maintain the systems required to do so.</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Large Market Opportunity for Payroll and HCM Solutions</w:t>
      </w:r>
    </w:p>
    <w:p>
      <w:pPr>
        <w:spacing w:after="0" w:line="13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According to market analyses published by International Data Corporation, or IDC, titled Worldwide and U.S. Human Capital Management Applications 2015-2019 Forecast (June 2015) and U.S. Payroll Outsourcing Services Forecast, 2015-2019 (November 2015), the U.S. market for HCM applications and payroll outsourcing services is estimated to be $25 billion in 2016. The market opportunity is driven by the importance of payroll and HCM solutions to the successful management of organizations.</w:t>
      </w:r>
    </w:p>
    <w:p>
      <w:pPr>
        <w:spacing w:after="0" w:line="8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To estimate our addressable market, we focus our analysis on the number of U.S. medium-sized organizations and the number of their employees. According to the U.S. Census Bureau, there were over 597,000 firms with 20 to 999 employees in the U.S. in 2013, employing over 42 million persons. We estimate that if clients were to buy our entire suite of existing solutions at list prices, they would spend approximately $270 per employee annually. Based on this analysis, we believe our current target addressable market is approximately $11.0 billion. Our existing clients do not typically buy our entire suite of solutions, and as we continue to expand our product offerings, we believe that we have an opportunity to increase the amount clients spend on payroll and HCM solutions per employee and to expand our addressable market.</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Organizations Are Increasingly Transitioning to SaaS Solutions</w:t>
      </w:r>
    </w:p>
    <w:p>
      <w:pPr>
        <w:spacing w:after="0" w:line="135" w:lineRule="exact"/>
        <w:rPr>
          <w:sz w:val="20"/>
          <w:szCs w:val="20"/>
          <w:color w:val="auto"/>
        </w:rPr>
      </w:pPr>
    </w:p>
    <w:p>
      <w:pPr>
        <w:ind w:right="3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SaaS solutions are easier and more affordable to implement and operate than those offered by traditional software providers. SaaS solutions also enable software updates with greater frequency and without new hardware investments, enabling organizations to better react to changes in their environments. Many organizations are transitioning to SaaS solutions for front-office business applications such as salesforce management. Similarly, we believe organizations are adopting back-office SaaS applications, such as payroll and HCM, with increasing frequency. </w:t>
      </w:r>
      <w:r>
        <w:rPr>
          <w:rFonts w:ascii="Times New Roman" w:cs="Times New Roman" w:eastAsia="Times New Roman" w:hAnsi="Times New Roman"/>
          <w:sz w:val="17"/>
          <w:szCs w:val="17"/>
          <w:color w:val="auto"/>
        </w:rPr>
        <w:t>According to a market analysis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published by IDC, titled Worldwide SaaS and Cloud</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Software 2015-2019 Forecast and 2014 Vendor Shares (August 2015), the U.S. SaaS market is estimated to be $46 billion in 2016 and is projected to grow at a 17% compound annual growth rate from 2014 to 2019.</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Limitations of Existing Solutions</w:t>
      </w:r>
    </w:p>
    <w:p>
      <w:pPr>
        <w:sectPr>
          <w:pgSz w:w="11900" w:h="16838" w:orient="portrait"/>
          <w:cols w:equalWidth="0" w:num="1">
            <w:col w:w="11400"/>
          </w:cols>
          <w:pgMar w:left="240" w:top="121" w:right="259" w:bottom="0" w:gutter="0" w:footer="0" w:header="0"/>
        </w:sectPr>
      </w:pPr>
    </w:p>
    <w:bookmarkStart w:id="3" w:name="page4"/>
    <w:bookmarkEnd w:id="3"/>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existing payroll and HCM solutions have limitations that cause them to underserve the unique needs of medium-sized organizations.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payroll and HCM solutions include:</w:t>
      </w:r>
    </w:p>
    <w:p>
      <w:pPr>
        <w:spacing w:after="0" w:line="110" w:lineRule="exact"/>
        <w:rPr>
          <w:sz w:val="20"/>
          <w:szCs w:val="20"/>
          <w:color w:val="auto"/>
        </w:rPr>
      </w:pPr>
    </w:p>
    <w:p>
      <w:pPr>
        <w:ind w:left="660" w:right="80" w:hanging="4"/>
        <w:spacing w:after="0" w:line="259" w:lineRule="auto"/>
        <w:tabs>
          <w:tab w:leader="none" w:pos="741"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i w:val="1"/>
          <w:iCs w:val="1"/>
          <w:color w:val="auto"/>
        </w:rPr>
        <w:t>Traditional Payroll Service Providers</w:t>
      </w:r>
      <w:r>
        <w:rPr>
          <w:rFonts w:ascii="Times New Roman" w:cs="Times New Roman" w:eastAsia="Times New Roman" w:hAnsi="Times New Roman"/>
          <w:sz w:val="18"/>
          <w:szCs w:val="18"/>
          <w:color w:val="auto"/>
        </w:rPr>
        <w:t>. Traditional payroll service providers are primarily focused on delivery of a variety of payroll processing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insurance products and HR business process outsourcing solutions. Many of these solutions offer limited capabilities and integration beyond traditional payroll processing. The lack of a unified and configurable payroll and HCM suite can diminish the effectiveness of a system, detract from user experience and limit integration with other solutions. In addition, we believe that certain traditional payroll service providers often do not provide a high-quality client service experience.</w:t>
      </w:r>
    </w:p>
    <w:p>
      <w:pPr>
        <w:spacing w:after="0" w:line="85" w:lineRule="exact"/>
        <w:rPr>
          <w:rFonts w:ascii="Times New Roman" w:cs="Times New Roman" w:eastAsia="Times New Roman" w:hAnsi="Times New Roman"/>
          <w:sz w:val="14"/>
          <w:szCs w:val="14"/>
          <w:color w:val="auto"/>
        </w:rPr>
      </w:pPr>
    </w:p>
    <w:p>
      <w:pPr>
        <w:jc w:val="both"/>
        <w:ind w:left="660" w:right="60" w:hanging="4"/>
        <w:spacing w:after="0" w:line="267" w:lineRule="auto"/>
        <w:tabs>
          <w:tab w:leader="none" w:pos="741"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i w:val="1"/>
          <w:iCs w:val="1"/>
          <w:color w:val="auto"/>
        </w:rPr>
        <w:t>Enterprise-Focused Payroll and HCM Software Vendors</w:t>
      </w:r>
      <w:r>
        <w:rPr>
          <w:rFonts w:ascii="Times New Roman" w:cs="Times New Roman" w:eastAsia="Times New Roman" w:hAnsi="Times New Roman"/>
          <w:sz w:val="18"/>
          <w:szCs w:val="18"/>
          <w:color w:val="auto"/>
        </w:rPr>
        <w:t>. Enterprise-focused software vendors offer solutions and services that are designed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complex needs and structures of large enterprises. As a result, their solutions can be expensive, complex and time-consuming to implement, operate and maintain.</w:t>
      </w:r>
    </w:p>
    <w:p>
      <w:pPr>
        <w:spacing w:after="0" w:line="78" w:lineRule="exact"/>
        <w:rPr>
          <w:rFonts w:ascii="Times New Roman" w:cs="Times New Roman" w:eastAsia="Times New Roman" w:hAnsi="Times New Roman"/>
          <w:sz w:val="14"/>
          <w:szCs w:val="14"/>
          <w:color w:val="auto"/>
        </w:rPr>
      </w:pPr>
    </w:p>
    <w:p>
      <w:pPr>
        <w:ind w:left="660" w:right="80" w:hanging="4"/>
        <w:spacing w:after="0" w:line="284" w:lineRule="auto"/>
        <w:tabs>
          <w:tab w:leader="none" w:pos="741"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i w:val="1"/>
          <w:iCs w:val="1"/>
          <w:color w:val="auto"/>
        </w:rPr>
        <w:t>HCM Point Solution Providers</w:t>
      </w:r>
      <w:r>
        <w:rPr>
          <w:rFonts w:ascii="Times New Roman" w:cs="Times New Roman" w:eastAsia="Times New Roman" w:hAnsi="Times New Roman"/>
          <w:sz w:val="18"/>
          <w:szCs w:val="18"/>
          <w:color w:val="auto"/>
        </w:rPr>
        <w:t>. Many HCM point solutions lack integrated payroll functionality. The implementation and management of multiple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point solutions and the reliance on multiple service organizations can be challenging and expensive for medium-sized organizations.</w:t>
      </w:r>
    </w:p>
    <w:p>
      <w:pPr>
        <w:spacing w:after="0" w:line="63" w:lineRule="exact"/>
        <w:rPr>
          <w:rFonts w:ascii="Times New Roman" w:cs="Times New Roman" w:eastAsia="Times New Roman" w:hAnsi="Times New Roman"/>
          <w:sz w:val="14"/>
          <w:szCs w:val="14"/>
          <w:color w:val="auto"/>
        </w:rPr>
      </w:pPr>
    </w:p>
    <w:p>
      <w:pPr>
        <w:ind w:left="660" w:right="500" w:hanging="4"/>
        <w:spacing w:after="0" w:line="284" w:lineRule="auto"/>
        <w:tabs>
          <w:tab w:leader="none" w:pos="741"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i w:val="1"/>
          <w:iCs w:val="1"/>
          <w:color w:val="auto"/>
        </w:rPr>
        <w:t>Manual Processes for Payroll and HCM Functions</w:t>
      </w:r>
      <w:r>
        <w:rPr>
          <w:rFonts w:ascii="Times New Roman" w:cs="Times New Roman" w:eastAsia="Times New Roman" w:hAnsi="Times New Roman"/>
          <w:sz w:val="18"/>
          <w:szCs w:val="18"/>
          <w:color w:val="auto"/>
        </w:rPr>
        <w:t>. Manual payroll and HCM processes require increased HR, payroll and finance personnel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involvement, resulting in higher costs, slower processing and greater risks of data entry errors.</w:t>
      </w:r>
    </w:p>
    <w:p>
      <w:pPr>
        <w:spacing w:after="0" w:line="6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Given the challenges medium-sized organizations face operating in complex and dynamic environments and the limited ability of traditional offerings to address these challenges, we believe there is a significant market opportunity for a comprehensive, unified SaaS solution designed to serve the payroll and HCM needs of medium-sized organizations.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35"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Our chief operating decision maker reviews our financial results in total when evaluating financial performance and for purposes of allocating resources. We have thus determined that we operate in a single cloud-based software solution reporting segment.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3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are a cloud-based provider of payroll and HCM software solutions for medium-sized organizations. Our solutions enable medium-sized organizations to more efficiently manage payroll and human capital in their complex and dynamic operating environments. As of June 30, 2016, we served approximately 12,500 clients across the U.S., which on average had over 100 employees.</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key benefits of our solution include the following:</w:t>
      </w:r>
    </w:p>
    <w:p>
      <w:pPr>
        <w:spacing w:after="0" w:line="129" w:lineRule="exact"/>
        <w:rPr>
          <w:sz w:val="20"/>
          <w:szCs w:val="20"/>
          <w:color w:val="auto"/>
        </w:rPr>
      </w:pPr>
    </w:p>
    <w:p>
      <w:pPr>
        <w:ind w:left="980" w:right="40" w:hanging="324"/>
        <w:spacing w:after="0" w:line="261" w:lineRule="auto"/>
        <w:tabs>
          <w:tab w:leader="none" w:pos="921"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i w:val="1"/>
          <w:iCs w:val="1"/>
          <w:color w:val="auto"/>
        </w:rPr>
        <w:t xml:space="preserve">Comprehensive Platform Optimized for Medium-Sized Organizations. </w:t>
      </w:r>
      <w:r>
        <w:rPr>
          <w:rFonts w:ascii="Times New Roman" w:cs="Times New Roman" w:eastAsia="Times New Roman" w:hAnsi="Times New Roman"/>
          <w:sz w:val="18"/>
          <w:szCs w:val="18"/>
          <w:color w:val="auto"/>
        </w:rPr>
        <w:t>Our solutions empower finance and HR professionals in medium-sized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to drive strategic human capital decisions by providing enterprise-grade payroll and HCM applications, including robust reporting and analytics. Our unified platform fully automates payroll and HCM processes, enabling our clients to focus on core business activities. Our solutions help our clients attract, retain and manage their employees within a single, comprehensive system.</w:t>
      </w:r>
    </w:p>
    <w:p>
      <w:pPr>
        <w:spacing w:after="0" w:line="85" w:lineRule="exact"/>
        <w:rPr>
          <w:rFonts w:ascii="Times New Roman" w:cs="Times New Roman" w:eastAsia="Times New Roman" w:hAnsi="Times New Roman"/>
          <w:sz w:val="14"/>
          <w:szCs w:val="14"/>
          <w:color w:val="auto"/>
        </w:rPr>
      </w:pPr>
    </w:p>
    <w:p>
      <w:pPr>
        <w:ind w:left="980" w:right="360" w:hanging="324"/>
        <w:spacing w:after="0" w:line="259" w:lineRule="auto"/>
        <w:tabs>
          <w:tab w:leader="none" w:pos="921"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i w:val="1"/>
          <w:iCs w:val="1"/>
          <w:color w:val="auto"/>
        </w:rPr>
        <w:t xml:space="preserve">Modern, Intuitive User Experience. </w:t>
      </w:r>
      <w:r>
        <w:rPr>
          <w:rFonts w:ascii="Times New Roman" w:cs="Times New Roman" w:eastAsia="Times New Roman" w:hAnsi="Times New Roman"/>
          <w:sz w:val="18"/>
          <w:szCs w:val="18"/>
          <w:color w:val="auto"/>
        </w:rPr>
        <w:t>Our intuitive, easy-to-use interface is based on current technology and automatically adapts to users’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devices, including mobile platforms, thereby significantly increasing accessibility of our solutions and decreasing the need for training. Our platform’s self-service functionality and performance management applications provide employees with an engaging experience. Our performance management applications include peer-to-peer employee recognition and social employee profiles that create a reward and recognition environment resulting in greater employee engagement.</w:t>
      </w:r>
    </w:p>
    <w:p>
      <w:pPr>
        <w:spacing w:after="0" w:line="85" w:lineRule="exact"/>
        <w:rPr>
          <w:rFonts w:ascii="Times New Roman" w:cs="Times New Roman" w:eastAsia="Times New Roman" w:hAnsi="Times New Roman"/>
          <w:sz w:val="14"/>
          <w:szCs w:val="14"/>
          <w:color w:val="auto"/>
        </w:rPr>
      </w:pPr>
    </w:p>
    <w:p>
      <w:pPr>
        <w:ind w:left="980" w:right="240" w:hanging="324"/>
        <w:spacing w:after="0" w:line="259" w:lineRule="auto"/>
        <w:tabs>
          <w:tab w:leader="none" w:pos="921"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i w:val="1"/>
          <w:iCs w:val="1"/>
          <w:color w:val="auto"/>
        </w:rPr>
        <w:t xml:space="preserve">Flexible and Configurable Platform. </w:t>
      </w:r>
      <w:r>
        <w:rPr>
          <w:rFonts w:ascii="Times New Roman" w:cs="Times New Roman" w:eastAsia="Times New Roman" w:hAnsi="Times New Roman"/>
          <w:sz w:val="18"/>
          <w:szCs w:val="18"/>
          <w:color w:val="auto"/>
        </w:rPr>
        <w:t>We design our solutions to be flexible and configurable, allowing our clients to match their use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with their specific business processes and workflows. Our platform has been organically developed from a common code base, data structure and user interface, providing a consistent user experience with powerful features that are easily adaptable to our clients’ needs. Our systems centralize payroll and HCM data, minimizing inconsistent and incomplete information that can be produced when using multiple databases.</w:t>
      </w:r>
    </w:p>
    <w:p>
      <w:pPr>
        <w:spacing w:after="0" w:line="85" w:lineRule="exact"/>
        <w:rPr>
          <w:rFonts w:ascii="Times New Roman" w:cs="Times New Roman" w:eastAsia="Times New Roman" w:hAnsi="Times New Roman"/>
          <w:sz w:val="14"/>
          <w:szCs w:val="14"/>
          <w:color w:val="auto"/>
        </w:rPr>
      </w:pPr>
    </w:p>
    <w:p>
      <w:pPr>
        <w:ind w:left="980" w:right="160" w:hanging="324"/>
        <w:spacing w:after="0" w:line="261" w:lineRule="auto"/>
        <w:tabs>
          <w:tab w:leader="none" w:pos="921"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i w:val="1"/>
          <w:iCs w:val="1"/>
          <w:color w:val="auto"/>
        </w:rPr>
        <w:t>Highly-Attractive SaaS Solution for Medium-Sized Organizations</w:t>
      </w:r>
      <w:r>
        <w:rPr>
          <w:rFonts w:ascii="Times New Roman" w:cs="Times New Roman" w:eastAsia="Times New Roman" w:hAnsi="Times New Roman"/>
          <w:sz w:val="18"/>
          <w:szCs w:val="18"/>
          <w:color w:val="auto"/>
        </w:rPr>
        <w:t>. Our solutions are cloud-based and offered on a subscription basis, making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them easier and more affordable to implement, operate and update and enabling our clients to focus less on their IT infrastructure and more on their core businesses. Our cloud-based software can be operated by a single administrator without the support of an in-house information technology department. Our multi-tenant and modern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80" w:right="100"/>
        <w:spacing w:after="0" w:line="266" w:lineRule="auto"/>
        <w:rPr>
          <w:sz w:val="20"/>
          <w:szCs w:val="20"/>
          <w:color w:val="auto"/>
        </w:rPr>
      </w:pPr>
      <w:r>
        <w:rPr>
          <w:rFonts w:ascii="Times New Roman" w:cs="Times New Roman" w:eastAsia="Times New Roman" w:hAnsi="Times New Roman"/>
          <w:sz w:val="18"/>
          <w:szCs w:val="18"/>
          <w:color w:val="auto"/>
        </w:rPr>
        <w:t>architecture allows for frequent software enhancements thereby enabling our clients to react to a rapidly changing and complex operating environment. Our cloud-based platform enables our clients to scale their businesses without having to acquire additional hardware or to resolve the integration challenges that often result from traditional outsourcing solutions.</w:t>
      </w:r>
    </w:p>
    <w:p>
      <w:pPr>
        <w:spacing w:after="0" w:line="80" w:lineRule="exact"/>
        <w:rPr>
          <w:sz w:val="20"/>
          <w:szCs w:val="20"/>
          <w:color w:val="auto"/>
        </w:rPr>
      </w:pPr>
    </w:p>
    <w:p>
      <w:pPr>
        <w:ind w:left="980" w:hanging="324"/>
        <w:spacing w:after="0" w:line="256" w:lineRule="auto"/>
        <w:tabs>
          <w:tab w:leader="none" w:pos="921"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i w:val="1"/>
          <w:iCs w:val="1"/>
          <w:color w:val="auto"/>
        </w:rPr>
        <w:t>Seamless Integration with Extensive Ecosystem of Partners</w:t>
      </w:r>
      <w:r>
        <w:rPr>
          <w:rFonts w:ascii="Times New Roman" w:cs="Times New Roman" w:eastAsia="Times New Roman" w:hAnsi="Times New Roman"/>
          <w:sz w:val="18"/>
          <w:szCs w:val="18"/>
          <w:color w:val="auto"/>
        </w:rPr>
        <w:t>. Our platform offers our clients automated data integration with over 200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third-party partner systems, such as 401(k), benefits and insurance provider systems. This integration reduces the complexity and risk of error of manual data transfers and saves time for our clients and their employees. We integrate data with these related systems through a secure connection, which significantly decreases the risk of unauthorized third-party access and other security breaches. Our direct and automated data transmission improves the accuracy of data and facilitates data collection in our partners’ systems. We believe having automated data integration with a payroll and HCM provider like us differentiates our partners’ product offerings, strengthening their competitive positioning in their own markets.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intend to strengthen and extend our position as a provider of cloud-based payroll and HCM software solutions to medium-sized organizations.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strategy include:</w:t>
      </w:r>
    </w:p>
    <w:p>
      <w:pPr>
        <w:spacing w:after="0" w:line="110" w:lineRule="exact"/>
        <w:rPr>
          <w:sz w:val="20"/>
          <w:szCs w:val="20"/>
          <w:color w:val="auto"/>
        </w:rPr>
      </w:pPr>
    </w:p>
    <w:p>
      <w:pPr>
        <w:ind w:left="980" w:right="80" w:hanging="324"/>
        <w:spacing w:after="0" w:line="261" w:lineRule="auto"/>
        <w:tabs>
          <w:tab w:leader="none" w:pos="921"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i w:val="1"/>
          <w:iCs w:val="1"/>
          <w:color w:val="auto"/>
        </w:rPr>
        <w:t>Grow Our Client Base</w:t>
      </w:r>
      <w:r>
        <w:rPr>
          <w:rFonts w:ascii="Times New Roman" w:cs="Times New Roman" w:eastAsia="Times New Roman" w:hAnsi="Times New Roman"/>
          <w:sz w:val="18"/>
          <w:szCs w:val="18"/>
          <w:color w:val="auto"/>
        </w:rPr>
        <w:t>. We believe that our current client base represents only a small portion of the medium-sized organizations that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from our solutions. While we served approximately 12,500 clients across the U.S. as of June 30, 2016, there were over 597,000 firms with 20 to 999 employees in the United States, employing more than 42 million persons, according to the U.S. Census Bureau in 2013. In order to acquire new clients, we plan to continue to grow our sales organization aggressively across all U.S. geographies.</w:t>
      </w:r>
    </w:p>
    <w:p>
      <w:pPr>
        <w:sectPr>
          <w:pgSz w:w="11900" w:h="16900" w:orient="portrait"/>
          <w:cols w:equalWidth="0" w:num="1">
            <w:col w:w="11400"/>
          </w:cols>
          <w:pgMar w:left="240" w:top="121" w:right="259" w:bottom="0" w:gutter="0" w:footer="0" w:header="0"/>
        </w:sectPr>
      </w:pPr>
    </w:p>
    <w:bookmarkStart w:id="4" w:name="page5"/>
    <w:bookmarkEnd w:id="4"/>
    <w:p>
      <w:pPr>
        <w:ind w:left="980" w:right="220" w:hanging="324"/>
        <w:spacing w:after="0" w:line="259" w:lineRule="auto"/>
        <w:tabs>
          <w:tab w:leader="none" w:pos="921"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i w:val="1"/>
          <w:iCs w:val="1"/>
          <w:color w:val="auto"/>
        </w:rPr>
        <w:t>Expand Our Product Offerings</w:t>
      </w:r>
      <w:r>
        <w:rPr>
          <w:rFonts w:ascii="Times New Roman" w:cs="Times New Roman" w:eastAsia="Times New Roman" w:hAnsi="Times New Roman"/>
          <w:sz w:val="18"/>
          <w:szCs w:val="18"/>
          <w:color w:val="auto"/>
        </w:rPr>
        <w:t>. We believe that our leadership position is in significant part the result of our investment and innovation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offerings designed for medium-sized organizations. Therefore, we plan to increase investment in software development to continue to advance our platform and expand our product offerings. For example, we released ACA Enhanced in fiscal year 2016, which provides a compliance and reporting solution for the Affordable Care Act. We will be releasing Paylocity Recruiting in fiscal year 2017, which is an applicant tracking tool that automates critically important steps in the hiring and decision making process.</w:t>
      </w:r>
    </w:p>
    <w:p>
      <w:pPr>
        <w:spacing w:after="0" w:line="85" w:lineRule="exact"/>
        <w:rPr>
          <w:rFonts w:ascii="Times New Roman" w:cs="Times New Roman" w:eastAsia="Times New Roman" w:hAnsi="Times New Roman"/>
          <w:sz w:val="14"/>
          <w:szCs w:val="14"/>
          <w:color w:val="auto"/>
        </w:rPr>
      </w:pPr>
    </w:p>
    <w:p>
      <w:pPr>
        <w:ind w:left="980" w:right="520" w:hanging="324"/>
        <w:spacing w:after="0" w:line="267" w:lineRule="auto"/>
        <w:tabs>
          <w:tab w:leader="none" w:pos="921"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i w:val="1"/>
          <w:iCs w:val="1"/>
          <w:color w:val="auto"/>
        </w:rPr>
        <w:t>Increase Average Revenue Per Client</w:t>
      </w:r>
      <w:r>
        <w:rPr>
          <w:rFonts w:ascii="Times New Roman" w:cs="Times New Roman" w:eastAsia="Times New Roman" w:hAnsi="Times New Roman"/>
          <w:sz w:val="18"/>
          <w:szCs w:val="18"/>
          <w:color w:val="auto"/>
        </w:rPr>
        <w:t>. Our average revenue per client has consistently increased in each of the last three years as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broadened our product offerings. We plan to further grow average revenue per client by selling a broader selection of products to new and existing clients.</w:t>
      </w:r>
    </w:p>
    <w:p>
      <w:pPr>
        <w:spacing w:after="0" w:line="78" w:lineRule="exact"/>
        <w:rPr>
          <w:rFonts w:ascii="Times New Roman" w:cs="Times New Roman" w:eastAsia="Times New Roman" w:hAnsi="Times New Roman"/>
          <w:sz w:val="14"/>
          <w:szCs w:val="14"/>
          <w:color w:val="auto"/>
        </w:rPr>
      </w:pPr>
    </w:p>
    <w:p>
      <w:pPr>
        <w:ind w:left="980" w:right="20" w:hanging="324"/>
        <w:spacing w:after="0" w:line="259" w:lineRule="auto"/>
        <w:tabs>
          <w:tab w:leader="none" w:pos="921"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i w:val="1"/>
          <w:iCs w:val="1"/>
          <w:color w:val="auto"/>
        </w:rPr>
        <w:t>Extend Technological Leadership</w:t>
      </w:r>
      <w:r>
        <w:rPr>
          <w:rFonts w:ascii="Times New Roman" w:cs="Times New Roman" w:eastAsia="Times New Roman" w:hAnsi="Times New Roman"/>
          <w:sz w:val="18"/>
          <w:szCs w:val="18"/>
          <w:color w:val="auto"/>
        </w:rPr>
        <w:t>. We believe that our organically developed cloud-based multi-tenant software platform, combined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unified database architecture, enhances the experience and usability of our products, providing what we believe to be a competitive advantage over alternative solutions. Our modern, intuitive user interface utilizes features found on many popular consumer Internet sites, enabling users to use our solutions with limited training. We plan to continue our technology innovation, as we have done with our mobile applications, social features and analytics capabilities.</w:t>
      </w:r>
    </w:p>
    <w:p>
      <w:pPr>
        <w:spacing w:after="0" w:line="85" w:lineRule="exact"/>
        <w:rPr>
          <w:rFonts w:ascii="Times New Roman" w:cs="Times New Roman" w:eastAsia="Times New Roman" w:hAnsi="Times New Roman"/>
          <w:sz w:val="14"/>
          <w:szCs w:val="14"/>
          <w:color w:val="auto"/>
        </w:rPr>
      </w:pPr>
    </w:p>
    <w:p>
      <w:pPr>
        <w:ind w:left="980" w:right="20" w:hanging="324"/>
        <w:spacing w:after="0" w:line="257" w:lineRule="auto"/>
        <w:tabs>
          <w:tab w:leader="none" w:pos="921"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i w:val="1"/>
          <w:iCs w:val="1"/>
          <w:color w:val="auto"/>
        </w:rPr>
        <w:t>Further Develop Our Referral Network</w:t>
      </w:r>
      <w:r>
        <w:rPr>
          <w:rFonts w:ascii="Times New Roman" w:cs="Times New Roman" w:eastAsia="Times New Roman" w:hAnsi="Times New Roman"/>
          <w:sz w:val="18"/>
          <w:szCs w:val="18"/>
          <w:color w:val="auto"/>
        </w:rPr>
        <w:t>. We have developed a strong network of referral participants, such as 401(k) advisors,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administrators, insurance brokers, third-party administrators and HR consultants that recommend our solutions and provide referrals. We believe that our platform’s automated data integration with over 200 related third-party partner systems is valuable to our referral participants, as they are able to access payroll and HR data through a single system which decreases complexity and cost and complements their own product offerings. We plan to increase integration with third-party providers and expand our referral network to grow our client base and lower our client acquisition costs.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35"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Our cloud-based platform features a suite of unified payroll and HCM applications. Our solutions are highly configurable and easy to use, implement, update and maintain.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Paylocity Web Pay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Paylocity Web Pay is designed to provide enterprise-grade payroll processing and administration.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9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Feature</w:t>
            </w:r>
          </w:p>
        </w:tc>
        <w:tc>
          <w:tcPr>
            <w:tcW w:w="140" w:type="dxa"/>
            <w:vAlign w:val="bottom"/>
          </w:tcPr>
          <w:p>
            <w:pPr>
              <w:spacing w:after="0"/>
              <w:rPr>
                <w:sz w:val="20"/>
                <w:szCs w:val="20"/>
                <w:color w:val="auto"/>
              </w:rPr>
            </w:pPr>
          </w:p>
        </w:tc>
        <w:tc>
          <w:tcPr>
            <w:tcW w:w="8360" w:type="dxa"/>
            <w:vAlign w:val="bottom"/>
            <w:tcBorders>
              <w:bottom w:val="single" w:sz="8" w:color="auto"/>
            </w:tcBorders>
          </w:tcPr>
          <w:p>
            <w:pPr>
              <w:ind w:left="3660"/>
              <w:spacing w:after="0"/>
              <w:rPr>
                <w:sz w:val="20"/>
                <w:szCs w:val="20"/>
                <w:color w:val="auto"/>
              </w:rPr>
            </w:pPr>
            <w:r>
              <w:rPr>
                <w:rFonts w:ascii="Times New Roman" w:cs="Times New Roman" w:eastAsia="Times New Roman" w:hAnsi="Times New Roman"/>
                <w:sz w:val="18"/>
                <w:szCs w:val="18"/>
                <w:b w:val="1"/>
                <w:bCs w:val="1"/>
                <w:color w:val="auto"/>
              </w:rPr>
              <w:t>Functionality</w:t>
            </w:r>
          </w:p>
        </w:tc>
      </w:tr>
      <w:tr>
        <w:trPr>
          <w:trHeight w:val="191"/>
        </w:trPr>
        <w:tc>
          <w:tcPr>
            <w:tcW w:w="20" w:type="dxa"/>
            <w:vAlign w:val="bottom"/>
          </w:tcPr>
          <w:p>
            <w:pPr>
              <w:spacing w:after="0"/>
              <w:rPr>
                <w:sz w:val="16"/>
                <w:szCs w:val="16"/>
                <w:color w:val="auto"/>
              </w:rPr>
            </w:pPr>
          </w:p>
        </w:tc>
        <w:tc>
          <w:tcPr>
            <w:tcW w:w="2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Company-Level Configuration</w:t>
            </w:r>
          </w:p>
        </w:tc>
        <w:tc>
          <w:tcPr>
            <w:tcW w:w="140" w:type="dxa"/>
            <w:vAlign w:val="bottom"/>
          </w:tcPr>
          <w:p>
            <w:pPr>
              <w:spacing w:after="0"/>
              <w:rPr>
                <w:sz w:val="16"/>
                <w:szCs w:val="16"/>
                <w:color w:val="auto"/>
              </w:rPr>
            </w:pPr>
          </w:p>
        </w:tc>
        <w:tc>
          <w:tcPr>
            <w:tcW w:w="8360" w:type="dxa"/>
            <w:vAlign w:val="bottom"/>
          </w:tcPr>
          <w:p>
            <w:pPr>
              <w:spacing w:after="0" w:line="191"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Real time ability to add, delete and modify client-specific payroll settings, including departments, job codes,</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earnings, deductions, taxes and garnishments</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Ability to create customized payroll earning or deduction code calculations, 401(k) match calculations and labor</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cost allocations</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Ability to configure payroll audits that identify potential errors prior to finishing payroll, such as paying the</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same employee twice</w:t>
            </w: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Configurable Templates</w:t>
            </w: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Combination of standard and modifiable templates powered by highly-flexible drag-and-drop technology</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Standard templates such as new hire, job change, leave of absence and termination templates</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Enables users to configure user interface to efficiently align to organizations’ business processes</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Ability to require additional data, add default values and insert new custom fields increases accuracy and</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consistency of data across the platform</w:t>
            </w: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 Checklists</w:t>
            </w: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Allows users to track critical steps in hiring and other processes</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Triggers reports and notification emails to track critical steps and informs users when tasks are complete</w:t>
            </w: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Advanced Reporting</w:t>
            </w: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Easy-to-use, powerful reporting dashboard enables users to design and create ad-hoc reports or rely on over 100</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standard reports</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Ability to generate a variety of pre-process reports via report library and report writer</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Real-time report generation, including the ability to automatically schedule reports to run on a user-defined</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frequency</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Point-in-time reporting, including comparative analysis over multiple periods, allowing users to view data from</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any time in history</w:t>
            </w: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HR Insight and Analytics</w:t>
            </w: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Provides a dashboard view into critical HR metrics such as headcount and employee turnover</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Users can choose between different types of graphical display or export the information to spreadsheets or other</w:t>
            </w:r>
          </w:p>
        </w:tc>
      </w:tr>
      <w:tr>
        <w:trPr>
          <w:trHeight w:val="234"/>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documents</w:t>
            </w:r>
          </w:p>
        </w:tc>
      </w:tr>
    </w:tbl>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Paylocity HR</w:t>
      </w:r>
    </w:p>
    <w:p>
      <w:pPr>
        <w:spacing w:after="0" w:line="13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Paylocity HR provides a set of core HR capabilities designed to improve HR compliance, enhance reporting capabilities and reduce the amount of time necessary to manage employee information.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9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Feature</w:t>
            </w:r>
          </w:p>
        </w:tc>
        <w:tc>
          <w:tcPr>
            <w:tcW w:w="140" w:type="dxa"/>
            <w:vAlign w:val="bottom"/>
          </w:tcPr>
          <w:p>
            <w:pPr>
              <w:spacing w:after="0"/>
              <w:rPr>
                <w:sz w:val="20"/>
                <w:szCs w:val="20"/>
                <w:color w:val="auto"/>
              </w:rPr>
            </w:pPr>
          </w:p>
        </w:tc>
        <w:tc>
          <w:tcPr>
            <w:tcW w:w="8360" w:type="dxa"/>
            <w:vAlign w:val="bottom"/>
            <w:tcBorders>
              <w:bottom w:val="single" w:sz="8" w:color="auto"/>
            </w:tcBorders>
          </w:tcPr>
          <w:p>
            <w:pPr>
              <w:ind w:left="3660"/>
              <w:spacing w:after="0"/>
              <w:rPr>
                <w:sz w:val="20"/>
                <w:szCs w:val="20"/>
                <w:color w:val="auto"/>
              </w:rPr>
            </w:pPr>
            <w:r>
              <w:rPr>
                <w:rFonts w:ascii="Times New Roman" w:cs="Times New Roman" w:eastAsia="Times New Roman" w:hAnsi="Times New Roman"/>
                <w:sz w:val="18"/>
                <w:szCs w:val="18"/>
                <w:b w:val="1"/>
                <w:bCs w:val="1"/>
                <w:color w:val="auto"/>
              </w:rPr>
              <w:t>Functionality</w:t>
            </w:r>
          </w:p>
        </w:tc>
      </w:tr>
      <w:tr>
        <w:trPr>
          <w:trHeight w:val="191"/>
        </w:trPr>
        <w:tc>
          <w:tcPr>
            <w:tcW w:w="20" w:type="dxa"/>
            <w:vAlign w:val="bottom"/>
          </w:tcPr>
          <w:p>
            <w:pPr>
              <w:spacing w:after="0"/>
              <w:rPr>
                <w:sz w:val="16"/>
                <w:szCs w:val="16"/>
                <w:color w:val="auto"/>
              </w:rPr>
            </w:pPr>
          </w:p>
        </w:tc>
        <w:tc>
          <w:tcPr>
            <w:tcW w:w="2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Employee Record Management</w:t>
            </w:r>
          </w:p>
        </w:tc>
        <w:tc>
          <w:tcPr>
            <w:tcW w:w="140" w:type="dxa"/>
            <w:vAlign w:val="bottom"/>
          </w:tcPr>
          <w:p>
            <w:pPr>
              <w:spacing w:after="0"/>
              <w:rPr>
                <w:sz w:val="16"/>
                <w:szCs w:val="16"/>
                <w:color w:val="auto"/>
              </w:rPr>
            </w:pPr>
          </w:p>
        </w:tc>
        <w:tc>
          <w:tcPr>
            <w:tcW w:w="8360" w:type="dxa"/>
            <w:vAlign w:val="bottom"/>
          </w:tcPr>
          <w:p>
            <w:pPr>
              <w:spacing w:after="0" w:line="191"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Manage payroll deductions for employee benefit plans such as health and 401(k)</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Automated employee time-off requests</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Track employee skills, events, education and prior employment</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Store employee documentation electronically</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Record and track company property issued to employees</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Ability to add custom fields to track additional employee related information</w:t>
            </w: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HR Compliance and Reporting</w:t>
            </w: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Interactive employee organizational chart</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Family Medical Leave Act (FMLA) tracking</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Equal Employment Opportunity (EEO) reporting</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Occupational Safety &amp; Health Administration (OSHA) tracking</w:t>
            </w:r>
          </w:p>
        </w:tc>
      </w:tr>
      <w:tr>
        <w:trPr>
          <w:trHeight w:val="234"/>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Consolidated Omnibus Budget Reconciliation Act (COBRA) tracking</w:t>
            </w:r>
          </w:p>
        </w:tc>
      </w:tr>
    </w:tbl>
    <w:p>
      <w:pPr>
        <w:sectPr>
          <w:pgSz w:w="11900" w:h="16838" w:orient="portrait"/>
          <w:cols w:equalWidth="0" w:num="1">
            <w:col w:w="11420"/>
          </w:cols>
          <w:pgMar w:left="240" w:top="241" w:right="239" w:bottom="0" w:gutter="0" w:footer="0" w:header="0"/>
        </w:sectPr>
      </w:pPr>
    </w:p>
    <w:bookmarkStart w:id="5" w:name="page6"/>
    <w:bookmarkEnd w:id="5"/>
    <w:p>
      <w:pPr>
        <w:ind w:left="3320" w:hanging="260"/>
        <w:spacing w:after="0"/>
        <w:tabs>
          <w:tab w:leader="none" w:pos="3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VETS 100/100A reporting</w:t>
      </w:r>
    </w:p>
    <w:p>
      <w:pPr>
        <w:spacing w:after="0" w:line="27" w:lineRule="exact"/>
        <w:rPr>
          <w:rFonts w:ascii="Times New Roman" w:cs="Times New Roman" w:eastAsia="Times New Roman" w:hAnsi="Times New Roman"/>
          <w:sz w:val="14"/>
          <w:szCs w:val="14"/>
          <w:color w:val="auto"/>
        </w:rPr>
      </w:pPr>
    </w:p>
    <w:p>
      <w:pPr>
        <w:ind w:left="3320" w:hanging="260"/>
        <w:spacing w:after="0"/>
        <w:tabs>
          <w:tab w:leader="none" w:pos="3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Workers’ compensation tracking and reporting</w:t>
      </w:r>
    </w:p>
    <w:p>
      <w:pPr>
        <w:spacing w:after="0" w:line="9" w:lineRule="exact"/>
        <w:rPr>
          <w:rFonts w:ascii="Times New Roman" w:cs="Times New Roman" w:eastAsia="Times New Roman" w:hAnsi="Times New Roman"/>
          <w:sz w:val="14"/>
          <w:szCs w:val="14"/>
          <w:color w:val="auto"/>
        </w:rPr>
      </w:pPr>
    </w:p>
    <w:p>
      <w:pPr>
        <w:ind w:left="3320" w:hanging="260"/>
        <w:spacing w:after="0"/>
        <w:tabs>
          <w:tab w:leader="none" w:pos="3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I-9 verification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Paylocity Affordable Care Act Enhanced</w:t>
      </w:r>
    </w:p>
    <w:p>
      <w:pPr>
        <w:spacing w:after="0" w:line="135"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Paylocity Affordable Care Act Enhanced (ACA Enhanced), released and available to our clients in our 2016 fiscal year, provides compliance and reporting for the Affordable Care Act (ACA). ACA Enhanced automates form capture, preparation and filing of forms 1094-C and 1095-C and provides a compliance solution via enhanced dashboards, reporting, alerts and notifications.</w:t>
      </w:r>
    </w:p>
    <w:p>
      <w:pPr>
        <w:spacing w:after="0" w:line="1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Paylocity Impressions</w:t>
      </w:r>
    </w:p>
    <w:p>
      <w:pPr>
        <w:spacing w:after="0" w:line="13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Paylocity Impressions is our advanced social media feature designed to integrate peer-to-peer collaboration and recognition into our solution, giving employees the ability to recognize each other and provide immediate feedback through virtually any device having Internet access. Paylocity Impressions helps to provide timely, meaningful recognition and promotes repeat positive behaviors among employees. Administrators have the ability to give their employees the option to post their accomplishments on their employee profiles to share with co-workers and other members of the organization. Employees can also be given the option to self-manage their profiles as well as update images and link to social sites such as LinkedIn, Twitter and Facebook. We believe that this functionality delivers a unique and modern solution to managing employee recognition programs.</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 Management</w:t>
      </w:r>
    </w:p>
    <w:p>
      <w:pPr>
        <w:spacing w:after="0" w:line="13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Performance Management is designed to bring ease and convenience to the employee performance appraisal process and to give employees the opportunity to participate in their performance review and be more engaged in their professional development. Employee reviews and appraisals throughout the organization are stored and analyzed in a single system. Key features of Performance Management include: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9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Feature</w:t>
            </w:r>
          </w:p>
        </w:tc>
        <w:tc>
          <w:tcPr>
            <w:tcW w:w="140" w:type="dxa"/>
            <w:vAlign w:val="bottom"/>
          </w:tcPr>
          <w:p>
            <w:pPr>
              <w:spacing w:after="0"/>
              <w:rPr>
                <w:sz w:val="20"/>
                <w:szCs w:val="20"/>
                <w:color w:val="auto"/>
              </w:rPr>
            </w:pPr>
          </w:p>
        </w:tc>
        <w:tc>
          <w:tcPr>
            <w:tcW w:w="8360" w:type="dxa"/>
            <w:vAlign w:val="bottom"/>
            <w:tcBorders>
              <w:bottom w:val="single" w:sz="8" w:color="auto"/>
            </w:tcBorders>
          </w:tcPr>
          <w:p>
            <w:pPr>
              <w:ind w:left="3660"/>
              <w:spacing w:after="0"/>
              <w:rPr>
                <w:sz w:val="20"/>
                <w:szCs w:val="20"/>
                <w:color w:val="auto"/>
              </w:rPr>
            </w:pPr>
            <w:r>
              <w:rPr>
                <w:rFonts w:ascii="Times New Roman" w:cs="Times New Roman" w:eastAsia="Times New Roman" w:hAnsi="Times New Roman"/>
                <w:sz w:val="18"/>
                <w:szCs w:val="18"/>
                <w:b w:val="1"/>
                <w:bCs w:val="1"/>
                <w:color w:val="auto"/>
              </w:rPr>
              <w:t>Functionality</w:t>
            </w:r>
          </w:p>
        </w:tc>
      </w:tr>
      <w:tr>
        <w:trPr>
          <w:trHeight w:val="191"/>
        </w:trPr>
        <w:tc>
          <w:tcPr>
            <w:tcW w:w="20" w:type="dxa"/>
            <w:vAlign w:val="bottom"/>
          </w:tcPr>
          <w:p>
            <w:pPr>
              <w:spacing w:after="0"/>
              <w:rPr>
                <w:sz w:val="16"/>
                <w:szCs w:val="16"/>
                <w:color w:val="auto"/>
              </w:rPr>
            </w:pPr>
          </w:p>
        </w:tc>
        <w:tc>
          <w:tcPr>
            <w:tcW w:w="2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Reviews</w:t>
            </w:r>
          </w:p>
        </w:tc>
        <w:tc>
          <w:tcPr>
            <w:tcW w:w="140" w:type="dxa"/>
            <w:vAlign w:val="bottom"/>
          </w:tcPr>
          <w:p>
            <w:pPr>
              <w:spacing w:after="0"/>
              <w:rPr>
                <w:sz w:val="16"/>
                <w:szCs w:val="16"/>
                <w:color w:val="auto"/>
              </w:rPr>
            </w:pPr>
          </w:p>
        </w:tc>
        <w:tc>
          <w:tcPr>
            <w:tcW w:w="8360" w:type="dxa"/>
            <w:vAlign w:val="bottom"/>
          </w:tcPr>
          <w:p>
            <w:pPr>
              <w:spacing w:after="0" w:line="191"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Provides the ability for employees and managers to complete online reviews, add comments and sign off on</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completed reviews</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Includes automated workflow at each step of the review process with ability for HR administrators to review</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provide feedback prior to final approval</w:t>
            </w: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360° Feedback</w:t>
            </w: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Provides the ability to access feedback from employees across the organization to receive input on employee</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performance and accomplishments</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Enables year-round or point-in-time 360° feedback</w:t>
            </w: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Goals Management</w:t>
            </w: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Manages employee goals and appraisals in a single place to reduce the time required to navigate between</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screens</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Allows specific goals to be displayed on the performance review for increased employee focus and</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development</w:t>
            </w: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Assigns goals specific to employees based on skill level and other factors</w:t>
            </w: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Self-Service Set-Up</w:t>
            </w: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Provides the ability to determine and control key success factors</w:t>
            </w:r>
          </w:p>
        </w:tc>
      </w:tr>
      <w:tr>
        <w:trPr>
          <w:trHeight w:val="234"/>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Provides the ability to create review forms and set review notification date reminders</w:t>
            </w:r>
          </w:p>
        </w:tc>
      </w:tr>
    </w:tbl>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Self-Service HR Portals</w:t>
      </w:r>
    </w:p>
    <w:p>
      <w:pPr>
        <w:spacing w:after="0" w:line="13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Self-Service HR Portals are designed to extend our solutions’ functionality by giving employees and managers secure and real-time access to critical payroll and HR information. Self-Service HR Portals help to improve communication within clients’ organizations with such tasks as reviewing time-off requests, scheduling and benefits enrollment. Self-Service HR Portals also provide the ability to post and manage company news items, add reminders, create custom web pages, view organizational charts and download videos.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9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Feature</w:t>
            </w:r>
          </w:p>
        </w:tc>
        <w:tc>
          <w:tcPr>
            <w:tcW w:w="140" w:type="dxa"/>
            <w:vAlign w:val="bottom"/>
          </w:tcPr>
          <w:p>
            <w:pPr>
              <w:spacing w:after="0"/>
              <w:rPr>
                <w:sz w:val="20"/>
                <w:szCs w:val="20"/>
                <w:color w:val="auto"/>
              </w:rPr>
            </w:pPr>
          </w:p>
        </w:tc>
        <w:tc>
          <w:tcPr>
            <w:tcW w:w="8360" w:type="dxa"/>
            <w:vAlign w:val="bottom"/>
            <w:tcBorders>
              <w:bottom w:val="single" w:sz="8" w:color="auto"/>
            </w:tcBorders>
          </w:tcPr>
          <w:p>
            <w:pPr>
              <w:ind w:left="3660"/>
              <w:spacing w:after="0"/>
              <w:rPr>
                <w:sz w:val="20"/>
                <w:szCs w:val="20"/>
                <w:color w:val="auto"/>
              </w:rPr>
            </w:pPr>
            <w:r>
              <w:rPr>
                <w:rFonts w:ascii="Times New Roman" w:cs="Times New Roman" w:eastAsia="Times New Roman" w:hAnsi="Times New Roman"/>
                <w:sz w:val="18"/>
                <w:szCs w:val="18"/>
                <w:b w:val="1"/>
                <w:bCs w:val="1"/>
                <w:color w:val="auto"/>
              </w:rPr>
              <w:t>Functionality</w:t>
            </w:r>
          </w:p>
        </w:tc>
        <w:tc>
          <w:tcPr>
            <w:tcW w:w="4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Employee Self-Service Portal</w:t>
            </w:r>
          </w:p>
        </w:tc>
        <w:tc>
          <w:tcPr>
            <w:tcW w:w="140" w:type="dxa"/>
            <w:vAlign w:val="bottom"/>
          </w:tcPr>
          <w:p>
            <w:pPr>
              <w:spacing w:after="0"/>
              <w:rPr>
                <w:sz w:val="16"/>
                <w:szCs w:val="16"/>
                <w:color w:val="auto"/>
              </w:rPr>
            </w:pPr>
          </w:p>
        </w:tc>
        <w:tc>
          <w:tcPr>
            <w:tcW w:w="8360" w:type="dxa"/>
            <w:vAlign w:val="bottom"/>
          </w:tcPr>
          <w:p>
            <w:pPr>
              <w:spacing w:after="0" w:line="191"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Full online and mobile access through virtually any device having Internet access to individual payroll, HR and</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benefits information</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Provides the ability for administrators to communicate company news, policy changes, such as handbook</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revisions, and to post documents, create custom web pages to communicate with employees</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Administrators can configure portal to link to third-party websites or embed videos</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Allows employees to independently take actions such as clock in and out, make direct deposit changes, email</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check information, access tax forms, request time off, view time-off balances, access the company directory,</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manage contact information</w:t>
            </w:r>
          </w:p>
        </w:tc>
        <w:tc>
          <w:tcPr>
            <w:tcW w:w="40" w:type="dxa"/>
            <w:vAlign w:val="bottom"/>
          </w:tcPr>
          <w:p>
            <w:pPr>
              <w:spacing w:after="0"/>
              <w:rPr>
                <w:sz w:val="18"/>
                <w:szCs w:val="18"/>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Manager Self-Service Portal</w:t>
            </w: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Improves communication among managers and HR and payroll and finance departments</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Provides a single view for managers where they can approve employee changes and requests, manage</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outstanding tasks and easily access employee information</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A workflow engine allows managers to initiate pay rate changes and automatically route changes for approval</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 various levels of the organization</w:t>
            </w: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Allows managers to assign supervisors to both direct and indirect reports</w:t>
            </w:r>
          </w:p>
        </w:tc>
        <w:tc>
          <w:tcPr>
            <w:tcW w:w="40" w:type="dxa"/>
            <w:vAlign w:val="bottom"/>
          </w:tcPr>
          <w:p>
            <w:pPr>
              <w:spacing w:after="0"/>
              <w:rPr>
                <w:sz w:val="20"/>
                <w:szCs w:val="20"/>
                <w:color w:val="auto"/>
              </w:rPr>
            </w:pPr>
          </w:p>
        </w:tc>
      </w:tr>
      <w:tr>
        <w:trPr>
          <w:trHeight w:val="471"/>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500" w:type="dxa"/>
            <w:vAlign w:val="bottom"/>
            <w:gridSpan w:val="2"/>
          </w:tcPr>
          <w:p>
            <w:pPr>
              <w:jc w:val="right"/>
              <w:ind w:right="5572"/>
              <w:spacing w:after="0"/>
              <w:rPr>
                <w:sz w:val="20"/>
                <w:szCs w:val="20"/>
                <w:color w:val="auto"/>
              </w:rPr>
            </w:pPr>
            <w:r>
              <w:rPr>
                <w:rFonts w:ascii="Times New Roman" w:cs="Times New Roman" w:eastAsia="Times New Roman" w:hAnsi="Times New Roman"/>
                <w:sz w:val="22"/>
                <w:szCs w:val="22"/>
                <w:color w:val="auto"/>
              </w:rPr>
              <w:t>6</w:t>
            </w:r>
          </w:p>
        </w:tc>
        <w:tc>
          <w:tcPr>
            <w:tcW w:w="40" w:type="dxa"/>
            <w:vAlign w:val="bottom"/>
          </w:tcPr>
          <w:p>
            <w:pPr>
              <w:spacing w:after="0"/>
              <w:rPr>
                <w:sz w:val="24"/>
                <w:szCs w:val="24"/>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3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Paylocity Web Onboarding</w:t>
      </w:r>
    </w:p>
    <w:p>
      <w:pPr>
        <w:spacing w:after="0" w:line="13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Web Onboarding delivers a seamless approach to new hire onboarding and events management. This solution enables payroll and HR departments to deliver a highly intuitive, mobile-responsive onboarding experience to new hires. For administrators, Web Onboarding reduces the manual effort and processes generally associated with onboarding a new hire. Paylocity’s Onboarding features include:</w:t>
      </w:r>
    </w:p>
    <w:p>
      <w:pPr>
        <w:sectPr>
          <w:pgSz w:w="11900" w:h="16838" w:orient="portrait"/>
          <w:cols w:equalWidth="0" w:num="1">
            <w:col w:w="11460"/>
          </w:cols>
          <w:pgMar w:left="240" w:top="121" w:right="199" w:bottom="0" w:gutter="0" w:footer="0" w:header="0"/>
        </w:sectPr>
      </w:pPr>
    </w:p>
    <w:bookmarkStart w:id="6" w:name="page7"/>
    <w:bookmarkEnd w:id="6"/>
    <w:p>
      <w:pPr>
        <w:ind w:left="940" w:hanging="284"/>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Seamless integration with Paylocity payroll and HCM modules reduces manual entry of new hire data</w:t>
      </w:r>
    </w:p>
    <w:p>
      <w:pPr>
        <w:spacing w:after="0" w:line="27"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responsive design and attractive, intuitive interface, engaging new hires in the process</w:t>
      </w:r>
    </w:p>
    <w:p>
      <w:pPr>
        <w:spacing w:after="0" w:line="9"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events management capabilities, empowering administrators to proactively manage the onboarding process</w:t>
      </w:r>
    </w:p>
    <w:p>
      <w:pPr>
        <w:spacing w:after="0" w:line="9"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level of customization, allowing administrators to tailor tasks and overall experience for new hire</w:t>
      </w:r>
    </w:p>
    <w:p>
      <w:pPr>
        <w:spacing w:after="0" w:line="9"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forms wizard, simplifying the process of completing important tax-related paperwork</w:t>
      </w:r>
    </w:p>
    <w:p>
      <w:pPr>
        <w:spacing w:after="0" w:line="9"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add customized content including welcome message, documents, videos and other company specific information.</w:t>
      </w:r>
    </w:p>
    <w:p>
      <w:pPr>
        <w:spacing w:after="0" w:line="112" w:lineRule="exact"/>
        <w:rPr>
          <w:sz w:val="20"/>
          <w:szCs w:val="20"/>
          <w:color w:val="auto"/>
        </w:rPr>
      </w:pPr>
    </w:p>
    <w:p>
      <w:pPr>
        <w:ind w:left="660" w:right="1080"/>
        <w:spacing w:after="0" w:line="391" w:lineRule="auto"/>
        <w:rPr>
          <w:sz w:val="20"/>
          <w:szCs w:val="20"/>
          <w:color w:val="auto"/>
        </w:rPr>
      </w:pPr>
      <w:r>
        <w:rPr>
          <w:rFonts w:ascii="Times New Roman" w:cs="Times New Roman" w:eastAsia="Times New Roman" w:hAnsi="Times New Roman"/>
          <w:sz w:val="18"/>
          <w:szCs w:val="18"/>
          <w:color w:val="auto"/>
        </w:rPr>
        <w:t xml:space="preserve">Administrators can also build workflows to provide alerts and tasks to other parts of the organization involved in the new hire process. </w:t>
      </w:r>
      <w:r>
        <w:rPr>
          <w:rFonts w:ascii="Times New Roman" w:cs="Times New Roman" w:eastAsia="Times New Roman" w:hAnsi="Times New Roman"/>
          <w:sz w:val="18"/>
          <w:szCs w:val="18"/>
          <w:b w:val="1"/>
          <w:bCs w:val="1"/>
          <w:i w:val="1"/>
          <w:iCs w:val="1"/>
          <w:color w:val="auto"/>
        </w:rPr>
        <w:t>Paylocity Recruiting</w:t>
      </w:r>
    </w:p>
    <w:p>
      <w:pPr>
        <w:spacing w:after="0" w:line="1"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Recruiting is an applicant tracking tool that automates candidate sourcing at critically important steps in the hiring and decision making process including gathering candidate resumes, routing candidate information for decision making, and record retention for consideration for future vacancies. Recruiting’s features include:</w:t>
      </w:r>
    </w:p>
    <w:p>
      <w:pPr>
        <w:spacing w:after="0" w:line="82" w:lineRule="exact"/>
        <w:rPr>
          <w:sz w:val="20"/>
          <w:szCs w:val="20"/>
          <w:color w:val="auto"/>
        </w:rPr>
      </w:pPr>
    </w:p>
    <w:p>
      <w:pPr>
        <w:ind w:left="940" w:hanging="284"/>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Auto-fill of resume information to save time and effort in the candidate’s application process</w:t>
      </w:r>
    </w:p>
    <w:p>
      <w:pPr>
        <w:spacing w:after="0" w:line="27" w:lineRule="exact"/>
        <w:rPr>
          <w:rFonts w:ascii="Times New Roman" w:cs="Times New Roman" w:eastAsia="Times New Roman" w:hAnsi="Times New Roman"/>
          <w:sz w:val="18"/>
          <w:szCs w:val="18"/>
          <w:color w:val="auto"/>
        </w:rPr>
      </w:pPr>
    </w:p>
    <w:p>
      <w:pPr>
        <w:ind w:left="980" w:right="220" w:hanging="324"/>
        <w:spacing w:after="0" w:line="250" w:lineRule="auto"/>
        <w:tabs>
          <w:tab w:leader="none" w:pos="93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Tracking of applicants through the workflow in order to reduce time spent on the recruiting and talent acquisition process. Users quickly know the status of any prospects at critical stages in the process.</w:t>
      </w:r>
    </w:p>
    <w:p>
      <w:pPr>
        <w:ind w:left="940" w:hanging="284"/>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Repository of applicant information and feedback for future reference and sourcing.</w:t>
      </w:r>
    </w:p>
    <w:p>
      <w:pPr>
        <w:spacing w:after="0" w:line="11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Paylocity Recruiting alleviates many of the common challenges organizations face in their pursuit of talent, including prolonged time to source and hire candidates and excessive manual work with too few resources.</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Paylocity Web Time</w:t>
      </w:r>
    </w:p>
    <w:p>
      <w:pPr>
        <w:spacing w:after="0" w:line="13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Paylocity Web Time is a time and attendance solution designed to automate manual processes, improve productivity and help organizations control labor costs. Paylocity Web Time handles such tasks as managing schedules, tracking time and attendance, including overtime, rounding rules, payroll policies, labor allocation and time-off accruals. Paylocity Web Time also notes exceptions such as tardiness, absenteeism and misuse of break or meal periods. Paylocity Web Time is fully integrated with Paylocity Web Pay giving supervisors and employees a single point of entry into the system and automatic set-up of employee records and policies. Paylocity Web Time also provides the ability to select from a wide variety of biometric and bar code hardware options to track employees’ time. We believe this integration helps organizations reduce redundant processes, improve data accuracy, reduce leave liability and improve tracking capabilities.</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Paylocity Web Benefits and Paylocity Enterprise Benefits, Powered by bswift</w:t>
      </w:r>
    </w:p>
    <w:p>
      <w:pPr>
        <w:spacing w:after="0" w:line="13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Paylocity Web Benefits and Paylocity Enterprise Benefits, Powered by bswift are benefit management solutions that integrate with insurance carrier systems to provide automated administrative processes and allows users to choose benefit elections and make life event changes online, summarize benefit elections and perform other similar benefit-related tasks. These solutions also enable premium reconciliation, management of voluntary benefits and advanced reporting. Both Web Benefits and Paylocity Enterprise Benefits integrate seamlessly with Paylocity’s Web Pay. Web Benefits features include:</w:t>
      </w:r>
    </w:p>
    <w:p>
      <w:pPr>
        <w:spacing w:after="0" w:line="86" w:lineRule="exact"/>
        <w:rPr>
          <w:sz w:val="20"/>
          <w:szCs w:val="20"/>
          <w:color w:val="auto"/>
        </w:rPr>
      </w:pPr>
    </w:p>
    <w:p>
      <w:pPr>
        <w:ind w:left="940" w:hanging="284"/>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Self-Service Enrollment Portal, designed to perform on mobile devices as well as desktops and laptops</w:t>
      </w:r>
    </w:p>
    <w:p>
      <w:pPr>
        <w:spacing w:after="0" w:line="27"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Automated employee deductions updates in Web Pay</w:t>
      </w:r>
    </w:p>
    <w:p>
      <w:pPr>
        <w:spacing w:after="0" w:line="9"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Customizable enrollment portal content (text, links, documents, logos)</w:t>
      </w:r>
    </w:p>
    <w:p>
      <w:pPr>
        <w:spacing w:after="0" w:line="9"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on employee enrollment status and enrollment summary</w:t>
      </w:r>
    </w:p>
    <w:p>
      <w:pPr>
        <w:spacing w:after="0" w:line="9" w:lineRule="exact"/>
        <w:rPr>
          <w:rFonts w:ascii="Times New Roman" w:cs="Times New Roman" w:eastAsia="Times New Roman" w:hAnsi="Times New Roman"/>
          <w:sz w:val="18"/>
          <w:szCs w:val="18"/>
          <w:color w:val="auto"/>
        </w:rPr>
      </w:pPr>
    </w:p>
    <w:p>
      <w:pPr>
        <w:ind w:left="980" w:right="660" w:hanging="324"/>
        <w:spacing w:after="0" w:line="250" w:lineRule="auto"/>
        <w:tabs>
          <w:tab w:leader="none" w:pos="93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Configurable Medical, Dental and Vision benefit plans, Reimbursement benefit plans (HAS, DCRA, HCRA), Life benefits plans (Basic, Voluntary, AD&amp;D), Long-term and Short-term disability</w:t>
      </w:r>
    </w:p>
    <w:p>
      <w:pPr>
        <w:ind w:left="940" w:hanging="284"/>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Data Interchange (EDI) support for insurance carriers</w:t>
      </w:r>
    </w:p>
    <w:p>
      <w:pPr>
        <w:spacing w:after="0" w:line="11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Paylocity Web Benefits features an intuitive design to make benefits enrollment a simple and straightforward activity for the employee and reduce the overall time and energy payroll and HR administrators spend managing benefits enrollment.</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Implementation and Client Services</w:t>
      </w:r>
    </w:p>
    <w:p>
      <w:pPr>
        <w:spacing w:after="0" w:line="135"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Delivering our clients a positive experience is an essential element of our ability to sell our solutions and retain our clients. We provide our clients with a single point-of-contact supplemented by teams with deep technical and subject matter expertise. The single point of contact allows our account managers to better understand our clients’ needs, which we believe strengthens our client relationships.</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Implementation and Training Services</w:t>
      </w:r>
    </w:p>
    <w:p>
      <w:pPr>
        <w:spacing w:after="0" w:line="13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Our clients are medium-sized organizations that are typically migrating to our platform from a competitive solution or are adopting an online payroll and HCM solution for the first time. These organizations often have limited internal resources and generally rely on us to implement our solutions.</w:t>
      </w:r>
    </w:p>
    <w:p>
      <w:pPr>
        <w:spacing w:after="0" w:line="6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typically implement our Paylocity Web Pay product within only three to four weeks, and any additional products thereafter, as requested by the client. Each client is guided through the implementation process by an implementation consultant who serves as a single point-of-contact for all implementation matters. We believe our ability to rapidly implement our solutions is principally due to the combination of our emphasis on engagement with the client, our standardized methodology, our cloud-based architecture and our highly-configurable, easy-to-use products.</w:t>
      </w:r>
    </w:p>
    <w:p>
      <w:pPr>
        <w:spacing w:after="0" w:line="8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offer our clients the opportunity to participate in formal training designed to increase their ability to further utilize the functionality of our products within their organizations. Our training courses are designed to enable selected employees of our clients to develop expertise in our solutions and act as a first-level support resource for their colleagues.</w:t>
      </w:r>
    </w:p>
    <w:p>
      <w:pPr>
        <w:spacing w:after="0" w:line="8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 order to ensure client satisfaction, a team of client service representatives conducts a comprehensive audit of a client’s account after the client has completed the implementation process. Thereafter, the client is transitioned to our client service team.</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Client Service</w:t>
      </w:r>
    </w:p>
    <w:p>
      <w:pPr>
        <w:spacing w:after="0" w:line="13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Our client service model is designed to serve the needs of medium-sized organizations and to build loyalty by developing strong relationships with our clients. We strive to achieve high revenue retention, in part, by delivering high-quality service. Our revenue retention was greater than 92% in each of fiscal 2014, 2015 and 2016.</w:t>
      </w:r>
    </w:p>
    <w:p>
      <w:pPr>
        <w:sectPr>
          <w:pgSz w:w="11900" w:h="16838" w:orient="portrait"/>
          <w:cols w:equalWidth="0" w:num="1">
            <w:col w:w="11420"/>
          </w:cols>
          <w:pgMar w:left="240" w:top="121" w:right="239" w:bottom="0" w:gutter="0" w:footer="0" w:header="0"/>
        </w:sectPr>
      </w:pPr>
    </w:p>
    <w:bookmarkStart w:id="7" w:name="page8"/>
    <w:bookmarkEnd w:id="7"/>
    <w:p>
      <w:pPr>
        <w:spacing w:after="0" w:line="1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Each client is assigned an account manager who serves as the central point-of-contact for any questions or support needs. We believe this approach enhances our client service by providing each client with a single person who understands the client’s business, responds quickly and is accountable for the client experience. Our account managers are supplemented by teams with deep technical and subject matter expertise who help to expediently and effectively address client needs. We also proactively solicit client feedback through ongoing surveys from which we receive actionable feedback that we use to enhance our client service processes.</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Tax and Regulatory Services</w:t>
      </w:r>
    </w:p>
    <w:p>
      <w:pPr>
        <w:spacing w:after="0" w:line="13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software contains a rules engine designed to make accurate tax calculations that is continually updated to support all pertinent legislative changes across all U.S. jurisdictions. Our tax filing service provides a variety of solutions to our clients including processing payroll tax deposits, preparing and filing quarterly and annual tax returns and amendments and resolving client tax notices.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Clients</w:t>
      </w:r>
    </w:p>
    <w:p>
      <w:pPr>
        <w:spacing w:after="0" w:line="13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As of June 30, 2016, we provided our solutions to approximately 12,500 clients in all U.S states. Although many clients have multiple divisions, segments or locations, we only count such clients once for these purposes.</w:t>
      </w:r>
    </w:p>
    <w:p>
      <w:pPr>
        <w:spacing w:after="0" w:line="6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clients include for-profit and non-profit organizations across industries including business services, financial services, healthcare, manufacturing, restaurants, retail, technology and others. For each of the three years ended June 30, 2014, 2015 and 2016, no client accounted for more than 1% of our revenues.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35"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We market and sell our products and services primarily through our direct sales force. Our direct sales force includes sales representatives who have defined geographic territories throughout the U.S. We seek to hire experienced sales representatives wherever they are located, and believe we have room to grow the number of sales representatives in each of our territories.</w:t>
      </w:r>
    </w:p>
    <w:p>
      <w:pPr>
        <w:spacing w:after="0" w:line="8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sales cycle begins with a sales lead generated by the sales representative through our third-party referral network, a client referral, our telemarketing team, our external website, e-mail marketing or territory- based activities. Through one or more on-site visits, phone-based sales calls, or web demonstrations, sales representatives perform in-depth analysis of prospective clients’ needs and demonstrate our solutions. We employ sophisticated software to track, classify and manage our sales representatives’ pipeline of potential clients. We support our sales force with a marketing program that includes seminars and webinars, email marketing, social media marketing, broker events and web marketing.</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Referral Network</w:t>
      </w:r>
    </w:p>
    <w:p>
      <w:pPr>
        <w:spacing w:after="0" w:line="13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a core element of our business strategy, we have developed a referral network of third-party service providers, including 401(k) advisors, benefits administrators, insurance brokers, third-party administrators and HR consultants, that recommend our solutions and provide referrals. Our referral network has become an increasingly important component of our sales process, and in fiscal 2016, greater than 30% of our new client revenue originated by referrals from participants in our referral network.</w:t>
      </w:r>
    </w:p>
    <w:p>
      <w:pPr>
        <w:spacing w:after="0" w:line="8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believe participants in our referral network refer potential clients to us because we do not provide services that compete with their own and because we offer third parties the ability to integrate their systems with our platform. Unlike other payroll and HCM solution providers who also provide retirement plans, health insurance and other products and services competitive with the offerings of the participants in our referral network, we focus only on our core business of providing cloud-based payroll and HCM solutions. In some cases we have formalized relationships in which we are a recommended vendor of these participants. In other cases, our relationships are informal. We typically do not compensate these participants for referrals.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 Ecosystem</w:t>
      </w:r>
    </w:p>
    <w:p>
      <w:pPr>
        <w:spacing w:after="0" w:line="13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have developed a partner ecosystem of third-party systems, such as 401(k), benefits and insurance provider systems, with whom we provide automated data integration for our clients. These third-party providers require certain financial information from their clients in order to efficiently provide their respective services. After securing authorization from the client, we exchange payroll data with these providers. In turn, these third-party providers supply data to us, which allows us to deliver comprehensive benefit management services to our clients. We believe our ability to integrate our systems with those of these partners adds value to our mutual clients and to our partners.</w:t>
      </w:r>
    </w:p>
    <w:p>
      <w:pPr>
        <w:spacing w:after="0" w:line="8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have also developed our solutions to integrate with a variety of other systems used by our clients, such as accounting, point of sale, banking, expense management, recruiting, background screening and skills assessment solutions. We believe our clients benefit from an integrated and seamless solution.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35"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We offer our solutions on a cloud-based platform that leverages a unified database architecture and a common code base that we organically developed. Clients do not need to install our software in their data centers and can access our solutions through any mobile device or web browser with Internet access.</w:t>
      </w:r>
    </w:p>
    <w:p>
      <w:pPr>
        <w:spacing w:after="0" w:line="80" w:lineRule="exact"/>
        <w:rPr>
          <w:sz w:val="20"/>
          <w:szCs w:val="20"/>
          <w:color w:val="auto"/>
        </w:rPr>
      </w:pPr>
    </w:p>
    <w:p>
      <w:pPr>
        <w:ind w:left="980" w:right="120" w:hanging="324"/>
        <w:spacing w:after="0" w:line="284" w:lineRule="auto"/>
        <w:tabs>
          <w:tab w:leader="none" w:pos="94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i w:val="1"/>
          <w:iCs w:val="1"/>
          <w:color w:val="auto"/>
        </w:rPr>
        <w:t xml:space="preserve">Multi-Tenant Architecture. </w:t>
      </w:r>
      <w:r>
        <w:rPr>
          <w:rFonts w:ascii="Times New Roman" w:cs="Times New Roman" w:eastAsia="Times New Roman" w:hAnsi="Times New Roman"/>
          <w:sz w:val="18"/>
          <w:szCs w:val="18"/>
          <w:color w:val="auto"/>
        </w:rPr>
        <w:t>Our software solutions were designed with a multi-tenant architecture. This architecture gives us an advantage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many disparate traditional systems which are less flexible and require longer and more costly development and upgrade cycles.</w:t>
      </w:r>
    </w:p>
    <w:p>
      <w:pPr>
        <w:spacing w:after="0" w:line="63" w:lineRule="exact"/>
        <w:rPr>
          <w:rFonts w:ascii="Times New Roman" w:cs="Times New Roman" w:eastAsia="Times New Roman" w:hAnsi="Times New Roman"/>
          <w:sz w:val="14"/>
          <w:szCs w:val="14"/>
          <w:color w:val="auto"/>
        </w:rPr>
      </w:pPr>
    </w:p>
    <w:p>
      <w:pPr>
        <w:ind w:left="980" w:right="160" w:hanging="324"/>
        <w:spacing w:after="0" w:line="261" w:lineRule="auto"/>
        <w:tabs>
          <w:tab w:leader="none" w:pos="94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i w:val="1"/>
          <w:iCs w:val="1"/>
          <w:color w:val="auto"/>
        </w:rPr>
        <w:t xml:space="preserve">Mobile Focused. </w:t>
      </w:r>
      <w:r>
        <w:rPr>
          <w:rFonts w:ascii="Times New Roman" w:cs="Times New Roman" w:eastAsia="Times New Roman" w:hAnsi="Times New Roman"/>
          <w:sz w:val="18"/>
          <w:szCs w:val="18"/>
          <w:color w:val="auto"/>
        </w:rPr>
        <w:t>We employ mobile-centric principles in our solution design and development. We believe that the increasing mobility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heightens the importance of access to our solutions through mobile devices, including smart phones and tablets. Our mobile experience provides our clients and their employees with access to our solutions through virtually any device having Internet access. We bring the flexibility of a secure, cloud-based solution to users without the need to access a traditional desktop or laptop computer.</w:t>
      </w:r>
    </w:p>
    <w:p>
      <w:pPr>
        <w:spacing w:after="0" w:line="85" w:lineRule="exact"/>
        <w:rPr>
          <w:rFonts w:ascii="Times New Roman" w:cs="Times New Roman" w:eastAsia="Times New Roman" w:hAnsi="Times New Roman"/>
          <w:sz w:val="14"/>
          <w:szCs w:val="14"/>
          <w:color w:val="auto"/>
        </w:rPr>
      </w:pPr>
    </w:p>
    <w:p>
      <w:pPr>
        <w:ind w:left="980" w:right="240" w:hanging="324"/>
        <w:spacing w:after="0" w:line="282" w:lineRule="auto"/>
        <w:tabs>
          <w:tab w:leader="none" w:pos="94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i w:val="1"/>
          <w:iCs w:val="1"/>
          <w:color w:val="auto"/>
        </w:rPr>
        <w:t xml:space="preserve">Security. </w:t>
      </w:r>
      <w:r>
        <w:rPr>
          <w:rFonts w:ascii="Times New Roman" w:cs="Times New Roman" w:eastAsia="Times New Roman" w:hAnsi="Times New Roman"/>
          <w:sz w:val="17"/>
          <w:szCs w:val="17"/>
          <w:color w:val="auto"/>
        </w:rPr>
        <w:t>We maintain comprehensive security programs designed to ensure the security and integrity of client and employee data, protect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against security threats or data breaches and prevent unauthorized access. We regulate and limit all access to servers and networks at our data centers. Our systems are monitored for irregular or suspicious activity, and we have dedicated internal staff perform security assessments for each release. Our systems undergo regular penetration testing and source code reviews by an independent third-party security firm.</w:t>
      </w:r>
    </w:p>
    <w:p>
      <w:pPr>
        <w:spacing w:after="0" w:line="69" w:lineRule="exact"/>
        <w:rPr>
          <w:sz w:val="20"/>
          <w:szCs w:val="20"/>
          <w:color w:val="auto"/>
        </w:rPr>
      </w:pPr>
    </w:p>
    <w:p>
      <w:pPr>
        <w:ind w:right="40" w:firstLine="648"/>
        <w:spacing w:after="0" w:line="313" w:lineRule="auto"/>
        <w:rPr>
          <w:sz w:val="20"/>
          <w:szCs w:val="20"/>
          <w:color w:val="auto"/>
        </w:rPr>
      </w:pPr>
      <w:r>
        <w:rPr>
          <w:rFonts w:ascii="Times New Roman" w:cs="Times New Roman" w:eastAsia="Times New Roman" w:hAnsi="Times New Roman"/>
          <w:sz w:val="17"/>
          <w:szCs w:val="17"/>
          <w:color w:val="auto"/>
        </w:rPr>
        <w:t>We host our solutions at our primary data center at our corporate headquarters in Arlington Heights, Illinois. We also utilize data centers at third-party facilities in Franklin Park, Illinois and Kenosha, Wisconsin for backup and disaster recovery. We supply the hardware infrastructure and are responsible</w:t>
      </w:r>
    </w:p>
    <w:p>
      <w:pPr>
        <w:sectPr>
          <w:pgSz w:w="11900" w:h="16849" w:orient="portrait"/>
          <w:cols w:equalWidth="0" w:num="1">
            <w:col w:w="11380"/>
          </w:cols>
          <w:pgMar w:left="240" w:top="121" w:right="279"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for the ongoing maintenance of our equipment at all data center locations.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3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market for payroll and HCM solutions is fragmented, highly competitive and rapidly changing. Our competitors vary for each of our solutions and include enterprise-focused software providers, such as Ultimate Software Group, Inc., Workday, Inc., SAP AG, Oracle Corporation and Ceridian Corporation; payroll service providers, such as Automatic Data Processing, Inc., Paychex, Inc., Paycom Software, Inc., Paycor, Inc. and other regional providers; and HCM point solutions providers, such as Cornerstone OnDemand, Inc.</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principal competitive factors on which we compete in our market include the following:</w:t>
      </w:r>
    </w:p>
    <w:p>
      <w:pPr>
        <w:spacing w:after="0" w:line="131" w:lineRule="exact"/>
        <w:rPr>
          <w:sz w:val="20"/>
          <w:szCs w:val="20"/>
          <w:color w:val="auto"/>
        </w:rPr>
      </w:pPr>
    </w:p>
    <w:p>
      <w:pPr>
        <w:ind w:left="940" w:hanging="284"/>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medium-sized organizations;</w:t>
      </w:r>
    </w:p>
    <w:p>
      <w:pPr>
        <w:spacing w:after="0" w:line="130"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product functionality;</w:t>
      </w:r>
    </w:p>
    <w:p>
      <w:pPr>
        <w:spacing w:after="0" w:line="130"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Configurability and ease of use of our solutions;</w:t>
      </w:r>
    </w:p>
    <w:p>
      <w:pPr>
        <w:spacing w:after="0" w:line="130"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Modern, intuitive user experience;</w:t>
      </w:r>
    </w:p>
    <w:p>
      <w:pPr>
        <w:spacing w:after="0" w:line="130"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of a cloud-based technology platform;</w:t>
      </w:r>
    </w:p>
    <w:p>
      <w:pPr>
        <w:spacing w:after="0" w:line="130"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innovate and respond to client needs rapidly;</w:t>
      </w:r>
    </w:p>
    <w:p>
      <w:pPr>
        <w:spacing w:after="0" w:line="130"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Domain expertise in payroll and HCM;</w:t>
      </w:r>
    </w:p>
    <w:p>
      <w:pPr>
        <w:spacing w:after="0" w:line="130"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implementation and client service;</w:t>
      </w:r>
    </w:p>
    <w:p>
      <w:pPr>
        <w:spacing w:after="0" w:line="130"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implementation;</w:t>
      </w:r>
    </w:p>
    <w:p>
      <w:pPr>
        <w:spacing w:after="0" w:line="130"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Real-time web-based payroll processing; and</w:t>
      </w:r>
    </w:p>
    <w:p>
      <w:pPr>
        <w:spacing w:after="0" w:line="130"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with a wide variety of third-party applications and systems.</w:t>
      </w:r>
    </w:p>
    <w:p>
      <w:pPr>
        <w:spacing w:after="0" w:line="131" w:lineRule="exact"/>
        <w:rPr>
          <w:sz w:val="20"/>
          <w:szCs w:val="20"/>
          <w:color w:val="auto"/>
        </w:rPr>
      </w:pPr>
    </w:p>
    <w:p>
      <w:pPr>
        <w:ind w:right="180" w:firstLine="648"/>
        <w:spacing w:after="0" w:line="313" w:lineRule="auto"/>
        <w:rPr>
          <w:sz w:val="20"/>
          <w:szCs w:val="20"/>
          <w:color w:val="auto"/>
        </w:rPr>
      </w:pPr>
      <w:r>
        <w:rPr>
          <w:rFonts w:ascii="Times New Roman" w:cs="Times New Roman" w:eastAsia="Times New Roman" w:hAnsi="Times New Roman"/>
          <w:sz w:val="17"/>
          <w:szCs w:val="17"/>
          <w:color w:val="auto"/>
        </w:rPr>
        <w:t>We believe that we compete favorably on these factors within the medium-sized organization market. We believe our ability to remain competitive will largely depend on the success of our continued investment in sales and marketing, research and development and implementation and client services.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35"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We invest heavily in research and development to continuously introduce new applications, technologies, features and functionality. We are organized in small product-centric teams that utilize an agile development methodology. We focus our efforts on developing new applications and core technologies and on further enhancing the usability, functionality, reliability, performance and flexibility of existing applications.</w:t>
      </w:r>
    </w:p>
    <w:p>
      <w:pPr>
        <w:spacing w:after="0" w:line="8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costs, including research and development costs that were capitalized, were $15.0 million, $24.7 million and $36.3 million for the years ended June 30, 2014, 2015 and 2016, respectively. Our research and development personnel are principally located at our headquarters, although we seek to hire highly experienced personnel wherever they are located.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3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success is dependent, in part, on our ability to protect our proprietary technology and other intellectual property rights. We rely on a combination of trade secrets, copyrights and trademarks, as well as contractual protections to establish and protect our intellectual property rights. We require our employees, consultants and other third parties to enter into confidentiality and proprietary rights agreements and control access to software, documentation and other proprietary information. Although we rely on laws respecting intellectual property rights, including trade secret, copyright and trademark laws, as well as contractual protections to establish and protect our intellectual property rights, we believe that factors such as the technological and creative skills of our personnel, creation of new modules, features and functionality and frequent enhancements to our applications are more essential to establishing and maintaining our technology leadership position.</w:t>
      </w:r>
    </w:p>
    <w:p>
      <w:pPr>
        <w:spacing w:after="0" w:line="9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Despite our efforts to protect our proprietary technology and our intellectual property rights, unauthorized parties may attempt to misappropriate our rights or to copy or obtain and use our proprietary technology to develop applications with the same functionality as our applications. Policing unauthorized use of our technology and intellectual property rights is very difficult.</w:t>
      </w:r>
    </w:p>
    <w:p>
      <w:pPr>
        <w:spacing w:after="0" w:line="8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expect that providers of payroll and HCM solutions such as ours may be subject to third-party infringement claims as the market and the number of competitors grows and the functionality of applications in different industry segments overlaps. Any of these or other third parties might make a claim of infringement against us at any time.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35"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As of June 30, 2016, we had approximately 1,800 full-time employees, of which 620 were in client services and operations, 420 were in client implementation, 365 were in sales and marketing, 250 were in research and development and 145 were in general</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and administrative. None of our employees is represented by a union or is party to a collective bargaining agreement, and we have not experienced any work stoppages. We believe we have good relations with our employees and that our culture benefits our clients and supports our growth. Our management team is committed to maintaining and improving our culture even as we grow rapidly.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ectPr>
          <w:pgSz w:w="11900" w:h="16838" w:orient="portrait"/>
          <w:cols w:equalWidth="0" w:num="1">
            <w:col w:w="11400"/>
          </w:cols>
          <w:pgMar w:left="240" w:top="121" w:right="259" w:bottom="94" w:gutter="0" w:footer="0" w:header="0"/>
        </w:sectPr>
      </w:pPr>
    </w:p>
    <w:bookmarkStart w:id="9" w:name="page10"/>
    <w:bookmarkEnd w:id="9"/>
    <w:p>
      <w:pPr>
        <w:ind w:firstLine="648"/>
        <w:spacing w:after="0" w:line="255" w:lineRule="auto"/>
        <w:rPr>
          <w:sz w:val="20"/>
          <w:szCs w:val="20"/>
          <w:color w:val="auto"/>
        </w:rPr>
      </w:pPr>
      <w:r>
        <w:rPr>
          <w:rFonts w:ascii="Times New Roman" w:cs="Times New Roman" w:eastAsia="Times New Roman" w:hAnsi="Times New Roman"/>
          <w:sz w:val="18"/>
          <w:szCs w:val="18"/>
          <w:color w:val="auto"/>
        </w:rPr>
        <w:t>Our Internet address is www.paylocity.com and our investor relations website is located at http://investors.paylocity.com. We make available free of charge on our investor relations website under the heading “Financials” our Annual Reports on Form 10-K, Quarterly Reports on Form 10-Q, Current Reports on Form 8-K and amendments to those reports as soon as reasonably practicable after such materials are electronically filed with (or furnished to) the SEC. Information contained on our websites is not incorporated by reference into this Annual Report on Form 10-K. In addition, the public may read and copy materials we file with the SEC at the SEC’s Public Reference Room at 100 F Street, NE, Washington, DC 20549. The public may obtain information on the operation of the Public Reference Room by calling the SEC at 1-800-SEC-0330. In addition, the SEC maintains an Internet site, www.sec.gov, that includes filings of and information about issuers that file electronically with the SEC.</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33"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Our business, prospects, financial condition or operating results could be materially adversely affected by any of these risks, as well as other risks not currently known to us or that are currently considered immaterial. The trading price of our common stock could decline due to any of the risks and uncertainties described below, and you may lose all or part of your investment. In assessing these risks, you should also refer to the other information contained in this Annual Report on Form 10-K, including our consolidated financial statements and related notes.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losses in the past, and we may not be able to achieve or sustain profitability for the foreseeable future.</w:t>
      </w:r>
    </w:p>
    <w:p>
      <w:pPr>
        <w:spacing w:after="0" w:line="13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have incurred net losses from time to time. We incurred net losses of $7,110,000, $13,972,000 and $3,851,000 in fiscal 2014, fiscal 2015 and fiscal 2016, respectively. We have been growing our number of clients rapidly, and as we do so, we incur significant sales and marketing, services and other related expenses. Our profitability will be significantly influenced by our ability to attain sufficient scale and productivity to achieve recurring revenues that are sufficient to support the incremental costs to obtain and support new clients. We intend for the foreseeable future to continue to focus predominately on adding new clients, and we cannot predict when we will achieve sustained profitability, if at all. We also expect to make other significant expenditures and investments in research and development to expand and improve our product offerings and technical infrastructure. In addition, as a public company, we have incurred significant legal, accounting and other expenses that we had not incurred as a private company. These increased expenditures have made it harder for us to achieve and maintain profitability. We also may incur losses in the future for a number of other unforeseen reasons. Accordingly, we may incur losses for the foreseeable future.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have fluctuated in the past and may continue to fluctuate, causing the value of our common stock to decline substantially.</w:t>
      </w:r>
    </w:p>
    <w:p>
      <w:pPr>
        <w:spacing w:after="0" w:line="13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quarterly operating results may fluctuate due to a variety of factors, many of which are outside of our control. As a result, comparing our operating results on a period-to-period basis may not be meaningful. Moreover, our stock price might be based on expectations of future performance that are unrealistic or that we might not meet and, if our revenue or operating results fall below such expectations, the price of our common stock could decline substantially.</w:t>
      </w:r>
    </w:p>
    <w:p>
      <w:pPr>
        <w:spacing w:after="0" w:line="8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number of new clients typically increases more during our third fiscal quarter ending March 31 than during the rest of our fiscal year, primarily because many new clients prefer to start using our payroll and human capital management, or HCM, solutions at the beginning of a calendar year. In addition, client funds and year-end activities are traditionally higher during our third fiscal quarter. As a result of these factors, our total revenue and expenses have historically grown disproportionately during our third fiscal quarter as compared to other quarters.</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other risk factors listed in this section, some of the important factors that may cause fluctuations in our quarterly operating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w:t>
      </w:r>
    </w:p>
    <w:p>
      <w:pPr>
        <w:spacing w:after="0" w:line="112" w:lineRule="exact"/>
        <w:rPr>
          <w:sz w:val="20"/>
          <w:szCs w:val="20"/>
          <w:color w:val="auto"/>
        </w:rPr>
      </w:pPr>
    </w:p>
    <w:p>
      <w:pPr>
        <w:ind w:left="1260" w:hanging="280"/>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products achieve or maintain market acceptance;</w:t>
      </w:r>
    </w:p>
    <w:p>
      <w:pPr>
        <w:spacing w:after="0" w:line="13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and enhancements and updates to our existing products on a timely basis;</w:t>
      </w:r>
    </w:p>
    <w:p>
      <w:pPr>
        <w:spacing w:after="0" w:line="13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and the introduction of enhanced products and services from competitors;</w:t>
      </w:r>
    </w:p>
    <w:p>
      <w:pPr>
        <w:spacing w:after="0" w:line="13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 budgets and procurement policies;</w:t>
      </w:r>
    </w:p>
    <w:p>
      <w:pPr>
        <w:spacing w:after="0" w:line="130" w:lineRule="exact"/>
        <w:rPr>
          <w:rFonts w:ascii="Times New Roman" w:cs="Times New Roman" w:eastAsia="Times New Roman" w:hAnsi="Times New Roman"/>
          <w:sz w:val="18"/>
          <w:szCs w:val="18"/>
          <w:color w:val="auto"/>
        </w:rPr>
      </w:pPr>
    </w:p>
    <w:p>
      <w:pPr>
        <w:ind w:left="1300" w:right="120" w:hanging="320"/>
        <w:spacing w:after="0" w:line="282" w:lineRule="auto"/>
        <w:tabs>
          <w:tab w:leader="none" w:pos="1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investment in research and development activities and whether such investments are capitalized or expensed as incurred;</w:t>
      </w:r>
    </w:p>
    <w:p>
      <w:pPr>
        <w:spacing w:after="0" w:line="67"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our clients’ employees;</w:t>
      </w:r>
    </w:p>
    <w:p>
      <w:pPr>
        <w:spacing w:after="0" w:line="13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recognition of revenues and expenses;</w:t>
      </w:r>
    </w:p>
    <w:p>
      <w:pPr>
        <w:spacing w:after="0" w:line="13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renewal rates;</w:t>
      </w:r>
    </w:p>
    <w:p>
      <w:pPr>
        <w:spacing w:after="0" w:line="13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in our business;</w:t>
      </w:r>
    </w:p>
    <w:p>
      <w:pPr>
        <w:spacing w:after="0" w:line="13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difficulties with our products or interruptions in our services;</w:t>
      </w:r>
    </w:p>
    <w:p>
      <w:pPr>
        <w:spacing w:after="0" w:line="13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qualified personnel;</w:t>
      </w:r>
    </w:p>
    <w:p>
      <w:pPr>
        <w:spacing w:after="0" w:line="13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requirements and environment related to the products and services which we offer;</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260" w:hanging="280"/>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w:t>
      </w:r>
    </w:p>
    <w:p>
      <w:pPr>
        <w:spacing w:after="0" w:line="13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legal expenses, including litigation and settlement costs.</w:t>
      </w:r>
    </w:p>
    <w:p>
      <w:pPr>
        <w:spacing w:after="0" w:line="13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do not have long-term agreements with clients, and our standard agreements with clients are generally terminable by our clients upon 60 or fewer days’ notice. If a significant number of clients elected to terminate their agreements with us, our operating results and our business would be adversely affected.</w:t>
      </w:r>
    </w:p>
    <w:p>
      <w:pPr>
        <w:sectPr>
          <w:pgSz w:w="11900" w:h="16838" w:orient="portrait"/>
          <w:cols w:equalWidth="0" w:num="1">
            <w:col w:w="11400"/>
          </w:cols>
          <w:pgMar w:left="240" w:top="121" w:right="259" w:bottom="0" w:gutter="0" w:footer="0" w:header="0"/>
        </w:sectPr>
      </w:pPr>
    </w:p>
    <w:bookmarkStart w:id="10" w:name="page11"/>
    <w:bookmarkEnd w:id="10"/>
    <w:p>
      <w:pPr>
        <w:spacing w:after="0" w:line="3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our operating expenses are related to compensation and other items which are relatively fixed in the short-term, and we plan expenditures based in part on our expectations regarding future needs and opportunities. Accordingly, changes in our business or revenue shortfalls could decrease our gross and operating margins and could cause significant changes in our operating results from period to period. If this occurs, the trading price of our common stock could fall substantially, either suddenly or over time.</w:t>
      </w:r>
    </w:p>
    <w:p>
      <w:pPr>
        <w:spacing w:after="0" w:line="86"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Our operating results for previous fiscal quarters are not necessarily indicative of our operating results for the full fiscal years or for any future periods. We believe that, due to the underlying factors for quarterly fluctuations, quarter-to-quarter comparisons of our operations are not necessarily meaningful and that such comparisons should not be relied upon as indications of future performance.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manage our growth effectively could increase our expenses, decrease our revenue, and prevent us from implementing our business strategy.</w:t>
      </w:r>
    </w:p>
    <w:p>
      <w:pPr>
        <w:spacing w:after="0" w:line="13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been rapidly growing our revenue and number of clients, and we will seek to do the same for the foreseeable future. However, the growth in our number of clients puts significant strain on our business, requires significant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If we fail to effectively manage our growth or we over-invest or under-invest in our business, our business and results of operations could suffer from the resultant weaknesses in our infrastructure, systems or controls. We could also suffer operational mistakes, a loss of business opportunities and employee losses. If our management is unable to effectively manage our growth, our expenses might increase more than expected, our revenue could decline or might grow more slowly than expected, and we might be unable to implement our business strategy.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highly competitive, and if we do not compete effectively, our operating results could be adversely affected.</w:t>
      </w:r>
    </w:p>
    <w:p>
      <w:pPr>
        <w:spacing w:after="0" w:line="13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market for payroll and HCM solutions is fragmented, highly competitive and rapidly changing. Our competitors vary for each of our solutions, and include enterprise-focused software providers, such as Ultimate Software Group, Inc., Workday, Inc., SAP AG, Oracle Corporation and Ceridian Corporation, payroll service providers, such as Automatic Data Processing, Inc., Paychex, Inc., Paycom Software, Inc., Paycor, Inc. and other regional providers, and HCM point solutions, such as Cornerstone OnDemand, Inc.</w:t>
      </w:r>
    </w:p>
    <w:p>
      <w:pPr>
        <w:spacing w:after="0" w:line="8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Several of our competitors are larger, have greater name recognition, longer operating histories and significantly greater resources than we do. Many of these competitors are able to devote greater resources to the development, promotion and sale of their products and services. Furthermore, our current or potential competitors may be acquired by third parties with greater available resources and the ability to initiate or withstand substantial price competition. As a result, our competitors may be able to develop products and services better received by our markets or may be able to respond more quickly and effectively than we can to new or changing opportunities, technologies, regulations or client requirements.</w:t>
      </w:r>
    </w:p>
    <w:p>
      <w:pPr>
        <w:spacing w:after="0" w:line="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 marketing expertise, greater financial resources, and larger sales forces than we have, which could put us at a competitive disadvantage. In light of these advantages, current or potential clients might accept competitive offerings in lieu of purchasing our offerings. We expect intense competition to continue for these reasons, and such competition could negatively impact our sales, profitability or market share.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continue to innovate and deliver high-quality, technologically advanced products and services, we will not remain competitive and our revenue and operating results could suffer.</w:t>
      </w:r>
    </w:p>
    <w:p>
      <w:pPr>
        <w:spacing w:after="0" w:line="64"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market for our solutions is characterized by rapid technological advancements, changes in client requirements, frequent new product introductions and enhancements and changing industry standards. The life cycles of our products are difficult to estimate. Rapid technological changes and the introduction of new products and enhancements by new or existing competitors could undermine our current market position.</w:t>
      </w:r>
    </w:p>
    <w:p>
      <w:pPr>
        <w:spacing w:after="0" w:line="8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success depends in substantial part on our continuing ability to provide products and services that medium-sized organizations will find superior to our competitors’ offerings and will continue to use. We intend to continue to invest significant resources in research and development in order to enhance our existing products and services and introduce new high-quality products that clients will want. If we are unable to predict user preferences or industry changes, or if we are unable to modify our products and services on a timely basis or to effectively bring new products to market, our sales may suffer.</w:t>
      </w:r>
    </w:p>
    <w:p>
      <w:pPr>
        <w:spacing w:after="0" w:line="8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addition, we may experience difficulties with software development, industry standards, design, or marketing that could delay or prevent our development, introduction or implementation of new solutions and enhancements. The introduction of new solutions by competitors, the emergence of new industry standards or the development of entirely new technologies to replace existing offerings could render our existing or future solutions obsolete.</w:t>
      </w:r>
    </w:p>
    <w:p>
      <w:pPr>
        <w:spacing w:after="0" w:line="8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may not have sufficient resources to make the necessary investments in software development and we may experience difficulties that could delay or prevent the successful development, introduction or marketing of new products or enhancements. In addition, our products or enhancements may not meet the increasingly complex client requirements of the marketplace or achieve market acceptance at the rate we expect, or at all. Any failure by us to anticipate or respond adequately to technological advancements, client requirements and changing industry standards, or any significant delays in the development, introduction or availability of new products or enhancements, could undermine our current market position.</w:t>
      </w:r>
    </w:p>
    <w:p>
      <w:pPr>
        <w:spacing w:after="0" w:line="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release periodic updates on a timely basis to reflect changes in tax, benefit and other laws and regulations that our products help our clients address, the market acceptance of our products may be adversely affected and our revenues could decline.</w:t>
      </w:r>
    </w:p>
    <w:p>
      <w:pPr>
        <w:spacing w:after="0" w:line="6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solutions are affected by changes in tax, benefit and other laws and regulations and generally must be updated regularly to maintain their accuracy and competitiveness. Although we believe our SaaS platform provides us with flexibility to release updates in response to these changes, we cannot be certain that we will be able to make the necessary changes to our solutions and release updates on a timely basis, or at all. Failure to do so could have an adverse effect on the functionality and market acceptance of our solutions. The Patient Protection and Affordable Care Act (“PPACA”) remains subject to continuing legislative scrutiny, including efforts by Congress to amend or repeal, or delay implementation of, a number of its provisions. In addition, numerous lawsuits have challenged and continue to challenge the constitutionality and other aspects of the PPACA, and regulations and regulatory guidance continue to be issued on various aspects of PPACA that may affect our business. Changes in tax, benefit and other laws and regulations, including the PPACA, could require us to make significant modifications to our products or delay or cease sales of certain products, which could result in reduced revenues or revenue growth and our incurring substantial expenses and write-offs.</w:t>
      </w:r>
    </w:p>
    <w:p>
      <w:pPr>
        <w:sectPr>
          <w:pgSz w:w="11900" w:h="16869" w:orient="portrait"/>
          <w:cols w:equalWidth="0" w:num="1">
            <w:col w:w="11420"/>
          </w:cols>
          <w:pgMar w:left="240" w:top="121" w:right="239" w:bottom="0" w:gutter="0" w:footer="0" w:header="0"/>
        </w:sectPr>
      </w:pPr>
    </w:p>
    <w:p>
      <w:pPr>
        <w:spacing w:after="0" w:line="9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of the way we recognize our revenue and our expenses over varying periods, changes in our business may not be immediately reflected in our financial statements.</w:t>
      </w:r>
    </w:p>
    <w:p>
      <w:pPr>
        <w:sectPr>
          <w:pgSz w:w="11900" w:h="16869" w:orient="portrait"/>
          <w:cols w:equalWidth="0" w:num="1">
            <w:col w:w="11420"/>
          </w:cols>
          <w:pgMar w:left="240" w:top="121" w:right="239" w:bottom="0" w:gutter="0" w:footer="0" w:header="0"/>
          <w:type w:val="continuous"/>
        </w:sectPr>
      </w:pPr>
    </w:p>
    <w:bookmarkStart w:id="11" w:name="page12"/>
    <w:bookmarkEnd w:id="11"/>
    <w:p>
      <w:pPr>
        <w:spacing w:after="0" w:line="9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recognize our revenue as services are performed. The amount of revenue we recognize in any particular period is derived in significant part based on the number of employees of our clients served by our solutions. As a result, our revenue is dependent in part on the success of our clients. The effect on our revenue of significant changes in sales of our solutions or in our clients’ businesses may not be fully reflected in our results of operations until future periods.</w:t>
      </w:r>
    </w:p>
    <w:p>
      <w:pPr>
        <w:spacing w:after="0" w:line="8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recognize our expenses over varying periods based on the nature of the expense. In particular, we recognize implementation costs and sales commissions as they are incurred even though we recognize revenue as we perform services over extended periods. When a client terminates its relationship with us, we may not have derived enough revenue from that client to cover associated implementation costs. As a result, we may report poor operating results due to higher implementation costs and sales commissions in a period in which we experience strong sales of our solutions. Alternatively, we may report better operating results due to lower implementation costs and sales commissions in a period in which we experience a slowdown in sales. As a result, our expenses fluctuate as a percentage of revenue, and changes in our business generally may not be immediately reflected in our results of operations.</w:t>
      </w:r>
    </w:p>
    <w:p>
      <w:pPr>
        <w:spacing w:after="0" w:line="8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are breached or unauthorized access to client data or funds is otherwise obtained, our solutions may be perceived as not being secure, clients may reduce the use of or stop using our solutions and we may incur significant liabilities.</w:t>
      </w:r>
    </w:p>
    <w:p>
      <w:pPr>
        <w:spacing w:after="0" w:line="64"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Our solutions involve the storage and transmission of our clients’ and their employees’ proprietary and confidential information. This information includes bank account numbers, tax return information, social security numbers, benefit information,</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retirement account information, payroll information and system passwords. In addition, we collect and maintain personal information on our own employees in the ordinary course of our business. Finally, our business involves the storage and transmission of funds from the accounts of our clients to their employees, taxing and regulatory authorities and others. As a result, unauthorized access or security breaches of our systems or the systems of our clients could result in the unauthorized disclosure of confidential information, theft, litigation, indemnity obligations and other significant liabilities. Because the techniques used to obtain unauthorized access or sabotage systems change frequently and generally are not identified until they are employed, we may be unable to anticipate these techniques or to implement adequate preventative measures in advance. While we have security measures and controls in place to protect confidential information, prevent data loss, theft and other security breaches, including penetration tests of our systems by independent third parties, if our security measures are breached, our business could be substantially harmed and we could incur significant liabilities. Any such breach or unauthorized access could negatively affect our ability to attract new clients, cause existing clients to terminate their agreements with us, result in reputational damage and subject us to lawsuits, regulatory fines or other actions or liabilities which could materially and adversely affect our business and operating results.</w:t>
      </w:r>
    </w:p>
    <w:p>
      <w:pPr>
        <w:spacing w:after="0" w:line="9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limitations of liability in our contracts would be enforceable or adequate or would otherwise protect us from any such liabilities or damages with respect to any particular claim related to a breach 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adequately expand our direct sales force with qualified and productive persons, we may not be able to grow our business effectively.</w:t>
      </w:r>
    </w:p>
    <w:p>
      <w:pPr>
        <w:spacing w:after="0" w:line="13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primarily sell our products and implementation services through our direct sales force. To grow our business, we intend to focus on growing our client base for the foreseeable future. Our ability to add clients and to achieve revenue growth in the future will depend upon our ability to grow and develop our direct sales force and on their ability to productively sell our solutions. Identifying and recruiting qualified personnel and training them in the use of our software require significant time, expense and attention. The amount of time it takes for our sales representatives to be fully-trained and to become productive varies widely. In addition, if we hire sales representatives from competitors or other companies, their former employers may attempt to assert that these employees have breached their legal obligations, resulting in a diversion of our time and resources.</w:t>
      </w:r>
    </w:p>
    <w:p>
      <w:pPr>
        <w:spacing w:after="0" w:line="9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If our sales organization does not perform as expected, our revenues and revenue growth could suffer. In addition, if we are unable to hire, develop and retain talented sales personnel, if our sales force becomes less efficient as it grows or if new sales representatives are unable to achieve desired productivity levels in a reasonable period of time, we may not be able to grow our client base and revenues and our sales and marketing expenses may increase.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referral network participants reduce their referrals to us, we may not be able to grow our client base or revenues in the future.</w:t>
      </w:r>
    </w:p>
    <w:p>
      <w:pPr>
        <w:spacing w:after="0" w:line="13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Referrals from third-party service providers, including 401(k) advisors, benefits administrators, insurance brokers, third-party administrators and HR consultants, represent a significant source of potential clients for our products and implementation services. For example, we estimate that greater than 30% of our new sales in fiscal 2016 were referred to us from our referral network participants, and our referral network may become an even more significant source of client referrals in the future. In most cases, our relationships with referral network participants are informal, although in some cases, we have formalized relationships where we are a recommended vendor for their client.</w:t>
      </w:r>
    </w:p>
    <w:p>
      <w:pPr>
        <w:spacing w:after="0" w:line="8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Participants in our referral network are generally under no contractual obligation to continue to refer business to us, and we do not intend to seek contractual relationships with these participants. In addition, these participants are generally not compensated for referring potential clients to us, and may choose to instead refer potential clients to our competitors. Our ability to achieve revenue growth in the future will depend, in part, upon continued referrals from our network.</w:t>
      </w:r>
    </w:p>
    <w:p>
      <w:pPr>
        <w:spacing w:after="0" w:line="86"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will be successful in maintaining, expanding or developing our referral network. If our relationships with participants in our referral network were to deteriorate or if any of our competitors enter into strategic relationships with our referral network participants, sales leads from these participants could be reduced or cease entirely. If we are not successful, we may lose sales opportunities and our revenues and profitability could suffer.</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for cloud-based payroll and HCM solutions among medium-sized organizations develops more slowly than we expect or declines, our business could be adversely affected.</w:t>
      </w:r>
    </w:p>
    <w:p>
      <w:pPr>
        <w:sectPr>
          <w:pgSz w:w="11900" w:h="16936" w:orient="portrait"/>
          <w:cols w:equalWidth="0" w:num="1">
            <w:col w:w="11420"/>
          </w:cols>
          <w:pgMar w:left="240" w:top="243" w:right="239" w:bottom="0" w:gutter="0" w:footer="0" w:header="0"/>
        </w:sectPr>
      </w:pPr>
    </w:p>
    <w:bookmarkStart w:id="12" w:name="page13"/>
    <w:bookmarkEnd w:id="12"/>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believe that the market for cloud-based payroll and HCM solutions is not as mature among medium-sized organizations as the market for outsourced services or on-premise software and services. It is not certain that cloud-based solutions will achieve and sustain high levels of client demand and market acceptance. Our success will depend to a substantial extent on the widespread adoption by medium-sized organizations of cloud-based computing in general, and of payroll and other HCM applications in particular. It is difficult to predict client adoption rates and demand for our solutions, the future growth rate and size of the cloud-based market or the entry of competitive solutions. The expansion of the cloud-based market depends on a number of factors, including the cost, performance, and perceived value associated with cloud-based computing, as well as the ability of cloud-based solutions to address security and privacy concerns. If other cloud-based providers experience security incidents, loss of client data, disruptions in delivery or other problems, the market for cloud-based applications as a whole, including our solutions, may be negatively affected. If cloud-based payroll and HCM solutions do not achieve widespread adoption among medium-sized organizations, or there is a reduction in demand for cloud-based computing caused by a lack of client acceptance, technological challenges, weakening economic conditions, security or privacy concerns, competing technologies and products, decreases in corporate spending or otherwise, it could result in a loss of clients, decreased revenues and an adverse impact on our business.</w:t>
      </w:r>
    </w:p>
    <w:p>
      <w:pPr>
        <w:spacing w:after="0" w:line="9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typically pay employees and may pay taxing authorities amounts due for a payroll period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spacing w:after="0" w:line="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payroll processing business involves the movement of significant funds from the account of a client to employees and relevant taxing authorities. For example, in fiscal 2016 we processed over $74 billion in payroll transactions. Though we debit a client’s account prior to any disbursement on its behalf, due to Automated Clearing House, or ACH, banking regulations, funds previously credited could be reversed under certain circumstances and timeframes after our payment of amounts due to employees and taxing and other regulatory authorities. There is therefore a risk that the employer’s funds will be insufficient to cover the amounts we have already paid on its behalf. While such shortage and accompanying financial exposure has only occurred in very limited instances in the past, should clients default on their payment obligations in the future, we might be required to advance substantial amounts of funds to cover such obligations. In such an event, we may be required to seek additional sources of short-term liquidity, which may not be available on reasonable terms, if at all, and our operating results and our liquidity could be adversely affected and our banking relationships could be harmed.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changes in economic or political conditions could adversely affect our operating results and our business.</w:t>
      </w:r>
    </w:p>
    <w:p>
      <w:pPr>
        <w:spacing w:after="0" w:line="13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recurring revenues are based in part on the number of our clients’ employees. As a result, we are subject to risks arising from adverse changes in economic and political conditions. The state of the economy and the rate of employment, which deteriorated in the recent broad recession, may deteriorate further in the future. If weakness in the economy continues or worsens, many clients may reduce their number of employees and delay or reduce technology purchases. This could also result in reductions in our revenues and sales of our products, longer sales cycles, increased price competition and clients’ purchasing fewer solutions than they have in the past. Any of these events would likely harm our business, results of operations, financial condition and cash flows from operations.</w:t>
      </w:r>
    </w:p>
    <w:p>
      <w:pPr>
        <w:spacing w:after="0" w:line="9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Trade, monetary and fiscal policies, and political and economic conditions may substantially change, and credit markets may experience periods of constriction and volatility. For example, there is substantial uncertainty surrounding the United Kingdom’s June 23, 2016 vote to leave the European Union, which could result in a global economic downturn, which, in turn, could depress the demand for our services. When there is a slowdown in the economy, employment levels and interest rates may decrease with a corresponding impact on our businesses. Clients may react to worsening conditions by reducing their spending on payroll and other HCM solutions or renegotiating their contracts with us. We have agreements with various large banks to execute ACH and wire transfers as part of our client payroll and tax services. While we have contingency plans in place for bank failures, a failure of one of our banking partners or a systemic shutdown of the banking industry could result in the loss of client funds or impede us from accessing and processing funds on our clients’ behalf, and could have an adverse impact on our business and liquidity.</w:t>
      </w:r>
    </w:p>
    <w:p>
      <w:pPr>
        <w:spacing w:after="0" w:line="8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banks that currently provide ACH and wire transfers fail to properly transmit ACH or terminate their relationship with us or limit our ability to process funds or we are not able to increase our ACH capacity with our existing and new banks, our ability to process funds on behalf of our clients and our financial results and liquidity could be adversely affected.</w:t>
      </w:r>
    </w:p>
    <w:p>
      <w:pPr>
        <w:spacing w:after="0" w:line="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currently have agreements with nine banks to execute ACH and wire transfers to support our client payroll and tax services.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 reasonable terms, if at all. If these banks terminate their relationships with us or restrict the dollar amounts of funds that they will process on behalf of our clients, their doing so may impede our ability to process funds and could have an adverse impact on our financial results and liquidity.</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other key employees, and the loss of these persons or an inability to attract and retain highly skilled employees could adversely affect our business.</w:t>
      </w:r>
    </w:p>
    <w:p>
      <w:pPr>
        <w:spacing w:after="0" w:line="6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key executive officers, including Steven R. Beauchamp, our President and Chief Executive Officer. We also rely on our leadership team in the areas of research and development, sales, services and general and administrative functions. From time to time, there may be changes in our executive management team resulting from the hiring or departure of executives, which could disrupt our business. While we have employment agreements with certain of our executive officers, including Mr. Beauchamp, these employment agreements do not require them to continue to work for us for any specified period and, therefore, they could terminate their employment with us at any time. The loss of one or more of our executive officers or key employees could have an adverse effect on our business.</w:t>
      </w:r>
    </w:p>
    <w:p>
      <w:pPr>
        <w:spacing w:after="0" w:line="8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recruit and retain highly-skilled product development and other technical persons, our ability to develop and support widely-accepted products could be impaired and our business could be harmed.</w:t>
      </w:r>
    </w:p>
    <w:p>
      <w:pPr>
        <w:spacing w:after="0" w:line="6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believe that to grow our business and be successful, we must continue to develop products that are technologically-advanced, are highly integrable with third-party services, provide significant mobility capabilities and have pleasing and intuitive user experiences. To do so, we must attract and retain highly qualified personnel, particularly employees with high levels of experience in designing and developing software and Internet-related products and services. Competition for these personnel in the greater Chicago area and elsewhere is intense.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other research and development may be adversely affected. In addition, if we hire employees from competitors or other companies, their former employers may attempt to assert that these employees have breached their legal obligations, resulting in a diversion of our time and resources.</w:t>
      </w:r>
    </w:p>
    <w:p>
      <w:pPr>
        <w:sectPr>
          <w:pgSz w:w="11900" w:h="16838" w:orient="portrait"/>
          <w:cols w:equalWidth="0" w:num="1">
            <w:col w:w="11420"/>
          </w:cols>
          <w:pgMar w:left="240" w:top="243" w:right="239" w:bottom="0" w:gutter="0" w:footer="0" w:header="0"/>
        </w:sectPr>
      </w:pPr>
    </w:p>
    <w:bookmarkStart w:id="13" w:name="page14"/>
    <w:bookmarkEnd w:id="13"/>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and support of products and the performance of related services by us entail the risk of product or service liability claims, which could significantly affect our financial results.</w:t>
      </w:r>
    </w:p>
    <w:p>
      <w:pPr>
        <w:spacing w:after="0" w:line="6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Clients use our products in connection with the preparation and filing of tax returns and other regulatory reports. If any of our products contain errors that produce inaccurate results upon which users rely, or cause users to misfile or fail to file required information, we could be subject to liability claims from users. Our agreements with our clients typically contain provisions intended to limit our exposure to such claims, but such provisions may not be effective in limiting our exposure. Contractual limitations we use may not be enforceable and may not provide us with adequate protection against product liability claims in certain jurisdictions. A successful claim for product or service liability brought against us could result in substantial cost to us and divert management’s attention from our operations.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concerns and laws or other domestic regulations may reduce the effectiveness of our applications and adversely affect our business.</w:t>
      </w:r>
    </w:p>
    <w:p>
      <w:pPr>
        <w:spacing w:after="0" w:line="13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clients collect, use and store personal or identifying information regarding their employees and their family members in our solutions. Federal and state government bodies and agencies have adopted, are considering adopting, or may adopt laws and regulations regarding the collection, use, storage and disclosure of such personal information. The costs of compliance with, and other burdens imposed by, such laws and regulations that are applicable to our clients’ businesses may limit the use and adoption of our applications and reduce overall demand, or lead to significant fines, penalties or liabilities for any noncompliance with such privacy laws. Even the perception of privacy concerns, whether or not valid, may inhibit market adoption of our solutions.</w:t>
      </w:r>
    </w:p>
    <w:p>
      <w:pPr>
        <w:spacing w:after="0" w:line="8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All of these legislative and regulatory initiatives may adversely affect our clients’ ability to process, handle, store, use and transmit demographic and personal information regarding their employees and family members, which could reduce demand for our solutions.</w:t>
      </w:r>
    </w:p>
    <w:p>
      <w:pPr>
        <w:spacing w:after="0" w:line="6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addition to government activity, privacy advocacy groups and the technology and other industries are considering various new, additional or different self-regulatory standards that may place additional burdens on us. If the processing of personal information were to be curtailed in this manner, our products would be less effective, which may reduce demand for our applications and adversely affect our business.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if we do not effectively implement our solutions or our clients are not satisfied with our implementation services.</w:t>
      </w:r>
    </w:p>
    <w:p>
      <w:pPr>
        <w:spacing w:after="0" w:line="13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ability to deliver our payroll and HCM solutions depends on our ability to effectively implement and to transition to, and train our clients on, our solutions. We do not recognize revenue from new clients until they process their first payroll. Further, our agreements with our clients are generally terminable by the clients on 60 days’ or less notice. If a client is not satisfied with our</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implementation services, the client could terminate its agreement with us before we have recovered our costs of implementation services, which would adversely affect our results of operations and cash flows. In addition, negative publicity related to our client relationships, regardless of its accuracy, may further damage our business by affecting our ability to compete for new business with current and prospective clients.</w:t>
      </w:r>
    </w:p>
    <w:p>
      <w:pPr>
        <w:spacing w:after="0" w:line="78"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affected if we are unable to accommodate increased demand for our implementation services resulting from growth in our business.</w:t>
      </w:r>
    </w:p>
    <w:p>
      <w:pPr>
        <w:spacing w:after="0" w:line="64"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We may be unable to respond quickly enough to accommodate increased client demand for implementation services driven by our growth. The implementation process is the first substantive interaction with a new client. As a predicate to providing knowledgeable implementation services, we must have a sufficient number of personnel dedicated to that process. In order to ensure that we have sufficient employees to implement our solutions, we must closely coordinate hiring of personnel with our projected sales for a particular period. Because our sales cycle is typically only three to six weeks long, we may not be successful in coordinating hiring of implementation personnel to meet increased demand for our implementation services. Increased demand for implementation services without a corresponding staffing increase of qualified personnel could adversely affect the quality of services provided to new clients, and our business and our reputation could be harmed.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client services may adversely affect our relationships with our clients and our financial results.</w:t>
      </w:r>
    </w:p>
    <w:p>
      <w:pPr>
        <w:spacing w:after="0" w:line="13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Once our applications are deployed, our clients depend on our client service organization to resolve issues relating to our solutions. Our clients are medium-sized organizations with limited personnel and resources to address payroll and other HCM related issues. These clients rely on us more so than larger companies with greater internal resources and expertise. High-quality client services are important for the successful marketing and sale of our products and for the retention of existing clients. If we do not help our clients quickly resolve issues and provide effective ongoing support, our ability to sell additional products to existing clients would suffer and our reputation with existing or potential clients would be harmed.</w:t>
      </w:r>
    </w:p>
    <w:p>
      <w:pPr>
        <w:spacing w:after="0" w:line="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addition, our sales process is highly dependent on our applications and business reputation and on positive recommendations from our existing clients. Any failure to maintain high-quality client services, or a market perception that we do not maintain high-quality client services, could adversely affect our reputation, our ability to sell our solutions to existing and prospective clients, and our business, operating results and financial position.</w:t>
      </w:r>
    </w:p>
    <w:p>
      <w:pPr>
        <w:spacing w:after="0" w:line="7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technical operations infrastructure, our existing clients may experience service outages and our new clients may experience delays in the deployment of our applications.</w:t>
      </w:r>
    </w:p>
    <w:p>
      <w:pPr>
        <w:spacing w:after="0" w:line="6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experienced significant growth in the number of users, transactions and data that our operations infrastructure supports. We seek to maintain sufficient excess capacity in our data center and other operations infrastructure to meet the needs of all of our clients. We also seek to maintain excess capacity to facilitate the rapid provision of new client deployments and the expansion of existing client deployments. In addition, we need to properly manage our technological operations infrastructure in order to support version control, changes in hardware and software parameters and the evolution of our applications. However, the provision of new hosting infrastructure requires significant lead time. We have experienced, and may in the future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 able to identify the cause or causes of these performance problems within an acceptable period of time. If we do not accurately predict our infrastructure requirements, our existing clients may experience service outages that may subject us to financial penalties, financial liabilities and client losses. If our operations infrastructure fails to keep pace with increased sales, clients may experience delays as we seek to obtain additional capacity, which could adversely affect our reputation and our revenues.</w:t>
      </w:r>
    </w:p>
    <w:p>
      <w:pPr>
        <w:spacing w:after="0" w:line="9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addition, our ability to deliver our cloud-based applications depends on the development and maintenance of Internet infrastructure by third parties. This includes maintenance of a reliable network backbone with the necessary speed, data capacity, bandwidth capacity, and security. Our services are designed to operate without interruption. However, we have experienced and expect that we will experience future interruptions and delays in services and availability from time to time. In the event of a catastrophic event with respect to one or more of our systems, we may experience an extended period of</w:t>
      </w:r>
    </w:p>
    <w:p>
      <w:pPr>
        <w:sectPr>
          <w:pgSz w:w="11900" w:h="16838" w:orient="portrait"/>
          <w:cols w:equalWidth="0" w:num="1">
            <w:col w:w="11420"/>
          </w:cols>
          <w:pgMar w:left="240" w:top="117" w:right="239" w:bottom="0" w:gutter="0" w:footer="0" w:header="0"/>
        </w:sectPr>
      </w:pPr>
    </w:p>
    <w:bookmarkStart w:id="14" w:name="page15"/>
    <w:bookmarkEnd w:id="14"/>
    <w:p>
      <w:pPr>
        <w:ind w:right="560"/>
        <w:spacing w:after="0" w:line="282" w:lineRule="auto"/>
        <w:rPr>
          <w:sz w:val="20"/>
          <w:szCs w:val="20"/>
          <w:color w:val="auto"/>
        </w:rPr>
      </w:pPr>
      <w:r>
        <w:rPr>
          <w:rFonts w:ascii="Times New Roman" w:cs="Times New Roman" w:eastAsia="Times New Roman" w:hAnsi="Times New Roman"/>
          <w:sz w:val="18"/>
          <w:szCs w:val="18"/>
          <w:color w:val="auto"/>
        </w:rPr>
        <w:t>system unavailability, which could negatively impact our relationship with clients. To operate without interruption, both we and our clients must guard against:</w:t>
      </w:r>
    </w:p>
    <w:p>
      <w:pPr>
        <w:spacing w:after="0" w:line="67" w:lineRule="exact"/>
        <w:rPr>
          <w:sz w:val="20"/>
          <w:szCs w:val="20"/>
          <w:color w:val="auto"/>
        </w:rPr>
      </w:pPr>
    </w:p>
    <w:p>
      <w:pPr>
        <w:ind w:left="1260" w:hanging="280"/>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from fire, power loss, natural disasters and other force majeure events outside our control;</w:t>
      </w:r>
    </w:p>
    <w:p>
      <w:pPr>
        <w:spacing w:after="0" w:line="13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failures;</w:t>
      </w:r>
    </w:p>
    <w:p>
      <w:pPr>
        <w:spacing w:after="0" w:line="13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and hardware errors, failures and crashes;</w:t>
      </w:r>
    </w:p>
    <w:p>
      <w:pPr>
        <w:spacing w:after="0" w:line="13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computer viruses, hacking, denial-of-service attacks and similar disruptive problems; and</w:t>
      </w:r>
    </w:p>
    <w:p>
      <w:pPr>
        <w:spacing w:after="0" w:line="13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potential interruptions.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also rely on computer hardware purchased or leased and software licensed from third parties in order to offer our services. These licenses and hardware are generally commercially available on varying terms. However, it is possible that this hardware and software might not continue to be available on commercially reasonable terms, or at all. Any loss of the right to use any of this hardware or software could result in delays in the provisioning of our services until equivalent technology is either developed by us, or, if available, is identified, obtained and integrated.</w:t>
      </w:r>
    </w:p>
    <w:p>
      <w:pPr>
        <w:spacing w:after="0" w:line="8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Furthermore, our payroll application is essential to our clients’ timely payment of wages to their employees. Any interruption in our service may affect the availability, accuracy or timeliness of these programs and could damage our reputation, cause our clients to terminate their use of our application, require us to indemnify our clients against certain losses due to our own errors and prevent us from gaining additional business from current or future clients.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disruption in the operation of our data centers could adversely affect our business.</w:t>
      </w:r>
    </w:p>
    <w:p>
      <w:pPr>
        <w:spacing w:after="0" w:line="13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host our applications and serve all of our clients from data centers located at our company headquarters in Arlington Heights, Illinois with backup data centers at third-party facilities in Franklin Park, Illinois and Kenosha, Wisconsin. We also may decide to employ additional offsite data centers in the future to accommodate growth.</w:t>
      </w:r>
    </w:p>
    <w:p>
      <w:pPr>
        <w:spacing w:after="0" w:line="8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Problems faced by our data center locations, with the telecommunications network providers with whom we or they contract, or with the systems by which our telecommunications providers allocate capacity among their clients, including us, could adversely affect the availability and processing of our solutions and related services and the experience of our clients. If our data centers are unable to keep up with our growing needs for capacity, this could have an adverse effect on our business and cause us to incur additional expense. In addition, any financial difficulties faced by our third-party data center’s operator or any of the service providers with whom we or they contract may have negative effects on our business, the nature and extent of which are difficult to predict. Any changes in service levels at our third-party data center or any errors, defects, disruptions or other performance problems with our applications could adversely affect our reputation and may damage our clients’ stored files or result in lengthy interruptions in our services. Interruptions in our services might reduce our revenues, subject us to potential liability or other expenses or adversely affect our renewal rates.</w:t>
      </w:r>
    </w:p>
    <w:p>
      <w:pPr>
        <w:spacing w:after="0" w:line="9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while we own, control and have access to our servers and all of the components of our network that are located in our backup data centers, we do not control the operation of these facilities. The operators of our third party data center facilities have no obligations to renew their agreements with us on commercially reasonable terms, or at all. If we are unable to renew these agreements on commercially reasonable terms, or if the data center operators are acquired, we may be required to transfer our servers and other infrastructure to new data center facilities, and we may incur costs and experience service interruption in doing so.</w:t>
      </w:r>
    </w:p>
    <w:p>
      <w:pPr>
        <w:spacing w:after="0" w:line="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might not operate properly, which could damage our reputation, give rise to claims against us, or divert application of our resources from other purposes, any of which could harm our business and operating results.</w:t>
      </w:r>
    </w:p>
    <w:p>
      <w:pPr>
        <w:spacing w:after="0" w:line="64"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Our payroll and HCM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are frequent, we discover defects and errors in our software and service processes in the normal course of business compared against these requirements and practices. Material performance problems or defects in our products and services might arise in the future, which could have an adverse impact on our business and client relationship and subject us to claims.</w:t>
      </w:r>
    </w:p>
    <w:p>
      <w:pPr>
        <w:spacing w:after="0" w:line="89"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Moreover, software development is time-consuming, expensive and complex. Unforeseen difficulties can arise. We might encounter technical obstacles, and it is possible that we discover problems that prevent our products from operating properly. If they do not function reliably or fail to achieve client expectations in terms of performance, clients could cancel their agreements with us and/or assert liability claims against us. This could damage our reputation, impair our ability to attract or maintain clients and harm our results of operations.</w:t>
      </w:r>
    </w:p>
    <w:p>
      <w:pPr>
        <w:spacing w:after="0" w:line="8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Defects or errors in our product or service processes might discourage existing or potential clients from purchasing from us. Correction of defects or errors could prove to be impossible or impracticable. The costs incurred in correcting any defects or errors or in responding to resulting claims or liability might be substantial and could adversely affect our operating results.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Because of the large amount of data that we collect and manage, it is possible that hardware failures or errors in our systems could result in data loss or corruption, or cause the information that we collect to be incomplete or contain inaccuracies that our clients, their employees and taxing and other regulatory authorities regard as significant. The costs incurred in correcting any errors or in responding to regulatory authorities or to resulting claims or liability might be substantial and could adversely affect our operating results.</w:t>
      </w:r>
    </w:p>
    <w:p>
      <w:pPr>
        <w:spacing w:after="0" w:line="8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We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sectPr>
          <w:pgSz w:w="11900" w:h="16838" w:orient="portrait"/>
          <w:cols w:equalWidth="0" w:num="1">
            <w:col w:w="11420"/>
          </w:cols>
          <w:pgMar w:left="240" w:top="121" w:right="239" w:bottom="40" w:gutter="0" w:footer="0" w:header="0"/>
        </w:sectPr>
      </w:pPr>
    </w:p>
    <w:bookmarkStart w:id="15" w:name="page16"/>
    <w:bookmarkEnd w:id="15"/>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clients might assert claims against us in the future alleging that they suffered damages due to a defect, error, or other failure of our product or service processes. A product liability claim and errors or omissions claim could subject us to significant legal defense costs and adverse publicity regardless of the merits or eventual outcome of such a claim.</w:t>
      </w:r>
    </w:p>
    <w:p>
      <w:pPr>
        <w:spacing w:after="0" w:line="7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Client funds that we hold are subject to market, interest rate, credit and liquidity risks. The loss of these funds could have an adverse impact on our business.</w:t>
      </w:r>
    </w:p>
    <w:p>
      <w:pPr>
        <w:spacing w:after="0" w:line="6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invest funds held for our clients in liquid, investment-grade marketable securities, money market securities, and other cash equivalents. Nevertheless, our client fund assets are subject to general market, interest rate, credit, and liquidity risks. These risks may be exacerbated, individually or in unison, during periods of unusual financial market volatility. Any loss of or inability to access client funds could have an adverse impact on our cash position and results of operations and could require us to obtain additional sources of liquidity.</w:t>
      </w:r>
    </w:p>
    <w:p>
      <w:pPr>
        <w:spacing w:after="0" w:line="86"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In addition, these funds are held in consolidated trust accounts, and as a result the aggregate amounts in the accounts exceed the applicable federal deposit insurance limits. We believe that since such funds are deposited in trust on behalf of our clients, the Federal Deposit Insurance Corporation, or the FDIC, would treat those funds as if they had been deposited by each of the clients themselves and insure each client’s funds up to the applicable deposit insurance limits. If the FDIC were to take the position that it is not obligated to provide deposit insurance for our clients’ funds or if the reimbursement of these funds were delayed, our business and our clients could be materially harmed.</w:t>
      </w:r>
    </w:p>
    <w:p>
      <w:pPr>
        <w:spacing w:after="0" w:line="85"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to collect sales and use taxes in additional jurisdictions, we might be subject to liability for past sales and our future sales may decrease. Adverse tax laws or regulations could be enacted or existing laws could be applied to us or our clients, which could increase the costs of our services and adversely impact our business.</w:t>
      </w:r>
    </w:p>
    <w:p>
      <w:pPr>
        <w:spacing w:after="0" w:line="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application of federal, state, and local tax laws to services provided electronically is evolving. New income, sales, use or other tax laws, statutes, rules, regulations or ordinances could be enacted at any time (possibly with retroactive effect), and could be applied solely or disproportionately to services provided over the Internet. These enactments could adversely affect our sales activity due to the inherent cost increase the taxes would represent and ultimately result in a negative impact on our operating results and cash flows.</w:t>
      </w:r>
    </w:p>
    <w:p>
      <w:pPr>
        <w:spacing w:after="0" w:line="86"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In addition, existing tax laws, statutes, rules, regulations or ordinances could be interpreted, changed, modified or applied adversely to us (possibly with retroactive effect), which could require us or our clients to pay additional tax amounts, as well as require us or our clients to pay fines or penalties and interest for past amounts.</w:t>
      </w:r>
    </w:p>
    <w:p>
      <w:pPr>
        <w:spacing w:after="0" w:line="8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For example, we might lose sales or incur significant expenses if states successfully impose broader guidelines on state sales and use taxes. A successful assertion by one or more states requiring us to collect sales or other taxes on the licensing of our software or provision of our services could result in substantial tax liabilities for past transactions and otherwise harm our business.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in order to determine how to comply with that state’s rules and regulations. We cannot assure you that we will not be subject to sales and use taxes or related penalties for past sales in states where we currently believe no such taxes are required.</w:t>
      </w:r>
    </w:p>
    <w:p>
      <w:pPr>
        <w:spacing w:after="0" w:line="95"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Vendors of services, like us, are typically held responsible by taxing authorities for the collection and payment of any applicable sales and similar taxes. If one or more taxing authorities determines that taxes should have, but have not, been paid with respect to our services, we might be liable for past taxes in addition to taxes going forward. Liability for past taxes might also include substantial interest and penalty charges. Our clients typically pay us for applicable sales and similar taxes. Nevertheless, our clients might be reluctant to pay back taxes and might refuse responsibility for interest or penalties associated with those taxes. If we are required to collect and pay back taxes and the associated interest and penalties, and if our clients fail or refuse to reimburse us for all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or a portion of these amounts, we will incur unplanned expenses that may be substantial. Moreover, imposition of such taxes on us going forward will effectively increase the cost of our software and services to our clients and might adversely affect our ability to retain existing clients or to gain new clients in the areas in which such taxes are imposed.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13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may become subject, from time to time, to legal proceedings and claims that arise in the ordinary course of business such as claims brought by our clients in connection with commercial disputes or employment claims made by our current or former employees.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 operating results and leading analysts or potential investors to lower their expectations of our performance, which could reduce the trading price of our stock.</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protect our intellectual property rights could impair our ability to protect our proprietary technology and our brand.</w:t>
      </w:r>
    </w:p>
    <w:p>
      <w:pPr>
        <w:spacing w:after="0" w:line="13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Our proprietary technologies are not covered by any patent or patent application. However, the steps we take to protect our intellectual property may be inadequate. We will not be able to protect our intellectual property if we are unable to enforce our rights or if we do not detect unauthorized use of our intellectual property. Despite our precautions, it may be possible for unauthorized third parties to copy our products and use information that we regard as proprietary to create products and services that compete with ours. Some license provisions protecting against unauthorized use, copying, transfer and disclosure of our products may be unenforceable under the laws of certain jurisdictions and foreign countries.</w:t>
      </w:r>
    </w:p>
    <w:p>
      <w:pPr>
        <w:spacing w:after="0" w:line="95"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 technologies may be breached and may not be adequate to protect our proprietary technologies. Further, these agreements do not prevent our competitors from independently developing technologies that are substantially equivalent or superior to our solutions. In addition, we depend, in part, on technology of third parties licensed to us for our solutions, and the loss or inability to maintain these licenses or errors in the software we license could result in increased costs, reduced service levels or delayed sales of our solutions.</w:t>
      </w:r>
    </w:p>
    <w:p>
      <w:pPr>
        <w:sectPr>
          <w:pgSz w:w="11900" w:h="16838" w:orient="portrait"/>
          <w:cols w:equalWidth="0" w:num="1">
            <w:col w:w="11420"/>
          </w:cols>
          <w:pgMar w:left="240" w:top="121" w:right="239" w:bottom="0" w:gutter="0" w:footer="0" w:header="0"/>
        </w:sectPr>
      </w:pPr>
    </w:p>
    <w:bookmarkStart w:id="16" w:name="page17"/>
    <w:bookmarkEnd w:id="16"/>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solutions, result in our substituting inferior or more costly technologies into our solutions, or injure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 future would have a material adverse effect on our business or operating results, our inability to license this technology could adversely affect our ability to compete.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sued by third parties for alleged infringement of their proprietary rights.</w:t>
      </w:r>
    </w:p>
    <w:p>
      <w:pPr>
        <w:spacing w:after="0" w:line="135"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 time to time, third parties may claim that we are infringing upon their intellectual property rights, and we may be found to be infringing upon such rights. In the future, others may claim that our applications and underlying technology infringe or violate their intellectual property rights. However, we may be unaware of the intellectual property rights that others may claim cover some or all of our technology or services. Any claims or litigation could cause us to incur significant expenses and, if successfully asserted against us, could require that we pay substantial damages or ongoing royalty payments, prevent us from offering our services, or require that we comply with other unfavorable terms. We may also be obligated to indemnify our clients or business partners or pay substantial settlement costs, including royalty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payments, in connection with any such claim or litigation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open source software in our products and solutions may expose us to additional risks and harm our intellectual property rights.</w:t>
      </w:r>
    </w:p>
    <w:p>
      <w:pPr>
        <w:spacing w:after="0" w:line="13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spacing w:after="0" w:line="8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seek licenses from third parties in order to continue offering our products or solutions, to re-develop our products or solutions, to discontinue sales of our products or solutions, or to release our proprietary software code under the terms of an open source license, any of which could harm our business. Further, given the nature of open source software, it may be more likely that third parties might assert copyright and other intellectual property infringement claims against us based on our use of these open source software programs.</w:t>
      </w:r>
    </w:p>
    <w:p>
      <w:pPr>
        <w:spacing w:after="0" w:line="9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While we monitor the use of all open source software in our products, solutions, processes and technology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 disclose the source code to our products and solutions. This could harm our intellectual property position and our business, results of operations and financial condition.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third-party software used in our products is not adequately maintained or updated, our business could be materially adversely affected.</w:t>
      </w:r>
    </w:p>
    <w:p>
      <w:pPr>
        <w:spacing w:after="0" w:line="135" w:lineRule="exact"/>
        <w:rPr>
          <w:sz w:val="20"/>
          <w:szCs w:val="20"/>
          <w:color w:val="auto"/>
        </w:rPr>
      </w:pPr>
    </w:p>
    <w:p>
      <w:pPr>
        <w:jc w:val="both"/>
        <w:ind w:right="300" w:firstLine="648"/>
        <w:spacing w:after="0" w:line="257" w:lineRule="auto"/>
        <w:rPr>
          <w:sz w:val="20"/>
          <w:szCs w:val="20"/>
          <w:color w:val="auto"/>
        </w:rPr>
      </w:pPr>
      <w:r>
        <w:rPr>
          <w:rFonts w:ascii="Times New Roman" w:cs="Times New Roman" w:eastAsia="Times New Roman" w:hAnsi="Times New Roman"/>
          <w:sz w:val="18"/>
          <w:szCs w:val="18"/>
          <w:color w:val="auto"/>
        </w:rPr>
        <w:t>Our products utilize certain software of third-party software developers. For example, we license technology from bswift as part of our Paylocity Web Benefits solution. Although we believe that there are alternatives for these products, any significant interruption in the availability of such third-party software could have an adverse impact on our business unless and until we can replace the functionality provided by these products at a similar cost.</w:t>
      </w:r>
    </w:p>
    <w:p>
      <w:pPr>
        <w:spacing w:after="0" w:line="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Additionally, we rely, to a certain extent, upon such third parties’ abilities to enhance their current products, to develop new products on a timely and cost-effective basis and to respond to emerging industry standards and other technological changes. We may be unable to replace the functionality provided by the third-party software currently offered in conjunction with our products in the event that such software becomes obsolete or incompatible with future versions of our products or is otherwise not adequately maintained or updated.</w:t>
      </w:r>
    </w:p>
    <w:p>
      <w:pPr>
        <w:spacing w:after="0" w:line="8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applications, and could have a negative impact on our business.</w:t>
      </w:r>
    </w:p>
    <w:p>
      <w:pPr>
        <w:spacing w:after="0" w:line="6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applications such as ours.</w:t>
      </w:r>
    </w:p>
    <w:p>
      <w:pPr>
        <w:spacing w:after="0" w:line="9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applications could suffer.</w:t>
      </w:r>
    </w:p>
    <w:p>
      <w:pPr>
        <w:sectPr>
          <w:pgSz w:w="11900" w:h="16838" w:orient="portrait"/>
          <w:cols w:equalWidth="0" w:num="1">
            <w:col w:w="11420"/>
          </w:cols>
          <w:pgMar w:left="240" w:top="121" w:right="239" w:bottom="0" w:gutter="0" w:footer="0" w:header="0"/>
        </w:sectPr>
      </w:pP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17" w:name="page18"/>
    <w:bookmarkEnd w:id="17"/>
    <w:p>
      <w:pPr>
        <w:spacing w:after="0" w:line="1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Furthermore, the availability or performance of our applications could be adversely affected by a number of factors, including clients’ inability to access the Internet, the failure of our network or software systems, security breaches or variability in user traffic for our services. For example, our clients access our solutions through their Internet service providers. If a service provider fails to provide sufficient capacity to support our applications or otherwise experiences service outages, such failure could interrupt our clients’ access to our solutions, adversely affect their perception of our applications’ reliability and reduce our revenues. In addition to potential liability, if we experience interruptions in the availability of our applications, our reputation could be adversely affected and we could lose clients.</w:t>
      </w:r>
    </w:p>
    <w:p>
      <w:pPr>
        <w:spacing w:after="0" w:line="8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requirements placed on our software and services could impose increased costs on us, delay or prevent our introduction of new products and services, and impair the function or value of our existing products and services.</w:t>
      </w:r>
    </w:p>
    <w:p>
      <w:pPr>
        <w:spacing w:after="0" w:line="64"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products and services may become subject to increasing regulatory requirements, and as these requirements proliferate, we may be required to change or adapt our products and services to comply. Changing regulatory requirements might render our products and services obsolete or might block us from developing new products and services. This might in turn impose additional costs upon us to comply or to further develop our products and services. It might also make introduction of new products and services more costly or more time-consuming than we currently anticipate. It might even prevent introduction by us of new products or services or cause the continuation of our existing products or services to become more costly.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require additional capital to support business growth, and this capital might not be available.</w:t>
      </w:r>
    </w:p>
    <w:p>
      <w:pPr>
        <w:spacing w:after="0" w:line="135"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might require additional funds to respond to business challenges or opportunities, including the need to develop new products and services or enhance our existing services, enhance our operating infrastructure, and acquire complementary businesses and technologies. Accordingly, we might need to engage in equity or debt financings to secure additional funds. In addition, we will need to expand our ACH capacity as we grow our business.</w:t>
      </w:r>
    </w:p>
    <w:p>
      <w:pPr>
        <w:spacing w:after="0" w:line="8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or ACH facility secured by us in the future could involve restrictive covenants relating to our capital-raising activities and other financial and operational matters, which might make it more difficult for us to obtain additional capital and to pursue business opportunities and to grow our business. In addition, we might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limited.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services present the potential for embezzlement, identity theft, or other similar illegal behavior by our associates with respect to third parties.</w:t>
      </w:r>
    </w:p>
    <w:p>
      <w:pPr>
        <w:spacing w:after="0" w:line="13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Certain services offered by us involve collecting payroll information from individuals, and this frequently includes information about their checking accounts. Our services also involve the use and disclosure of personal and business information that could be used to impersonate third parties, commit identity theft, or otherwise gain access to their data or funds. If any of our associates take, convert, or misuse such funds, documents or data, we could be liable for damages, and our business reputation could be damaged or destroyed. Moreover, if we fail to adequately prevent third parties from accessing personal and/or business information and using that information to commit identity theft, we might face legal liabilities and other losses than can have a negative impact on our business.</w:t>
      </w:r>
    </w:p>
    <w:p>
      <w:pPr>
        <w:spacing w:after="0" w:line="8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third-party shipping provider to deliver printed checks to our clients, and therefore our business could be negatively impacted by disruptions in the operations of this third-party provider.</w:t>
      </w:r>
    </w:p>
    <w:p>
      <w:pPr>
        <w:spacing w:after="0" w:line="6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rely on third-party couriers such as the United Parcel Service, or UPS, to ship printed checks to our clients. Relying on UPS and other third-party couriers puts us at risk from disruptions in their operations, such as employee strikes, inclement weather and their ability to perform tasks on our behalf. If UPS or other third-party couriers fail to perform their tasks, we could incur liability or suffer damages to our reputation, or both. If we are forced to use other third-party couriers, our costs could increase and we may not be able to meet shipment deadlines. Moreover, we may not be able to obtain terms as favorable as those we currently use, which could further increase our costs. These circumstances may negatively impact our business, financial condition and results of operations.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135"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color w:val="auto"/>
        </w:rPr>
        <w:t xml:space="preserve">Generally accepted accounting principles in the United States are subject to interpretation by the Financial Accounting Standards Board, or FASB, the Securities and Exchange Commission, and various bodies formed to promulgate and interpret appropriate accounting principles. A change in these principles or interpretations could have a significant effect on our reported financial results including increased volatility, and could affect the reporting of transactions completed before the announcement of a change. </w:t>
      </w:r>
      <w:r>
        <w:rPr>
          <w:rFonts w:ascii="Times New Roman" w:cs="Times New Roman" w:eastAsia="Times New Roman" w:hAnsi="Times New Roman"/>
          <w:sz w:val="17"/>
          <w:szCs w:val="17"/>
          <w:color w:val="auto"/>
        </w:rPr>
        <w:t>In particular, changes to regulations concerning revenue recognition could require us to alter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current revenue accounting practices and cause us to either defer revenue into a future period, or to recognize lower revenue in a current period, and the implementation of such changes could increase compliance costs.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6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 consummated.</w:t>
      </w:r>
    </w:p>
    <w:p>
      <w:pPr>
        <w:spacing w:after="0" w:line="82" w:lineRule="exact"/>
        <w:rPr>
          <w:sz w:val="20"/>
          <w:szCs w:val="20"/>
          <w:color w:val="auto"/>
        </w:rPr>
      </w:pPr>
    </w:p>
    <w:p>
      <w:pPr>
        <w:jc w:val="both"/>
        <w:ind w:right="540" w:firstLine="648"/>
        <w:spacing w:after="0" w:line="266" w:lineRule="auto"/>
        <w:rPr>
          <w:sz w:val="20"/>
          <w:szCs w:val="20"/>
          <w:color w:val="auto"/>
        </w:rPr>
      </w:pPr>
      <w:r>
        <w:rPr>
          <w:rFonts w:ascii="Times New Roman" w:cs="Times New Roman" w:eastAsia="Times New Roman" w:hAnsi="Times New Roman"/>
          <w:sz w:val="18"/>
          <w:szCs w:val="18"/>
          <w:color w:val="auto"/>
        </w:rPr>
        <w:t>In addition, we have limited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82" w:lineRule="exact"/>
        <w:rPr>
          <w:sz w:val="20"/>
          <w:szCs w:val="20"/>
          <w:color w:val="auto"/>
        </w:rPr>
      </w:pPr>
    </w:p>
    <w:p>
      <w:pPr>
        <w:ind w:left="1260" w:hanging="280"/>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integrate or benefit from acquired technologies or services in a profitable manner;</w:t>
      </w:r>
    </w:p>
    <w:p>
      <w:pPr>
        <w:spacing w:after="0" w:line="13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w:t>
      </w:r>
    </w:p>
    <w:p>
      <w:pPr>
        <w:spacing w:after="0" w:line="13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acquisition-related costs;</w:t>
      </w:r>
    </w:p>
    <w:p>
      <w:pPr>
        <w:sectPr>
          <w:pgSz w:w="11900" w:h="16856" w:orient="portrait"/>
          <w:cols w:equalWidth="0" w:num="1">
            <w:col w:w="11400"/>
          </w:cols>
          <w:pgMar w:left="240" w:top="364" w:right="259" w:bottom="0" w:gutter="0" w:footer="0" w:header="0"/>
        </w:sectPr>
      </w:pPr>
    </w:p>
    <w:bookmarkStart w:id="18" w:name="page19"/>
    <w:bookmarkEnd w:id="18"/>
    <w:p>
      <w:pPr>
        <w:ind w:left="1260" w:hanging="280"/>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accounting systems, operations and personnel of the acquired business;</w:t>
      </w:r>
    </w:p>
    <w:p>
      <w:pPr>
        <w:spacing w:after="0" w:line="13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additional expenses associated with supporting legacy products and hosting infrastructure of the acquired business;</w:t>
      </w:r>
    </w:p>
    <w:p>
      <w:pPr>
        <w:spacing w:after="0" w:line="130" w:lineRule="exact"/>
        <w:rPr>
          <w:rFonts w:ascii="Times New Roman" w:cs="Times New Roman" w:eastAsia="Times New Roman" w:hAnsi="Times New Roman"/>
          <w:sz w:val="18"/>
          <w:szCs w:val="18"/>
          <w:color w:val="auto"/>
        </w:rPr>
      </w:pPr>
    </w:p>
    <w:p>
      <w:pPr>
        <w:ind w:left="1300" w:right="360" w:hanging="320"/>
        <w:spacing w:after="0" w:line="282" w:lineRule="auto"/>
        <w:tabs>
          <w:tab w:leader="none" w:pos="12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converting the clients of the acquired business onto our applications and contract terms, including disparities in the revenues, licensing, support or professional services model of the acquired company;</w:t>
      </w:r>
    </w:p>
    <w:p>
      <w:pPr>
        <w:spacing w:after="0" w:line="67"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13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existing business relationships with business partners and clients as a result of the acquisition;</w:t>
      </w:r>
    </w:p>
    <w:p>
      <w:pPr>
        <w:spacing w:after="0" w:line="13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w:t>
      </w:r>
    </w:p>
    <w:p>
      <w:pPr>
        <w:spacing w:after="0" w:line="13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 and</w:t>
      </w:r>
    </w:p>
    <w:p>
      <w:pPr>
        <w:spacing w:after="0" w:line="13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the acquisition.</w:t>
      </w:r>
    </w:p>
    <w:p>
      <w:pPr>
        <w:spacing w:after="0" w:line="13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Acquisitions could also result in dilutive issuances of equity securities or the incurrence of debt, which could adversely affect our operating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if an acquired business fails to meet our expectations, our operating results, business and financial position may suffer.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3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Insiders have substantial control over us, which may limit our stockholders’ ability to influence corporate matters and delay or prevent a third party from acquiring control over us.</w:t>
      </w:r>
    </w:p>
    <w:p>
      <w:pPr>
        <w:spacing w:after="0" w:line="6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of August 5, 2016, our directors, executive officers and holders of more than 5% of our common stock, together with their respective affiliates, beneficially owned, in the aggregate, approximately 51.5% of our outstanding common stock. This significant concentration of ownership may adversely affect the trading price for our common stock because investors often perceive disadvantages in owning stock in companies with controlling stockholders. In addition, these stockholders will be able to exercise influence over all matters requiring stockholder approval, including the election of directors and approval of corporate transactions, such as a merger or other sale of our company or its assets. This concentration of ownership could limit the ability of our other stockholders to influence corporate matters and may have the effect of delaying or preventing a change in control, including a merger, consolidation, or other business combination involving us, or discouraging a potential acquirer from making a tender offer or otherwise attempting to obtain control, even if that change in control would benefit our other stockholders.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subject to wide fluctuations.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trading price of our common stock could be subject to wide fluctuations in response to various factors, some of which are beyond our control.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factors include those discussed in this “Risk Factors” section of this Annual Report on Form 10-K and others such as:</w:t>
      </w:r>
    </w:p>
    <w:p>
      <w:pPr>
        <w:spacing w:after="0" w:line="112" w:lineRule="exact"/>
        <w:rPr>
          <w:sz w:val="20"/>
          <w:szCs w:val="20"/>
          <w:color w:val="auto"/>
        </w:rPr>
      </w:pPr>
    </w:p>
    <w:p>
      <w:pPr>
        <w:ind w:left="1260" w:hanging="280"/>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and the operating performance of similar companies;</w:t>
      </w:r>
    </w:p>
    <w:p>
      <w:pPr>
        <w:spacing w:after="0" w:line="13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business plans or commercial relationships;</w:t>
      </w:r>
    </w:p>
    <w:p>
      <w:pPr>
        <w:spacing w:after="0" w:line="13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senior management;</w:t>
      </w:r>
    </w:p>
    <w:p>
      <w:pPr>
        <w:spacing w:after="0" w:line="130" w:lineRule="exact"/>
        <w:rPr>
          <w:rFonts w:ascii="Times New Roman" w:cs="Times New Roman" w:eastAsia="Times New Roman" w:hAnsi="Times New Roman"/>
          <w:sz w:val="18"/>
          <w:szCs w:val="18"/>
          <w:color w:val="auto"/>
        </w:rPr>
      </w:pPr>
    </w:p>
    <w:p>
      <w:pPr>
        <w:ind w:left="1300" w:right="540" w:hanging="320"/>
        <w:spacing w:after="0" w:line="282" w:lineRule="auto"/>
        <w:tabs>
          <w:tab w:leader="none" w:pos="12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news stories about us, our competitors, or our industry, or positive or negative recommendations or withdrawal of research coverage by securities analysts;</w:t>
      </w:r>
    </w:p>
    <w:p>
      <w:pPr>
        <w:spacing w:after="0" w:line="67"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13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our directors, executive officers and affiliates;</w:t>
      </w:r>
    </w:p>
    <w:p>
      <w:pPr>
        <w:spacing w:after="0" w:line="13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indebtedness we may incur or securities we may issue in the future;</w:t>
      </w:r>
    </w:p>
    <w:p>
      <w:pPr>
        <w:spacing w:after="0" w:line="13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 our common stock;</w:t>
      </w:r>
    </w:p>
    <w:p>
      <w:pPr>
        <w:spacing w:after="0" w:line="13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litigation; and</w:t>
      </w:r>
    </w:p>
    <w:p>
      <w:pPr>
        <w:spacing w:after="0" w:line="130" w:lineRule="exact"/>
        <w:rPr>
          <w:rFonts w:ascii="Times New Roman" w:cs="Times New Roman" w:eastAsia="Times New Roman" w:hAnsi="Times New Roman"/>
          <w:sz w:val="18"/>
          <w:szCs w:val="18"/>
          <w:color w:val="auto"/>
        </w:rPr>
      </w:pPr>
    </w:p>
    <w:p>
      <w:pPr>
        <w:ind w:left="1300" w:right="180" w:hanging="320"/>
        <w:spacing w:after="0" w:line="266" w:lineRule="auto"/>
        <w:tabs>
          <w:tab w:leader="none" w:pos="12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changes in general conditions in the United States and global economies or financial markets (including those resulting from the United Kingdom’s decision to exit from the European Union, acts of God, war, incidents of terrorism, or other destabilizing events and the resulting responses to them).</w:t>
      </w:r>
    </w:p>
    <w:p>
      <w:pPr>
        <w:spacing w:after="0" w:line="8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Internet-related companies in particular, have experienced extreme price and volume fluctuations that have often been unrelated or disproportionate to the operating performance of those companies. 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64" w:lineRule="exact"/>
        <w:rPr>
          <w:sz w:val="20"/>
          <w:szCs w:val="20"/>
          <w:color w:val="auto"/>
        </w:rPr>
      </w:pPr>
    </w:p>
    <w:p>
      <w:pPr>
        <w:ind w:right="180" w:firstLine="648"/>
        <w:spacing w:after="0" w:line="281" w:lineRule="auto"/>
        <w:rPr>
          <w:sz w:val="20"/>
          <w:szCs w:val="20"/>
          <w:color w:val="auto"/>
        </w:rPr>
      </w:pPr>
      <w:r>
        <w:rPr>
          <w:rFonts w:ascii="Times New Roman" w:cs="Times New Roman" w:eastAsia="Times New Roman" w:hAnsi="Times New Roman"/>
          <w:sz w:val="17"/>
          <w:szCs w:val="17"/>
          <w:color w:val="auto"/>
        </w:rPr>
        <w:t>We have not declared or paid dividends on our common stock in the past two fiscal years and do not currently intend to do so for the foreseeable future. We currently intend to invest our future earnings, if any, to fund our growth.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by existing stockholders could depress the market price of our common stock.</w:t>
      </w:r>
    </w:p>
    <w:p>
      <w:pPr>
        <w:sectPr>
          <w:pgSz w:w="11900" w:h="16838" w:orient="portrait"/>
          <w:cols w:equalWidth="0" w:num="1">
            <w:col w:w="11380"/>
          </w:cols>
          <w:pgMar w:left="240" w:top="243" w:right="279" w:bottom="0" w:gutter="0" w:footer="0" w:header="0"/>
        </w:sectPr>
      </w:pPr>
    </w:p>
    <w:bookmarkStart w:id="19" w:name="page20"/>
    <w:bookmarkEnd w:id="19"/>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As of August 5, 2016, we had an aggregate of 51,157,430 outstanding shares of common stock. The 17,362,750 shares sold in our initial public offering and follow-on offering can be freely sold in the public market without restriction. The remaining shares can be freely sold in the public market, subject in some cases to volume and other restrictions under Rule 144 and 701 under the Securities Act of 1933, as amended, and various agreements.</w:t>
      </w:r>
    </w:p>
    <w:p>
      <w:pPr>
        <w:spacing w:after="0" w:line="82" w:lineRule="exact"/>
        <w:rPr>
          <w:sz w:val="20"/>
          <w:szCs w:val="20"/>
          <w:color w:val="auto"/>
        </w:rPr>
      </w:pPr>
    </w:p>
    <w:p>
      <w:pPr>
        <w:jc w:val="both"/>
        <w:ind w:right="160" w:firstLine="648"/>
        <w:spacing w:after="0" w:line="258" w:lineRule="auto"/>
        <w:rPr>
          <w:sz w:val="20"/>
          <w:szCs w:val="20"/>
          <w:color w:val="auto"/>
        </w:rPr>
      </w:pPr>
      <w:r>
        <w:rPr>
          <w:rFonts w:ascii="Times New Roman" w:cs="Times New Roman" w:eastAsia="Times New Roman" w:hAnsi="Times New Roman"/>
          <w:sz w:val="18"/>
          <w:szCs w:val="18"/>
          <w:color w:val="auto"/>
        </w:rPr>
        <w:t>In addition, we have registered 12,778,598 shares of common stock that we have issued and may issue under our equity plans. These shares can be freely sold in the public market upon issuance, subject in some cases to volume and other restrictions under Rules 144 and 701 under the Securities Act, and various vesting agreements. In addition, some of our employees, including some of our executive officers, have entered into 10b5-1 trading plans regarding sales of shares of our common stock. These plans provide for sales to occur from time to time. If any of these additional shares are sold, or if it is perceived that they will be sold, in the public market, the trading price of our common stock could decline.</w:t>
      </w:r>
    </w:p>
    <w:p>
      <w:pPr>
        <w:spacing w:after="0" w:line="8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Also, in the future, we may issue additional securities in connection with investments and acquisitions. The amount of our common stock issued in connection with an investment or acquisition could constitute a material portion of our then outstanding stock. Due to these factors,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internal controls over financial reporting, investors may lose confidence in the accuracy and completeness of our financial reports and the market price of our common stock may be negatively affected.</w:t>
      </w:r>
    </w:p>
    <w:p>
      <w:pPr>
        <w:spacing w:after="0" w:line="6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 controls over financial reporting and provide a management report on the internal controls over financial reporting. In addition, the Sarbanes-Oxley Act requires that our management report on the internal controls over financial reporting be attested to by our independent registered public accounting firm. If we have a material weakness in our internal controls over financial reporting, we may not detect errors on a timely basis and our financial statements may be materially misstated. Compliance with these public company requirements has made some activities more time-consuming, costly and complicated. If we identify material weaknesses in our internal controls over financial reporting,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9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significantly increased costs and devote substantial management time as a result of operating as a public company.</w:t>
      </w:r>
    </w:p>
    <w:p>
      <w:pPr>
        <w:spacing w:after="0" w:line="6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For example, we are subject to the reporting requirements of the Securities Exchange Act of 1934, as amended, or the Exchange Act, and are required to comply with the applicable requirements of the Sarbanes-Oxley Act and the Dodd-Frank Wall Street Reform and Consumer Protection Act, as well as rules and regulations subsequently implemented by the SEC and the NASDAQ Global Select Market including the establishment and maintenance of effective disclosure and financial controls and changes in corporate governance practices. Compliance with these requirements has increased our legal and financial compliance costs and has made some activities more time consuming and costly. In addition, our management and other personnel have been required to divert attention from operational and other business matters to devote substantial time to these public company requirements. In particular, we have incurred significant expenses and devoted substantial management effort toward ensuring compliance with the requirements of Section 404 of the Sarbanes-Oxley Act. Although we have hired additional employees to comply with these requirements, we will need to hire additional accounting and financial staff with appropriate public company experience and technical accounting knowledge. We cannot predict or estimate the amount of additional costs we may incur or the timing of such costs.</w:t>
      </w:r>
    </w:p>
    <w:p>
      <w:pPr>
        <w:spacing w:after="0" w:line="9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publish unfavorable or misleading research about our business, our stock price and trading volume could decline.</w:t>
      </w:r>
    </w:p>
    <w:p>
      <w:pPr>
        <w:spacing w:after="0" w:line="6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unfavorable or misleading research about our business, our stock price would likely decline. If one or more of these analysts ceases coverage of our company or fails to publish reports on us regularly, we could lose visibility in the market for our stock and demand for our stock could decrease, which could cause our stock price or trading volume to decline.</w:t>
      </w:r>
    </w:p>
    <w:p>
      <w:pPr>
        <w:spacing w:after="0" w:line="8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6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 stockholder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bylaws:</w:t>
      </w:r>
    </w:p>
    <w:p>
      <w:pPr>
        <w:spacing w:after="0" w:line="89" w:lineRule="exact"/>
        <w:rPr>
          <w:sz w:val="20"/>
          <w:szCs w:val="20"/>
          <w:color w:val="auto"/>
        </w:rPr>
      </w:pPr>
    </w:p>
    <w:p>
      <w:pPr>
        <w:ind w:left="1300" w:right="480" w:hanging="320"/>
        <w:spacing w:after="0" w:line="282" w:lineRule="auto"/>
        <w:tabs>
          <w:tab w:leader="none" w:pos="12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convertible preferred stock that could be issued by our board of directors to thwart a takeover attempt;</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67"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directors only be removed from office for cause and only upon a supermajority stockholder vote;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20"/>
          </w:cols>
          <w:pgMar w:left="240" w:top="121" w:right="239" w:bottom="36" w:gutter="0" w:footer="0" w:header="0"/>
        </w:sectPr>
      </w:pPr>
    </w:p>
    <w:bookmarkStart w:id="20" w:name="page21"/>
    <w:bookmarkEnd w:id="20"/>
    <w:p>
      <w:pPr>
        <w:ind w:left="1300" w:right="280" w:hanging="320"/>
        <w:spacing w:after="0" w:line="282" w:lineRule="auto"/>
        <w:tabs>
          <w:tab w:leader="none" w:pos="12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of directors, including newly-created directorships, may be filled only by a majority vote of directors then in office rather than by stockholders;</w:t>
      </w:r>
    </w:p>
    <w:p>
      <w:pPr>
        <w:spacing w:after="0" w:line="67"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stockholders from calling special meetings; and</w:t>
      </w:r>
    </w:p>
    <w:p>
      <w:pPr>
        <w:spacing w:after="0" w:line="130"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requiring all actions to be taken at a meeting of the stockholders.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35"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As of June 30, 2016, our corporate headquarters occupied approximately 135,000 square feet in Arlington Heights, Illinois under leases with final expiration in July 2022. As of June 30, 2016, we also leased facilities in New York, New York, Lake Mary, Florida, Nashua, New Hampshire, Springfield, New Jersey, Boise, Idaho and Oakland, California.</w:t>
      </w:r>
    </w:p>
    <w:p>
      <w:pPr>
        <w:spacing w:after="0" w:line="8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June 2016, we entered into a lease for approximately 309,559 rentable square feet of office space located in Schaumburg, Illinois. We intend to use the leased premises as our headquarters upon the expiration of the lease of our current headquarters. The lease provides for phased delivery and commencement dates, with commencement expected to occur on the following approximate dates: Phase I (June 1, 2017), Phase II (Nov 1, 2017), Phase III (July 1, 2018), and Phase IV (July 1, 2019). The actual commencement dates are subject to timely delivery of the premises by the landlord. The lease provides for a term beginning on the Phase I commencement date and ending 180 full calendar months after the landlord delivers the Phase II premises, which is expected to be on or about November 1, 2017, with two subsequent five year renewal options.</w:t>
      </w:r>
    </w:p>
    <w:p>
      <w:pPr>
        <w:spacing w:after="0" w:line="93"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obligations under operating leases, see Note 10 of the Notes to Consolidated Financial Statements included in Part II, Item 8: “Financial Statements and Supplementary Data” of this Annual Report on Form 10-K.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3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63" w:lineRule="exact"/>
        <w:rPr>
          <w:sz w:val="20"/>
          <w:szCs w:val="20"/>
          <w:color w:val="auto"/>
        </w:rPr>
      </w:pPr>
    </w:p>
    <w:p>
      <w:pPr>
        <w:jc w:val="center"/>
        <w:ind w:right="894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35" w:lineRule="exact"/>
        <w:rPr>
          <w:sz w:val="20"/>
          <w:szCs w:val="20"/>
          <w:color w:val="auto"/>
        </w:rPr>
      </w:pPr>
    </w:p>
    <w:p>
      <w:pPr>
        <w:jc w:val="center"/>
        <w:ind w:right="9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31" w:lineRule="exact"/>
        <w:rPr>
          <w:sz w:val="20"/>
          <w:szCs w:val="20"/>
          <w:color w:val="auto"/>
        </w:rPr>
      </w:pPr>
    </w:p>
    <w:p>
      <w:pPr>
        <w:ind w:left="440" w:right="1080" w:firstLine="633"/>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b w:val="1"/>
          <w:bCs w:val="1"/>
          <w:i w:val="1"/>
          <w:iCs w:val="1"/>
          <w:color w:val="auto"/>
        </w:rPr>
        <w:t>Market Information</w:t>
      </w:r>
    </w:p>
    <w:p>
      <w:pPr>
        <w:spacing w:after="0" w:line="1"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“PCTY”. The following table sets forth for the periods indicated the high and low intra-day sale prices per share of our common stock as reported on the NASDAQ Global Select Market:</w:t>
      </w:r>
    </w:p>
    <w:p>
      <w:pPr>
        <w:spacing w:after="0" w:line="374"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 June 30, 2015</w:t>
            </w: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High</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Low</w:t>
            </w:r>
          </w:p>
        </w:tc>
        <w:tc>
          <w:tcPr>
            <w:tcW w:w="0" w:type="dxa"/>
            <w:vAlign w:val="bottom"/>
          </w:tcPr>
          <w:p>
            <w:pPr>
              <w:spacing w:after="0"/>
              <w:rPr>
                <w:sz w:val="1"/>
                <w:szCs w:val="1"/>
                <w:color w:val="auto"/>
              </w:rPr>
            </w:pPr>
          </w:p>
        </w:tc>
      </w:tr>
      <w:tr>
        <w:trPr>
          <w:trHeight w:val="205"/>
        </w:trPr>
        <w:tc>
          <w:tcPr>
            <w:tcW w:w="65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26.00</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30.41</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33.22</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22.21</w:t>
            </w:r>
          </w:p>
        </w:tc>
        <w:tc>
          <w:tcPr>
            <w:tcW w:w="0" w:type="dxa"/>
            <w:vAlign w:val="bottom"/>
          </w:tcPr>
          <w:p>
            <w:pPr>
              <w:spacing w:after="0"/>
              <w:rPr>
                <w:sz w:val="1"/>
                <w:szCs w:val="1"/>
                <w:color w:val="auto"/>
              </w:rPr>
            </w:pPr>
          </w:p>
        </w:tc>
      </w:tr>
      <w:tr>
        <w:trPr>
          <w:trHeight w:val="212"/>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37.96</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26.16</w:t>
            </w:r>
          </w:p>
        </w:tc>
        <w:tc>
          <w:tcPr>
            <w:tcW w:w="0" w:type="dxa"/>
            <w:vAlign w:val="bottom"/>
          </w:tcPr>
          <w:p>
            <w:pPr>
              <w:spacing w:after="0"/>
              <w:rPr>
                <w:sz w:val="1"/>
                <w:szCs w:val="1"/>
                <w:color w:val="auto"/>
              </w:rPr>
            </w:pPr>
          </w:p>
        </w:tc>
      </w:tr>
      <w:tr>
        <w:trPr>
          <w:trHeight w:val="220"/>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June 30, 2016</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37.49</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29.02</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46.23</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29.66</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38.56</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25.17</w:t>
            </w: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43.20</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32.88</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240" w:firstLine="441"/>
        <w:spacing w:after="0" w:line="261" w:lineRule="auto"/>
        <w:rPr>
          <w:sz w:val="20"/>
          <w:szCs w:val="20"/>
          <w:color w:val="auto"/>
        </w:rPr>
      </w:pPr>
      <w:r>
        <w:rPr>
          <w:rFonts w:ascii="Times New Roman" w:cs="Times New Roman" w:eastAsia="Times New Roman" w:hAnsi="Times New Roman"/>
          <w:sz w:val="18"/>
          <w:szCs w:val="18"/>
          <w:color w:val="auto"/>
        </w:rPr>
        <w:t>On August 5, 2016, the last reported sale price of our common stock on the NASDAQ Global Select Market was $47.25 per share, and there were 17 holders of record of our common stock. The actual number of holders of common stock is greater than these numbers of record holders and includes stockholders who are beneficial owners, but whose shares are held in street name by brokers and nominees. The number of holders of record also does not include stockholders whose shares may be held in trust by other entities.</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Initial Public Offering of Common Stock</w:t>
      </w:r>
    </w:p>
    <w:p>
      <w:pPr>
        <w:spacing w:after="0" w:line="135"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On March 24, 2014, we completed our initial public offering, or IPO, of 8,101,750 shares of common stock, at a price of $17.00 per share, before underwriting discounts and commissions. We sold 5,366,667 of such shares and existing shareholders sold an aggregate of 2,735,083 of such shares. The offer and sale of all of the shares in the IPO were registered under the Securities Act pursuant to a registration statement on Form S-1 (File No. 333-193661), which was declared effective by the SEC on March 18, 2014.</w:t>
      </w:r>
    </w:p>
    <w:p>
      <w:pPr>
        <w:spacing w:after="0" w:line="86"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With the proceeds of the IPO, we repaid amounts outstanding under a note issued by us to Commerce Bank &amp; Trust Company on March 9, 2011, which totaled $1.1 million, paid $9.4 million for the purchase of substantially all of the assets of BFKMS Inc., and paid $9.5 million for the purchase of substantially all of the assets of Synergy Payroll LLC.</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Follow-On Offering of Common Stock</w:t>
      </w:r>
    </w:p>
    <w:p>
      <w:pPr>
        <w:spacing w:after="0" w:line="135"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On December 17, 2014, we completed a follow-on offering of 4,960,000 shares of common stock at a price of $26.25 per share, before underwriting discounts and commissions. We sold 750,000 of such shares and existing shareholders sold an aggregate of 4,210,000 of such shares. The offer and sale of all of the shares in the follow-on offering were registered under the Securities Act pursuant to a registration statement on Form S-1 (File No. 333-200448) which</w:t>
      </w:r>
    </w:p>
    <w:p>
      <w:pPr>
        <w:sectPr>
          <w:pgSz w:w="11900" w:h="16838" w:orient="portrait"/>
          <w:cols w:equalWidth="0" w:num="1">
            <w:col w:w="11420"/>
          </w:cols>
          <w:pgMar w:left="240" w:top="121" w:right="239" w:bottom="0" w:gutter="0" w:footer="0" w:header="0"/>
        </w:sectPr>
      </w:pPr>
    </w:p>
    <w:bookmarkStart w:id="21" w:name="page22"/>
    <w:bookmarkEnd w:id="21"/>
    <w:p>
      <w:pPr>
        <w:ind w:right="20"/>
        <w:spacing w:after="0" w:line="282" w:lineRule="auto"/>
        <w:rPr>
          <w:sz w:val="20"/>
          <w:szCs w:val="20"/>
          <w:color w:val="auto"/>
        </w:rPr>
      </w:pPr>
      <w:r>
        <w:rPr>
          <w:rFonts w:ascii="Times New Roman" w:cs="Times New Roman" w:eastAsia="Times New Roman" w:hAnsi="Times New Roman"/>
          <w:sz w:val="18"/>
          <w:szCs w:val="18"/>
          <w:color w:val="auto"/>
        </w:rPr>
        <w:t>was declared effective by the SEC on December 11, 2014. There have been no material changes in the planned use of proceeds from the follow-on offering as described in the final prospectus filed with the SEC pursuant to Rule 424(b) on December 12, 2014.</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Secondary Offering of Common Stock</w:t>
      </w:r>
    </w:p>
    <w:p>
      <w:pPr>
        <w:spacing w:after="0" w:line="135"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On September 30, 2015, we completed a secondary offering of 4,301,000 shares of common stock at a price of $29.75 per share, before underwriting discounts and commissions. The offer and sale of all of the shares in the secondary offering were registered under the Securities Act pursuant to a registration statement on Form S-3 (File No. 333-206941) which was declared effective by the SEC on September 25, 2015. The Company did not receive any proceeds from the sale of common stock, as all the shares were sold by shareholders of the Company.</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35"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We have not declared or paid dividends on our common stock in the past two fiscal years. Neither Delaware law nor our amended and restated certificate of incorporation requires our board of directors to declare dividends on our common stock. Any future determination to declare cash dividends on our common stock will be made at the discretion of our board of directors and will</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60"/>
        <w:spacing w:after="0" w:line="282" w:lineRule="auto"/>
        <w:rPr>
          <w:sz w:val="20"/>
          <w:szCs w:val="20"/>
          <w:color w:val="auto"/>
        </w:rPr>
      </w:pPr>
      <w:r>
        <w:rPr>
          <w:rFonts w:ascii="Times New Roman" w:cs="Times New Roman" w:eastAsia="Times New Roman" w:hAnsi="Times New Roman"/>
          <w:sz w:val="18"/>
          <w:szCs w:val="18"/>
          <w:color w:val="auto"/>
        </w:rPr>
        <w:t>depend on our financial condition, results of operations, capital requirements, general business conditions and other factors that our board of directors may deem relevant. We do not anticipate paying cash dividends on our common stock for the foreseeable future.</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Information</w:t>
      </w:r>
    </w:p>
    <w:p>
      <w:pPr>
        <w:spacing w:after="0" w:line="135" w:lineRule="exact"/>
        <w:rPr>
          <w:sz w:val="20"/>
          <w:szCs w:val="20"/>
          <w:color w:val="auto"/>
        </w:rPr>
      </w:pPr>
    </w:p>
    <w:p>
      <w:pPr>
        <w:jc w:val="both"/>
        <w:ind w:right="260" w:firstLine="441"/>
        <w:spacing w:after="0" w:line="266" w:lineRule="auto"/>
        <w:rPr>
          <w:sz w:val="20"/>
          <w:szCs w:val="20"/>
          <w:color w:val="auto"/>
        </w:rPr>
      </w:pPr>
      <w:r>
        <w:rPr>
          <w:rFonts w:ascii="Times New Roman" w:cs="Times New Roman" w:eastAsia="Times New Roman" w:hAnsi="Times New Roman"/>
          <w:sz w:val="18"/>
          <w:szCs w:val="18"/>
          <w:color w:val="auto"/>
        </w:rPr>
        <w:t>Information regarding the securities authorized for issuance under our equity compensation plans will be included in our Proxy Statement relating to our 2017 annual meeting of stockholders to be filed with the SEC within 120 days after the end of our fiscal year ended June 30, 2016, and is incorporated herein by reference.</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133" w:lineRule="exact"/>
        <w:rPr>
          <w:sz w:val="20"/>
          <w:szCs w:val="20"/>
          <w:color w:val="auto"/>
        </w:rPr>
      </w:pPr>
    </w:p>
    <w:p>
      <w:pPr>
        <w:ind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Notwithstanding any statement to the contrary in any of our filings with the SEC, the following information shall not be deemed “filed” with the SEC or “soliciting material” under the Securities Exchange Act of 1934 and shall not be incorporated by reference into any such filings irrespective of any general incorporation language contained in such filing.</w:t>
      </w:r>
    </w:p>
    <w:p>
      <w:pPr>
        <w:spacing w:after="0" w:line="81"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total cumulative stockholder return on our common stock with the total cumulative return of the S&amp;P 500 Index and the S&amp;P 1500 Application Software Index during the period commencing on March 19, 2014, the initial trading day of our common stock, and ending on June 30, 2016. The graph assumes that $100 was invested at the beginning of the period in our common stock and in each of the comparative indices, and the reinvestment of any dividends. Historical stock price performance should not be relied upon as an indication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Selected Financial Data</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You should read the following selected consolidated financial data together with our consolidated financial statements and related notes included elsewhere in this Annual Report on Form 10-K and the information under the section titled “Management’s Discussion and Analysis of Financial Condition and Results of Operations.” Our fiscal year ends on June 30. The statements of operations data presented below have been derived from our audited consolidated financial statements. Historical results are not necessarily indicative of future results.</w:t>
      </w:r>
    </w:p>
    <w:p>
      <w:pPr>
        <w:spacing w:after="0" w:line="17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Year Ended June 30,</w:t>
      </w:r>
    </w:p>
    <w:p>
      <w:pPr>
        <w:spacing w:after="0" w:line="31" w:lineRule="exact"/>
        <w:rPr>
          <w:sz w:val="20"/>
          <w:szCs w:val="20"/>
          <w:color w:val="auto"/>
        </w:rPr>
      </w:pPr>
    </w:p>
    <w:p>
      <w:pPr>
        <w:jc w:val="center"/>
        <w:ind w:left="5540"/>
        <w:spacing w:after="0"/>
        <w:tabs>
          <w:tab w:leader="none" w:pos="600" w:val="left"/>
          <w:tab w:leader="none" w:pos="640" w:val="left"/>
          <w:tab w:leader="none" w:pos="720" w:val="left"/>
          <w:tab w:leader="none" w:pos="720" w:val="left"/>
        </w:tabs>
        <w:rPr>
          <w:sz w:val="20"/>
          <w:szCs w:val="20"/>
          <w:color w:val="auto"/>
        </w:rPr>
      </w:pPr>
      <w:r>
        <w:rPr>
          <w:rFonts w:ascii="Times New Roman" w:cs="Times New Roman" w:eastAsia="Times New Roman" w:hAnsi="Times New Roman"/>
          <w:sz w:val="18"/>
          <w:szCs w:val="18"/>
          <w:b w:val="1"/>
          <w:bCs w:val="1"/>
          <w:color w:val="auto"/>
        </w:rPr>
        <w:t>2012</w:t>
      </w:r>
      <w:r>
        <w:rPr>
          <w:sz w:val="20"/>
          <w:szCs w:val="20"/>
          <w:color w:val="auto"/>
        </w:rPr>
        <w:tab/>
      </w:r>
      <w:r>
        <w:rPr>
          <w:rFonts w:ascii="Times New Roman" w:cs="Times New Roman" w:eastAsia="Times New Roman" w:hAnsi="Times New Roman"/>
          <w:sz w:val="18"/>
          <w:szCs w:val="18"/>
          <w:b w:val="1"/>
          <w:bCs w:val="1"/>
          <w:color w:val="auto"/>
        </w:rPr>
        <w:t>2013</w:t>
      </w:r>
      <w:r>
        <w:rPr>
          <w:sz w:val="20"/>
          <w:szCs w:val="20"/>
          <w:color w:val="auto"/>
        </w:rPr>
        <w:tab/>
      </w:r>
      <w:r>
        <w:rPr>
          <w:rFonts w:ascii="Times New Roman" w:cs="Times New Roman" w:eastAsia="Times New Roman" w:hAnsi="Times New Roman"/>
          <w:sz w:val="18"/>
          <w:szCs w:val="18"/>
          <w:b w:val="1"/>
          <w:bCs w:val="1"/>
          <w:color w:val="auto"/>
        </w:rPr>
        <w:t>2014</w:t>
      </w:r>
      <w:r>
        <w:rPr>
          <w:sz w:val="20"/>
          <w:szCs w:val="20"/>
          <w:color w:val="auto"/>
        </w:rPr>
        <w:tab/>
      </w:r>
      <w:r>
        <w:rPr>
          <w:rFonts w:ascii="Times New Roman" w:cs="Times New Roman" w:eastAsia="Times New Roman" w:hAnsi="Times New Roman"/>
          <w:sz w:val="18"/>
          <w:szCs w:val="18"/>
          <w:b w:val="1"/>
          <w:bCs w:val="1"/>
          <w:color w:val="auto"/>
        </w:rPr>
        <w:t>2015</w:t>
      </w:r>
      <w:r>
        <w:rPr>
          <w:sz w:val="20"/>
          <w:szCs w:val="20"/>
          <w:color w:val="auto"/>
        </w:rPr>
        <w:tab/>
      </w:r>
      <w:r>
        <w:rPr>
          <w:rFonts w:ascii="Times New Roman" w:cs="Times New Roman" w:eastAsia="Times New Roman" w:hAnsi="Times New Roman"/>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14605</wp:posOffset>
            </wp:positionV>
            <wp:extent cx="32156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1564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-130810</wp:posOffset>
            </wp:positionV>
            <wp:extent cx="32156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ectPr>
          <w:pgSz w:w="11900" w:h="16838" w:orient="portrait"/>
          <w:cols w:equalWidth="0" w:num="1">
            <w:col w:w="11400"/>
          </w:cols>
          <w:pgMar w:left="240" w:top="121" w:right="259" w:bottom="0" w:gutter="0" w:footer="0" w:header="0"/>
        </w:sectPr>
      </w:pPr>
    </w:p>
    <w:bookmarkStart w:id="22" w:name="page23"/>
    <w:bookmarkEnd w:id="22"/>
    <w:p>
      <w:pPr>
        <w:spacing w:after="0" w:line="122"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Recurring fees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$51,211</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$71,309</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$100,362</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$142,168</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$217,416</w:t>
            </w:r>
          </w:p>
        </w:tc>
        <w:tc>
          <w:tcPr>
            <w:tcW w:w="0" w:type="dxa"/>
            <w:vAlign w:val="bottom"/>
          </w:tcPr>
          <w:p>
            <w:pPr>
              <w:spacing w:after="0"/>
              <w:rPr>
                <w:sz w:val="1"/>
                <w:szCs w:val="1"/>
                <w:color w:val="auto"/>
              </w:rPr>
            </w:pPr>
          </w:p>
        </w:tc>
      </w:tr>
      <w:tr>
        <w:trPr>
          <w:trHeight w:val="234"/>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1,263</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1,459</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1,582</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64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rPr>
              <w:t>Total recurring revenues</w:t>
            </w:r>
          </w:p>
        </w:tc>
        <w:tc>
          <w:tcPr>
            <w:tcW w:w="8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52,474</w:t>
            </w:r>
          </w:p>
        </w:tc>
        <w:tc>
          <w:tcPr>
            <w:tcW w:w="160" w:type="dxa"/>
            <w:vAlign w:val="bottom"/>
          </w:tcPr>
          <w:p>
            <w:pPr>
              <w:spacing w:after="0"/>
              <w:rPr>
                <w:sz w:val="16"/>
                <w:szCs w:val="16"/>
                <w:color w:val="auto"/>
              </w:rPr>
            </w:pPr>
          </w:p>
        </w:tc>
        <w:tc>
          <w:tcPr>
            <w:tcW w:w="8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72,768</w:t>
            </w:r>
          </w:p>
        </w:tc>
        <w:tc>
          <w:tcPr>
            <w:tcW w:w="160" w:type="dxa"/>
            <w:vAlign w:val="bottom"/>
          </w:tcPr>
          <w:p>
            <w:pPr>
              <w:spacing w:after="0"/>
              <w:rPr>
                <w:sz w:val="16"/>
                <w:szCs w:val="16"/>
                <w:color w:val="auto"/>
              </w:rPr>
            </w:pPr>
          </w:p>
        </w:tc>
        <w:tc>
          <w:tcPr>
            <w:tcW w:w="9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101,944</w:t>
            </w:r>
          </w:p>
        </w:tc>
        <w:tc>
          <w:tcPr>
            <w:tcW w:w="160" w:type="dxa"/>
            <w:vAlign w:val="bottom"/>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144,069</w:t>
            </w:r>
          </w:p>
        </w:tc>
        <w:tc>
          <w:tcPr>
            <w:tcW w:w="160" w:type="dxa"/>
            <w:vAlign w:val="bottom"/>
          </w:tcPr>
          <w:p>
            <w:pPr>
              <w:spacing w:after="0"/>
              <w:rPr>
                <w:sz w:val="16"/>
                <w:szCs w:val="16"/>
                <w:color w:val="auto"/>
              </w:rPr>
            </w:pPr>
          </w:p>
        </w:tc>
        <w:tc>
          <w:tcPr>
            <w:tcW w:w="9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220,104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2,622</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4,526</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6,743</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8,629</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10,597</w:t>
            </w:r>
          </w:p>
        </w:tc>
        <w:tc>
          <w:tcPr>
            <w:tcW w:w="0" w:type="dxa"/>
            <w:vAlign w:val="bottom"/>
          </w:tcPr>
          <w:p>
            <w:pPr>
              <w:spacing w:after="0"/>
              <w:rPr>
                <w:sz w:val="1"/>
                <w:szCs w:val="1"/>
                <w:color w:val="auto"/>
              </w:rPr>
            </w:pPr>
          </w:p>
        </w:tc>
      </w:tr>
      <w:tr>
        <w:trPr>
          <w:trHeight w:val="210"/>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55,096</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77,294</w:t>
            </w:r>
          </w:p>
        </w:tc>
        <w:tc>
          <w:tcPr>
            <w:tcW w:w="1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108,687</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152,698</w:t>
            </w:r>
          </w:p>
        </w:tc>
        <w:tc>
          <w:tcPr>
            <w:tcW w:w="1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6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Cost of revenues:</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Recurring revenues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22,054</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28,863</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37,319</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46,366</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66,131</w:t>
            </w:r>
          </w:p>
        </w:tc>
        <w:tc>
          <w:tcPr>
            <w:tcW w:w="0" w:type="dxa"/>
            <w:vAlign w:val="bottom"/>
          </w:tcPr>
          <w:p>
            <w:pPr>
              <w:spacing w:after="0"/>
              <w:rPr>
                <w:sz w:val="1"/>
                <w:szCs w:val="1"/>
                <w:color w:val="auto"/>
              </w:rPr>
            </w:pPr>
          </w:p>
        </w:tc>
      </w:tr>
      <w:tr>
        <w:trPr>
          <w:trHeight w:val="234"/>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7,040</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10,803</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17,775</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24,530</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31,954</w:t>
            </w:r>
          </w:p>
        </w:tc>
        <w:tc>
          <w:tcPr>
            <w:tcW w:w="0" w:type="dxa"/>
            <w:vAlign w:val="bottom"/>
          </w:tcPr>
          <w:p>
            <w:pPr>
              <w:spacing w:after="0"/>
              <w:rPr>
                <w:sz w:val="1"/>
                <w:szCs w:val="1"/>
                <w:color w:val="auto"/>
              </w:rPr>
            </w:pPr>
          </w:p>
        </w:tc>
      </w:tr>
      <w:tr>
        <w:trPr>
          <w:trHeight w:val="210"/>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revenues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29,094</w:t>
            </w: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39,666</w:t>
            </w:r>
          </w:p>
        </w:tc>
        <w:tc>
          <w:tcPr>
            <w:tcW w:w="16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55,094</w:t>
            </w: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70,896</w:t>
            </w:r>
          </w:p>
        </w:tc>
        <w:tc>
          <w:tcPr>
            <w:tcW w:w="160" w:type="dxa"/>
            <w:vAlign w:val="bottom"/>
          </w:tcPr>
          <w:p>
            <w:pPr>
              <w:spacing w:after="0"/>
              <w:rPr>
                <w:sz w:val="18"/>
                <w:szCs w:val="18"/>
                <w:color w:val="auto"/>
              </w:rPr>
            </w:pPr>
          </w:p>
        </w:tc>
        <w:tc>
          <w:tcPr>
            <w:tcW w:w="9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98,085</w:t>
            </w:r>
          </w:p>
        </w:tc>
        <w:tc>
          <w:tcPr>
            <w:tcW w:w="0" w:type="dxa"/>
            <w:vAlign w:val="bottom"/>
          </w:tcPr>
          <w:p>
            <w:pPr>
              <w:spacing w:after="0"/>
              <w:rPr>
                <w:sz w:val="1"/>
                <w:szCs w:val="1"/>
                <w:color w:val="auto"/>
              </w:rPr>
            </w:pPr>
          </w:p>
        </w:tc>
      </w:tr>
      <w:tr>
        <w:trPr>
          <w:trHeight w:val="21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26,002</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37,628</w:t>
            </w:r>
          </w:p>
        </w:tc>
        <w:tc>
          <w:tcPr>
            <w:tcW w:w="1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53,593</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81,802</w:t>
            </w:r>
          </w:p>
        </w:tc>
        <w:tc>
          <w:tcPr>
            <w:tcW w:w="1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6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Operating expenses:</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12,828</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18,693</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28,276</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43,035</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61,832</w:t>
            </w:r>
          </w:p>
        </w:tc>
        <w:tc>
          <w:tcPr>
            <w:tcW w:w="0" w:type="dxa"/>
            <w:vAlign w:val="bottom"/>
          </w:tcPr>
          <w:p>
            <w:pPr>
              <w:spacing w:after="0"/>
              <w:rPr>
                <w:sz w:val="1"/>
                <w:szCs w:val="1"/>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1,788</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6,825</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10,355</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19,864</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26,736</w:t>
            </w:r>
          </w:p>
        </w:tc>
        <w:tc>
          <w:tcPr>
            <w:tcW w:w="0" w:type="dxa"/>
            <w:vAlign w:val="bottom"/>
          </w:tcPr>
          <w:p>
            <w:pPr>
              <w:spacing w:after="0"/>
              <w:rPr>
                <w:sz w:val="1"/>
                <w:szCs w:val="1"/>
                <w:color w:val="auto"/>
              </w:rPr>
            </w:pPr>
          </w:p>
        </w:tc>
      </w:tr>
      <w:tr>
        <w:trPr>
          <w:trHeight w:val="234"/>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8,618</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12,079</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21,980</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32,824</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47,598</w:t>
            </w:r>
          </w:p>
        </w:tc>
        <w:tc>
          <w:tcPr>
            <w:tcW w:w="0" w:type="dxa"/>
            <w:vAlign w:val="bottom"/>
          </w:tcPr>
          <w:p>
            <w:pPr>
              <w:spacing w:after="0"/>
              <w:rPr>
                <w:sz w:val="1"/>
                <w:szCs w:val="1"/>
                <w:color w:val="auto"/>
              </w:rPr>
            </w:pPr>
          </w:p>
        </w:tc>
      </w:tr>
      <w:tr>
        <w:trPr>
          <w:trHeight w:val="210"/>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23,234</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37,597</w:t>
            </w:r>
          </w:p>
        </w:tc>
        <w:tc>
          <w:tcPr>
            <w:tcW w:w="1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60,611</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95,723</w:t>
            </w:r>
          </w:p>
        </w:tc>
        <w:tc>
          <w:tcPr>
            <w:tcW w:w="1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64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rPr>
              <w:t>Operating income (loss)</w:t>
            </w:r>
          </w:p>
        </w:tc>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2,768</w:t>
            </w:r>
          </w:p>
        </w:tc>
        <w:tc>
          <w:tcPr>
            <w:tcW w:w="160" w:type="dxa"/>
            <w:vAlign w:val="bottom"/>
          </w:tcPr>
          <w:p>
            <w:pPr>
              <w:spacing w:after="0"/>
              <w:rPr>
                <w:sz w:val="16"/>
                <w:szCs w:val="16"/>
                <w:color w:val="auto"/>
              </w:rPr>
            </w:pPr>
          </w:p>
        </w:tc>
        <w:tc>
          <w:tcPr>
            <w:tcW w:w="8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(7,018)</w:t>
            </w:r>
          </w:p>
        </w:tc>
        <w:tc>
          <w:tcPr>
            <w:tcW w:w="16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(13,921)</w:t>
            </w:r>
          </w:p>
        </w:tc>
        <w:tc>
          <w:tcPr>
            <w:tcW w:w="16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(3,550)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91"/>
        </w:trPr>
        <w:tc>
          <w:tcPr>
            <w:tcW w:w="5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Income (loss) before income taxes</w:t>
            </w:r>
          </w:p>
        </w:tc>
        <w:tc>
          <w:tcPr>
            <w:tcW w:w="8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2,572</w:t>
            </w:r>
          </w:p>
        </w:tc>
        <w:tc>
          <w:tcPr>
            <w:tcW w:w="160" w:type="dxa"/>
            <w:vAlign w:val="bottom"/>
          </w:tcPr>
          <w:p>
            <w:pPr>
              <w:spacing w:after="0"/>
              <w:rPr>
                <w:sz w:val="16"/>
                <w:szCs w:val="16"/>
                <w:color w:val="auto"/>
              </w:rPr>
            </w:pPr>
          </w:p>
        </w:tc>
        <w:tc>
          <w:tcPr>
            <w:tcW w:w="8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6"/>
                <w:szCs w:val="16"/>
                <w:color w:val="auto"/>
              </w:rPr>
            </w:pPr>
          </w:p>
        </w:tc>
        <w:tc>
          <w:tcPr>
            <w:tcW w:w="9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(6,855)</w:t>
            </w:r>
          </w:p>
        </w:tc>
        <w:tc>
          <w:tcPr>
            <w:tcW w:w="160" w:type="dxa"/>
            <w:vAlign w:val="bottom"/>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(13,867)</w:t>
            </w:r>
          </w:p>
        </w:tc>
        <w:tc>
          <w:tcPr>
            <w:tcW w:w="160" w:type="dxa"/>
            <w:vAlign w:val="bottom"/>
          </w:tcPr>
          <w:p>
            <w:pPr>
              <w:spacing w:after="0"/>
              <w:rPr>
                <w:sz w:val="16"/>
                <w:szCs w:val="16"/>
                <w:color w:val="auto"/>
              </w:rPr>
            </w:pPr>
          </w:p>
        </w:tc>
        <w:tc>
          <w:tcPr>
            <w:tcW w:w="9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(3,674)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884</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(602)</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0"/>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$(13,972)</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$(3,851)</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8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640" w:type="dxa"/>
            <w:vAlign w:val="bottom"/>
            <w:vMerge w:val="continue"/>
          </w:tcPr>
          <w:p>
            <w:pPr>
              <w:spacing w:after="0"/>
              <w:rPr>
                <w:sz w:val="15"/>
                <w:szCs w:val="15"/>
                <w:color w:val="auto"/>
              </w:rPr>
            </w:pPr>
          </w:p>
        </w:tc>
        <w:tc>
          <w:tcPr>
            <w:tcW w:w="8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$998</w:t>
            </w:r>
          </w:p>
        </w:tc>
        <w:tc>
          <w:tcPr>
            <w:tcW w:w="160" w:type="dxa"/>
            <w:vAlign w:val="bottom"/>
            <w:vMerge w:val="continue"/>
          </w:tcPr>
          <w:p>
            <w:pPr>
              <w:spacing w:after="0"/>
              <w:rPr>
                <w:sz w:val="15"/>
                <w:szCs w:val="15"/>
                <w:color w:val="auto"/>
              </w:rPr>
            </w:pPr>
          </w:p>
        </w:tc>
        <w:tc>
          <w:tcPr>
            <w:tcW w:w="8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$(2,291)</w:t>
            </w:r>
          </w:p>
        </w:tc>
        <w:tc>
          <w:tcPr>
            <w:tcW w:w="160" w:type="dxa"/>
            <w:vAlign w:val="bottom"/>
            <w:vMerge w:val="continue"/>
          </w:tcPr>
          <w:p>
            <w:pPr>
              <w:spacing w:after="0"/>
              <w:rPr>
                <w:sz w:val="15"/>
                <w:szCs w:val="15"/>
                <w:color w:val="auto"/>
              </w:rPr>
            </w:pPr>
          </w:p>
        </w:tc>
        <w:tc>
          <w:tcPr>
            <w:tcW w:w="94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$(9,392)</w:t>
            </w:r>
          </w:p>
        </w:tc>
        <w:tc>
          <w:tcPr>
            <w:tcW w:w="160" w:type="dxa"/>
            <w:vAlign w:val="bottom"/>
            <w:vMerge w:val="continue"/>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$(13,972)</w:t>
            </w:r>
          </w:p>
        </w:tc>
        <w:tc>
          <w:tcPr>
            <w:tcW w:w="160" w:type="dxa"/>
            <w:vAlign w:val="bottom"/>
            <w:vMerge w:val="continue"/>
          </w:tcPr>
          <w:p>
            <w:pPr>
              <w:spacing w:after="0"/>
              <w:rPr>
                <w:sz w:val="15"/>
                <w:szCs w:val="15"/>
                <w:color w:val="auto"/>
              </w:rPr>
            </w:pPr>
          </w:p>
        </w:tc>
        <w:tc>
          <w:tcPr>
            <w:tcW w:w="94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$(3,851)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$(0.07)</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$(0.26)</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$(0.07)</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$(0.26)</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in computing net income (loss) per share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common stockholders: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43,873</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31,988</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36,707</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50,127</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50,913</w:t>
            </w:r>
          </w:p>
        </w:tc>
        <w:tc>
          <w:tcPr>
            <w:tcW w:w="0" w:type="dxa"/>
            <w:vAlign w:val="bottom"/>
          </w:tcPr>
          <w:p>
            <w:pPr>
              <w:spacing w:after="0"/>
              <w:rPr>
                <w:sz w:val="1"/>
                <w:szCs w:val="1"/>
                <w:color w:val="auto"/>
              </w:rPr>
            </w:pPr>
          </w:p>
        </w:tc>
      </w:tr>
      <w:tr>
        <w:trPr>
          <w:trHeight w:val="212"/>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44,317</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31,988</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36,707</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50,127</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50,913</w:t>
            </w:r>
          </w:p>
        </w:tc>
        <w:tc>
          <w:tcPr>
            <w:tcW w:w="0" w:type="dxa"/>
            <w:vAlign w:val="bottom"/>
          </w:tcPr>
          <w:p>
            <w:pPr>
              <w:spacing w:after="0"/>
              <w:rPr>
                <w:sz w:val="1"/>
                <w:szCs w:val="1"/>
                <w:color w:val="auto"/>
              </w:rPr>
            </w:pPr>
          </w:p>
        </w:tc>
      </w:tr>
      <w:tr>
        <w:trPr>
          <w:trHeight w:val="220"/>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Financial Data:</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Profit(1)</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$28,729</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$40,695</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$57,029</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$87,226</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$141,029</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Adjusted Recurring Gross Profit(1)</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$33,147</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$46,972</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$67,458</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$101,876</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$161,184</w:t>
            </w: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EBITDA(1)</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$7,660</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$6,301</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$5,448</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$8,238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36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0" w:type="dxa"/>
            <w:vAlign w:val="bottom"/>
          </w:tcPr>
          <w:p>
            <w:pPr>
              <w:spacing w:after="0"/>
              <w:rPr>
                <w:sz w:val="18"/>
                <w:szCs w:val="18"/>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9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87"/>
              </w:rPr>
              <w:t>(in thousands)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900" w:type="dxa"/>
            <w:vAlign w:val="bottom"/>
            <w:gridSpan w:val="2"/>
            <w:vMerge w:val="continue"/>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$9,031</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$7,594</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$78,848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$81,258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$86,496</w:t>
            </w:r>
          </w:p>
        </w:tc>
        <w:tc>
          <w:tcPr>
            <w:tcW w:w="0" w:type="dxa"/>
            <w:vAlign w:val="bottom"/>
          </w:tcPr>
          <w:p>
            <w:pPr>
              <w:spacing w:after="0"/>
              <w:rPr>
                <w:sz w:val="1"/>
                <w:szCs w:val="1"/>
                <w:color w:val="auto"/>
              </w:rPr>
            </w:pPr>
          </w:p>
        </w:tc>
      </w:tr>
      <w:tr>
        <w:trPr>
          <w:trHeight w:val="216"/>
        </w:trPr>
        <w:tc>
          <w:tcPr>
            <w:tcW w:w="4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Working capital(2)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2,786</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2,305</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67,137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69,296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68,986</w:t>
            </w:r>
          </w:p>
        </w:tc>
        <w:tc>
          <w:tcPr>
            <w:tcW w:w="0" w:type="dxa"/>
            <w:vAlign w:val="bottom"/>
          </w:tcPr>
          <w:p>
            <w:pPr>
              <w:spacing w:after="0"/>
              <w:rPr>
                <w:sz w:val="1"/>
                <w:szCs w:val="1"/>
                <w:color w:val="auto"/>
              </w:rPr>
            </w:pPr>
          </w:p>
        </w:tc>
      </w:tr>
      <w:tr>
        <w:trPr>
          <w:trHeight w:val="216"/>
        </w:trPr>
        <w:tc>
          <w:tcPr>
            <w:tcW w:w="4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Funds held for clients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263,255</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355,905</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417,261</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591,219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1,239,622</w:t>
            </w:r>
          </w:p>
        </w:tc>
        <w:tc>
          <w:tcPr>
            <w:tcW w:w="0" w:type="dxa"/>
            <w:vAlign w:val="bottom"/>
          </w:tcPr>
          <w:p>
            <w:pPr>
              <w:spacing w:after="0"/>
              <w:rPr>
                <w:sz w:val="1"/>
                <w:szCs w:val="1"/>
                <w:color w:val="auto"/>
              </w:rPr>
            </w:pPr>
          </w:p>
        </w:tc>
      </w:tr>
      <w:tr>
        <w:trPr>
          <w:trHeight w:val="216"/>
        </w:trPr>
        <w:tc>
          <w:tcPr>
            <w:tcW w:w="4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284,943</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377,916</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528,151</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720,548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1,390,689</w:t>
            </w:r>
          </w:p>
        </w:tc>
        <w:tc>
          <w:tcPr>
            <w:tcW w:w="0" w:type="dxa"/>
            <w:vAlign w:val="bottom"/>
          </w:tcPr>
          <w:p>
            <w:pPr>
              <w:spacing w:after="0"/>
              <w:rPr>
                <w:sz w:val="1"/>
                <w:szCs w:val="1"/>
                <w:color w:val="auto"/>
              </w:rPr>
            </w:pPr>
          </w:p>
        </w:tc>
      </w:tr>
      <w:tr>
        <w:trPr>
          <w:trHeight w:val="216"/>
        </w:trPr>
        <w:tc>
          <w:tcPr>
            <w:tcW w:w="4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Debt, current portion</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1,625</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625</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Client fund obligations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263,255</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355,905</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417,261</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591,219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1,239,622</w:t>
            </w:r>
          </w:p>
        </w:tc>
        <w:tc>
          <w:tcPr>
            <w:tcW w:w="0" w:type="dxa"/>
            <w:vAlign w:val="bottom"/>
          </w:tcPr>
          <w:p>
            <w:pPr>
              <w:spacing w:after="0"/>
              <w:rPr>
                <w:sz w:val="1"/>
                <w:szCs w:val="1"/>
                <w:color w:val="auto"/>
              </w:rPr>
            </w:pPr>
          </w:p>
        </w:tc>
      </w:tr>
      <w:tr>
        <w:trPr>
          <w:trHeight w:val="216"/>
        </w:trPr>
        <w:tc>
          <w:tcPr>
            <w:tcW w:w="4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1,563</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938</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36,573</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36,573</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(27,646)</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(26,592)</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91,134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107,580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119,572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3" w:lineRule="exact"/>
        <w:rPr>
          <w:sz w:val="20"/>
          <w:szCs w:val="20"/>
          <w:color w:val="auto"/>
        </w:rPr>
      </w:pPr>
    </w:p>
    <w:p>
      <w:pPr>
        <w:ind w:left="660" w:hanging="652"/>
        <w:spacing w:after="0" w:line="258" w:lineRule="auto"/>
        <w:tabs>
          <w:tab w:leader="none" w:pos="66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Adjusted Gross Profit, Adjusted Recurring Gross Profit, and Adjusted EBITDA to evaluate our operating results. We prepare Adjusted Gross Profit, Adjusted Recurring Gross Profit and Adjusted EBITDA to eliminate the impact of items we do not consider indicative of our ongoing operating performance. However, Adjusted Gross Profit, Adjusted Recurring Gross Profit and Adjusted EBITDA are not measurements of financial performance under generally accepted accounting principles in the United States, or GAAP, and these metrics may not be comparable to similarly-titled measures of other companies.</w:t>
      </w:r>
    </w:p>
    <w:p>
      <w:pPr>
        <w:spacing w:after="0" w:line="89" w:lineRule="exact"/>
        <w:rPr>
          <w:rFonts w:ascii="Times New Roman" w:cs="Times New Roman" w:eastAsia="Times New Roman" w:hAnsi="Times New Roman"/>
          <w:sz w:val="18"/>
          <w:szCs w:val="18"/>
          <w:color w:val="auto"/>
        </w:rPr>
      </w:pPr>
    </w:p>
    <w:p>
      <w:pPr>
        <w:ind w:left="66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Adjusted Gross Profit as gross profit before amortization of capitalized internal-use software costs, stock-based compensation expense and employer payroll taxes related to stock releases and option exercises and one-time founder funded bonus pay-outs, if any. We define Adjusted Recurring Gross Profit as total recurring revenues after cost of recurring revenues and before amortization of capitalized internal-use software costs, stock-based compensation expense and employer payroll taxes related to stock releases and option exercises and one-time founder funded bonus pay-outs, if any. We define Adjusted EBITDA as net income (loss) before interest expense, income tax (benefit) expense, depreciation and amortization, stock-based compensation expense and employer payroll taxes related to stock releases and option exercises and one-time founder funded bonus pay-outs, if any.</w:t>
      </w:r>
    </w:p>
    <w:p>
      <w:pPr>
        <w:spacing w:after="0" w:line="94" w:lineRule="exact"/>
        <w:rPr>
          <w:rFonts w:ascii="Times New Roman" w:cs="Times New Roman" w:eastAsia="Times New Roman" w:hAnsi="Times New Roman"/>
          <w:sz w:val="18"/>
          <w:szCs w:val="18"/>
          <w:color w:val="auto"/>
        </w:rPr>
      </w:pPr>
    </w:p>
    <w:p>
      <w:pPr>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disclose Adjusted Gross Profit, Adjusted Recurring Gross Profit and Adjusted EBITDA, which are non-GAAP measures, because we believe these metrics assist investors and analysts in comparing our performance across reporting periods on a consistent basis by excluding items that we do not believe are indicative of our core operating performance. We believe these metrics are commonly used in the financial community to aid in comparisons of similar companies, and we present them to enhance investors’ understanding of our operating performance and cash flows.</w:t>
      </w:r>
    </w:p>
    <w:p>
      <w:pPr>
        <w:spacing w:after="0" w:line="85" w:lineRule="exact"/>
        <w:rPr>
          <w:rFonts w:ascii="Times New Roman" w:cs="Times New Roman" w:eastAsia="Times New Roman" w:hAnsi="Times New Roman"/>
          <w:sz w:val="18"/>
          <w:szCs w:val="18"/>
          <w:color w:val="auto"/>
        </w:rPr>
      </w:pPr>
    </w:p>
    <w:p>
      <w:pPr>
        <w:ind w:left="660" w:right="280"/>
        <w:spacing w:after="0" w:line="4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Adjusted Gross Profit, Adjusted Recurring Gross Profit and Adjusted EBITDA have limitations as analytical tools. Some of these limitations are: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8"/>
          <w:szCs w:val="18"/>
          <w:color w:val="auto"/>
        </w:rPr>
        <w:t>Adjusted EBITDA does not reflect our ongoing or future requirements for capital expenditures;</w:t>
      </w:r>
    </w:p>
    <w:p>
      <w:pPr>
        <w:sectPr>
          <w:pgSz w:w="11900" w:h="16960" w:orient="portrait"/>
          <w:cols w:equalWidth="0" w:num="1">
            <w:col w:w="11400"/>
          </w:cols>
          <w:pgMar w:left="240" w:top="117" w:right="259" w:bottom="0" w:gutter="0" w:footer="0" w:header="0"/>
        </w:sectPr>
      </w:pPr>
    </w:p>
    <w:bookmarkStart w:id="23" w:name="page24"/>
    <w:bookmarkEnd w:id="23"/>
    <w:p>
      <w:pPr>
        <w:ind w:left="940" w:hanging="284"/>
        <w:spacing w:after="0"/>
        <w:tabs>
          <w:tab w:leader="none" w:pos="9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30" w:lineRule="exact"/>
        <w:rPr>
          <w:rFonts w:ascii="Times New Roman" w:cs="Times New Roman" w:eastAsia="Times New Roman" w:hAnsi="Times New Roman"/>
          <w:sz w:val="14"/>
          <w:szCs w:val="14"/>
          <w:color w:val="auto"/>
        </w:rPr>
      </w:pPr>
    </w:p>
    <w:p>
      <w:pPr>
        <w:ind w:left="940" w:hanging="284"/>
        <w:spacing w:after="0"/>
        <w:tabs>
          <w:tab w:leader="none" w:pos="9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Adjusted EBITDA does not reflect our income tax expense or the cash requirement to pay our taxes;</w:t>
      </w:r>
    </w:p>
    <w:p>
      <w:pPr>
        <w:spacing w:after="0" w:line="130" w:lineRule="exact"/>
        <w:rPr>
          <w:rFonts w:ascii="Times New Roman" w:cs="Times New Roman" w:eastAsia="Times New Roman" w:hAnsi="Times New Roman"/>
          <w:sz w:val="14"/>
          <w:szCs w:val="14"/>
          <w:color w:val="auto"/>
        </w:rPr>
      </w:pPr>
    </w:p>
    <w:p>
      <w:pPr>
        <w:ind w:left="980" w:right="20" w:hanging="324"/>
        <w:spacing w:after="0" w:line="282" w:lineRule="auto"/>
        <w:tabs>
          <w:tab w:leader="none" w:pos="948"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EBITDA does not reflect any cash requirements for such replacements; and</w:t>
      </w:r>
    </w:p>
    <w:p>
      <w:pPr>
        <w:spacing w:after="0" w:line="67" w:lineRule="exact"/>
        <w:rPr>
          <w:rFonts w:ascii="Times New Roman" w:cs="Times New Roman" w:eastAsia="Times New Roman" w:hAnsi="Times New Roman"/>
          <w:sz w:val="14"/>
          <w:szCs w:val="14"/>
          <w:color w:val="auto"/>
        </w:rPr>
      </w:pPr>
    </w:p>
    <w:p>
      <w:pPr>
        <w:ind w:left="980" w:right="100" w:hanging="324"/>
        <w:spacing w:after="0" w:line="282" w:lineRule="auto"/>
        <w:tabs>
          <w:tab w:leader="none" w:pos="948"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Other companies in our industry may calculate Adjusted Gross Profit, Adjusted Recurring Gross Profit and Adjusted EBITDA differently than we do, limiting their usefulness as a comparative measure.</w:t>
      </w:r>
    </w:p>
    <w:p>
      <w:pPr>
        <w:spacing w:after="0" w:line="67" w:lineRule="exact"/>
        <w:rPr>
          <w:sz w:val="20"/>
          <w:szCs w:val="20"/>
          <w:color w:val="auto"/>
        </w:rPr>
      </w:pPr>
    </w:p>
    <w:p>
      <w:pPr>
        <w:ind w:left="660" w:right="80"/>
        <w:spacing w:after="0" w:line="266" w:lineRule="auto"/>
        <w:rPr>
          <w:sz w:val="20"/>
          <w:szCs w:val="20"/>
          <w:color w:val="auto"/>
        </w:rPr>
      </w:pPr>
      <w:r>
        <w:rPr>
          <w:rFonts w:ascii="Times New Roman" w:cs="Times New Roman" w:eastAsia="Times New Roman" w:hAnsi="Times New Roman"/>
          <w:sz w:val="18"/>
          <w:szCs w:val="18"/>
          <w:color w:val="auto"/>
        </w:rPr>
        <w:t>Additionally, stock-based compensation will continue to be an element of our overall compensation strategy, although we exclude it from Adjusted Gross Profit, Adjusted Recurring Gross Profit and Adjusted EBITDA as an expense when evaluating our ongoing operating performance for a particular period.</w:t>
      </w:r>
    </w:p>
    <w:p>
      <w:pPr>
        <w:spacing w:after="0" w:line="82" w:lineRule="exact"/>
        <w:rPr>
          <w:sz w:val="20"/>
          <w:szCs w:val="20"/>
          <w:color w:val="auto"/>
        </w:rPr>
      </w:pPr>
    </w:p>
    <w:p>
      <w:pPr>
        <w:ind w:left="660" w:right="20"/>
        <w:spacing w:after="0" w:line="261" w:lineRule="auto"/>
        <w:rPr>
          <w:sz w:val="20"/>
          <w:szCs w:val="20"/>
          <w:color w:val="auto"/>
        </w:rPr>
      </w:pPr>
      <w:r>
        <w:rPr>
          <w:rFonts w:ascii="Times New Roman" w:cs="Times New Roman" w:eastAsia="Times New Roman" w:hAnsi="Times New Roman"/>
          <w:sz w:val="18"/>
          <w:szCs w:val="18"/>
          <w:color w:val="auto"/>
        </w:rPr>
        <w:t>Because of these limitations, you should not consider Adjusted Gross Profit as an alternative to gross profit, Adjusted Recurring Gross Profit as an alternative to total recurring revenues, or Adjusted EBITDA as an alternative to net income (loss) or cash provided by (used in) operating activities, in each case as determined in accordance with GAAP. We compensate for these limitations by relying primarily on our GAAP results, and we use Adjusted Gross Profit, Adjusted Recurring Gross Profit and Adjusted EBITDA only as supplemental information.</w:t>
      </w:r>
    </w:p>
    <w:p>
      <w:pPr>
        <w:spacing w:after="0" w:line="1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Directly comparable GAAP measures to Adjusted Gross Profit, Adjusted Recurring Gross Profit and Adjusted EBITDA are gross profit, total recurring revenues and net income (loss), respectively. We reconcile Adjusted Gross Profit, Adjusted Recurring Gross Profit and Adjusted EBITDA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Year Ended June 30,</w:t>
            </w: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40" w:type="dxa"/>
            <w:vAlign w:val="bottom"/>
          </w:tcPr>
          <w:p>
            <w:pPr>
              <w:spacing w:after="0"/>
              <w:rPr>
                <w:sz w:val="20"/>
                <w:szCs w:val="20"/>
                <w:color w:val="auto"/>
              </w:rPr>
            </w:pPr>
          </w:p>
        </w:tc>
        <w:tc>
          <w:tcPr>
            <w:tcW w:w="554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Reconciliation from Gross Profit to Adjusted Gross Profit</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54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$26,002</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$37,628</w:t>
            </w:r>
          </w:p>
        </w:tc>
        <w:tc>
          <w:tcPr>
            <w:tcW w:w="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$53,593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$81,802</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$132,616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Amortization of capitalized internal-use software costs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2,606</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5,446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related to stock releases and option exercises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920</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2,818</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2,967</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One-time founder funded bonus pay-outs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Adjusted Gross Profit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$28,729</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$57,029</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$87,226</w:t>
            </w: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Year Ended June 30,</w:t>
            </w: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40" w:type="dxa"/>
            <w:vAlign w:val="bottom"/>
          </w:tcPr>
          <w:p>
            <w:pPr>
              <w:spacing w:after="0"/>
              <w:rPr>
                <w:sz w:val="20"/>
                <w:szCs w:val="20"/>
                <w:color w:val="auto"/>
              </w:rPr>
            </w:pPr>
          </w:p>
        </w:tc>
        <w:tc>
          <w:tcPr>
            <w:tcW w:w="554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Reconciliation from Total Recurring Revenues to Adjusted</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440" w:type="dxa"/>
            <w:vAlign w:val="bottom"/>
          </w:tcPr>
          <w:p>
            <w:pPr>
              <w:spacing w:after="0"/>
              <w:rPr>
                <w:sz w:val="16"/>
                <w:szCs w:val="16"/>
                <w:color w:val="auto"/>
              </w:rPr>
            </w:pPr>
          </w:p>
        </w:tc>
        <w:tc>
          <w:tcPr>
            <w:tcW w:w="554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55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Recurring Gross Profit</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recurring revenues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$52,474</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$72,768</w:t>
            </w:r>
          </w:p>
        </w:tc>
        <w:tc>
          <w:tcPr>
            <w:tcW w:w="2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$101,944</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$144,069</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$220,104</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Cost of recurring revenues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(22,054)</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(28,863)</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(37,319)</w:t>
            </w:r>
          </w:p>
        </w:tc>
        <w:tc>
          <w:tcPr>
            <w:tcW w:w="2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(46,366)</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(66,131)</w:t>
            </w:r>
          </w:p>
        </w:tc>
        <w:tc>
          <w:tcPr>
            <w:tcW w:w="0" w:type="dxa"/>
            <w:vAlign w:val="bottom"/>
          </w:tcPr>
          <w:p>
            <w:pPr>
              <w:spacing w:after="0"/>
              <w:rPr>
                <w:sz w:val="1"/>
                <w:szCs w:val="1"/>
                <w:color w:val="auto"/>
              </w:rPr>
            </w:pPr>
          </w:p>
        </w:tc>
      </w:tr>
      <w:tr>
        <w:trPr>
          <w:trHeight w:val="191"/>
        </w:trPr>
        <w:tc>
          <w:tcPr>
            <w:tcW w:w="440" w:type="dxa"/>
            <w:vAlign w:val="bottom"/>
          </w:tcPr>
          <w:p>
            <w:pPr>
              <w:spacing w:after="0"/>
              <w:rPr>
                <w:sz w:val="16"/>
                <w:szCs w:val="16"/>
                <w:color w:val="auto"/>
              </w:rPr>
            </w:pPr>
          </w:p>
        </w:tc>
        <w:tc>
          <w:tcPr>
            <w:tcW w:w="5540" w:type="dxa"/>
            <w:vAlign w:val="bottom"/>
          </w:tcPr>
          <w:p>
            <w:pPr>
              <w:ind w:left="720"/>
              <w:spacing w:after="0" w:line="191" w:lineRule="exact"/>
              <w:rPr>
                <w:sz w:val="20"/>
                <w:szCs w:val="20"/>
                <w:color w:val="auto"/>
              </w:rPr>
            </w:pPr>
            <w:r>
              <w:rPr>
                <w:rFonts w:ascii="Times New Roman" w:cs="Times New Roman" w:eastAsia="Times New Roman" w:hAnsi="Times New Roman"/>
                <w:sz w:val="18"/>
                <w:szCs w:val="18"/>
                <w:color w:val="auto"/>
              </w:rPr>
              <w:t>Recurring gross profit</w:t>
            </w: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30,420</w:t>
            </w:r>
          </w:p>
        </w:tc>
        <w:tc>
          <w:tcPr>
            <w:tcW w:w="160" w:type="dxa"/>
            <w:vAlign w:val="bottom"/>
          </w:tcPr>
          <w:p>
            <w:pPr>
              <w:spacing w:after="0"/>
              <w:rPr>
                <w:sz w:val="16"/>
                <w:szCs w:val="16"/>
                <w:color w:val="auto"/>
              </w:rPr>
            </w:pP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43,905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64,625</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97,703</w:t>
            </w:r>
          </w:p>
        </w:tc>
        <w:tc>
          <w:tcPr>
            <w:tcW w:w="140" w:type="dxa"/>
            <w:vAlign w:val="bottom"/>
          </w:tcPr>
          <w:p>
            <w:pPr>
              <w:spacing w:after="0"/>
              <w:rPr>
                <w:sz w:val="16"/>
                <w:szCs w:val="16"/>
                <w:color w:val="auto"/>
              </w:rPr>
            </w:pPr>
          </w:p>
        </w:tc>
        <w:tc>
          <w:tcPr>
            <w:tcW w:w="94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153,973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Amortization of capitalized internal-use software costs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2,606</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5,446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related to stock releases and option exercises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496</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1,567</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One-time founder funded bonus pay-outs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Adjusted Recurring Gross Profit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$33,147</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$67,458</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$101,876</w:t>
            </w: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Year Ended June 30,</w:t>
            </w: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40" w:type="dxa"/>
            <w:vAlign w:val="bottom"/>
          </w:tcPr>
          <w:p>
            <w:pPr>
              <w:spacing w:after="0"/>
              <w:rPr>
                <w:sz w:val="20"/>
                <w:szCs w:val="20"/>
                <w:color w:val="auto"/>
              </w:rPr>
            </w:pPr>
          </w:p>
        </w:tc>
        <w:tc>
          <w:tcPr>
            <w:tcW w:w="554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Reconciliation from Net Income (Loss) to Adjusted EBITDA</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54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$(13,972)</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$(3,851)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884</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(602)</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8,609</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13,873</w:t>
            </w:r>
          </w:p>
        </w:tc>
        <w:tc>
          <w:tcPr>
            <w:tcW w:w="0" w:type="dxa"/>
            <w:vAlign w:val="bottom"/>
          </w:tcPr>
          <w:p>
            <w:pPr>
              <w:spacing w:after="0"/>
              <w:rPr>
                <w:sz w:val="1"/>
                <w:szCs w:val="1"/>
                <w:color w:val="auto"/>
              </w:rPr>
            </w:pPr>
          </w:p>
        </w:tc>
      </w:tr>
      <w:tr>
        <w:trPr>
          <w:trHeight w:val="191"/>
        </w:trPr>
        <w:tc>
          <w:tcPr>
            <w:tcW w:w="440" w:type="dxa"/>
            <w:vAlign w:val="bottom"/>
          </w:tcPr>
          <w:p>
            <w:pPr>
              <w:spacing w:after="0"/>
              <w:rPr>
                <w:sz w:val="16"/>
                <w:szCs w:val="16"/>
                <w:color w:val="auto"/>
              </w:rPr>
            </w:pPr>
          </w:p>
        </w:tc>
        <w:tc>
          <w:tcPr>
            <w:tcW w:w="5540" w:type="dxa"/>
            <w:vAlign w:val="bottom"/>
          </w:tcPr>
          <w:p>
            <w:pPr>
              <w:ind w:left="720"/>
              <w:spacing w:after="0" w:line="191" w:lineRule="exact"/>
              <w:rPr>
                <w:sz w:val="20"/>
                <w:szCs w:val="20"/>
                <w:color w:val="auto"/>
              </w:rPr>
            </w:pPr>
            <w:r>
              <w:rPr>
                <w:rFonts w:ascii="Times New Roman" w:cs="Times New Roman" w:eastAsia="Times New Roman" w:hAnsi="Times New Roman"/>
                <w:sz w:val="18"/>
                <w:szCs w:val="18"/>
                <w:color w:val="auto"/>
              </w:rPr>
              <w:t>EBITDA</w:t>
            </w: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7,457</w:t>
            </w:r>
          </w:p>
        </w:tc>
        <w:tc>
          <w:tcPr>
            <w:tcW w:w="160" w:type="dxa"/>
            <w:vAlign w:val="bottom"/>
          </w:tcPr>
          <w:p>
            <w:pPr>
              <w:spacing w:after="0"/>
              <w:rPr>
                <w:sz w:val="16"/>
                <w:szCs w:val="16"/>
                <w:color w:val="auto"/>
              </w:rPr>
            </w:pP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5,778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(452)</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(5,258)</w:t>
            </w:r>
          </w:p>
        </w:tc>
        <w:tc>
          <w:tcPr>
            <w:tcW w:w="140" w:type="dxa"/>
            <w:vAlign w:val="bottom"/>
          </w:tcPr>
          <w:p>
            <w:pPr>
              <w:spacing w:after="0"/>
              <w:rPr>
                <w:sz w:val="16"/>
                <w:szCs w:val="16"/>
                <w:color w:val="auto"/>
              </w:rPr>
            </w:pPr>
          </w:p>
        </w:tc>
        <w:tc>
          <w:tcPr>
            <w:tcW w:w="94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10,199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related to stock releases and option exercises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13,496</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18,199</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One-time founder funded bonus pay-outs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971</w:t>
            </w:r>
          </w:p>
        </w:tc>
        <w:tc>
          <w:tcPr>
            <w:tcW w:w="2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Adjusted EBITDA</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$8,238</w:t>
            </w: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95"/>
              </w:rPr>
              <w:t>(2)</w:t>
            </w:r>
          </w:p>
        </w:tc>
        <w:tc>
          <w:tcPr>
            <w:tcW w:w="55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Working capital is defined as current assets minus current liabilities.</w:t>
            </w: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0" w:type="dxa"/>
            <w:vAlign w:val="bottom"/>
            <w:vMerge w:val="continue"/>
          </w:tcPr>
          <w:p>
            <w:pPr>
              <w:spacing w:after="0"/>
              <w:rPr>
                <w:sz w:val="24"/>
                <w:szCs w:val="24"/>
                <w:color w:val="auto"/>
              </w:rPr>
            </w:pPr>
          </w:p>
        </w:tc>
        <w:tc>
          <w:tcPr>
            <w:tcW w:w="55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320"/>
          </w:cols>
          <w:pgMar w:left="240" w:top="243" w:right="339" w:bottom="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14"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Part I, Item 1A. “Risk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are a cloud-based provider of payroll and human capital management or HCM software solutions for medium-sized organizations, which we define as those having between 20 and 1,000 employees. Our comprehensive and easy-to-use solutions enable our clients to manage their workforces more effectively. Our solutions help drive strategic human capital decision-making and improve employee engagement by enhancing the HR, payroll and finance capabilities of our clients.</w:t>
      </w:r>
    </w:p>
    <w:p>
      <w:pPr>
        <w:spacing w:after="0" w:line="167"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Effective management of human capital is a core function in all organizations and requires a significant commitment of resources. Medium-sized organizations operating without the infrastructure, expertise or personnel of larger enterprises are uniquely pressured to manage their human capital effectively.</w:t>
      </w:r>
    </w:p>
    <w:p>
      <w:pPr>
        <w:spacing w:after="0" w:line="16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solutions were specifically designed to meet the payroll and HCM needs of medium-sized organizations. We designed our cloud-based platform to provide a unified suite of applications using a multi-tenant architecture. Our solutions are highly flexible and configurable and feature a modern, intuitive user experience. Our platform offers automated data integration with over 200 related third-party systems, such as 401(k), benefits and insurance provider systems.</w:t>
      </w:r>
    </w:p>
    <w:p>
      <w:pPr>
        <w:spacing w:after="0" w:line="16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Paylocity Web Pay product is our core payroll solution and was the first of our current offerings introduced into the market. We believe payroll is the most critical system of record for medium-sized organizations and an essential gateway to other HCM functionality. We have invested in, and we intend to continue to invest in, research and development to expand our product offerings and advance our platform.</w:t>
      </w:r>
    </w:p>
    <w:p>
      <w:pPr>
        <w:spacing w:after="0" w:line="163"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believe there is a significant opportunity to grow our business by increasing our number of clients and we intend to invest in our business to achieve this purpose. We market and sell our solutions primarily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and quality of products that clients purchase from us. To do so, we must continue to enhance and grow the number of solutions we offer to advance our platform.</w:t>
      </w:r>
    </w:p>
    <w:p>
      <w:pPr>
        <w:spacing w:after="0" w:line="174"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believe that delivering a positive service experience is an essential element of our ability to sell our solutions and retain our clients. We seek to develop deep relationships with our clients through our unified service model, which has been designed to meet the service needs of medium-sized organizations. We expect to continue to invest in and grow our implementation and client service organization as our client base grows.</w:t>
      </w:r>
    </w:p>
    <w:p>
      <w:pPr>
        <w:spacing w:after="0" w:line="16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believe we have the opportunity to continue to grow our business over the long term, and to do so we have invested, and intend to continue to invest, across our entire organization. These investments include increasing the number of personnel across all functional areas, along with improving our solutions and infrastructure to support our growth. The timing and amount of these investments vary based on the rate at which we add new clients, add new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our business has grown, we have become increasingly subject to the risks arising from adverse changes in domestic and global economic conditions. If general economic conditions were to deteriorate further, including declines in private sector employment growth and business productivity, increases in the unemployment rate and changes in interest rates, we may experience delays in our sales cycles, increased pressure from prospective customers to offer discounts and increased pressure from existing customers to renew expiring recurring revenue agreements for lower amounts. Our interest income on funds held for clients continues to be adversely impacted by historically low interest rates.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Our operating subsidiary Paylocity Corporation was incorporated in July 1997 as an Illinois corporation. In November 2013, we formed Paylocity Holding Corporation, a Delaware corporation, of which Paylocity Corporation is now a wholly-owned subsidiary. Paylocity Holding Corporation had no operations prior to the restructuring. All of our business operations have historically been, and are currently, conducted by Paylocity Corporation, and the financial results presented herein are attributable to the results of its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13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Recurring Revenue Growth</w:t>
      </w:r>
    </w:p>
    <w:p>
      <w:pPr>
        <w:spacing w:after="0" w:line="135"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Our recurring revenue model and high annual revenue retention rates provide significant visibility into our future operating results and cash flow from operations. This visibility enables us to better manage and invest in our business. Recurring revenue, which is comprised of recurring fees and interest income on funds held for clients, increased from $101.9 million in fiscal 2014 to $144.1 million in fiscal 2015, representing a 41% year-over-year increase. Recurring revenue increased from $144.1 million in fiscal 2015 to $220.1 million in fiscal 2016, representing a 53% year-over-year increase. The increase in our recurring revenue growth was positively impacted by the launch in fiscal year 2016 of our Affordable Care Act (“ACA”) compliance solution, which had significant penetration beginning in the second quarter of fiscal year 2016. We expect the impact on year-over-year quarterly revenue growth of our ACA compliance solution to be highest in the first quarter of fiscal year 2017 given the timing of significant penetration, beginning in the second quarter of fiscal year 2016. Recurring revenue represented 94% of total revenue in both fiscal 2014 and fiscal 2015 and 95% of total revenue in fiscal year 2016.</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Client Count Growth</w:t>
      </w:r>
    </w:p>
    <w:p>
      <w:pPr>
        <w:sectPr>
          <w:pgSz w:w="11900" w:h="16838" w:orient="portrait"/>
          <w:cols w:equalWidth="0" w:num="1">
            <w:col w:w="11420"/>
          </w:cols>
          <w:pgMar w:left="240" w:top="117" w:right="239" w:bottom="0" w:gutter="0" w:footer="0" w:header="0"/>
        </w:sectPr>
      </w:pPr>
    </w:p>
    <w:bookmarkStart w:id="25" w:name="page26"/>
    <w:bookmarkEnd w:id="25"/>
    <w:p>
      <w:pPr>
        <w:ind w:firstLine="648"/>
        <w:spacing w:after="0" w:line="266" w:lineRule="auto"/>
        <w:rPr>
          <w:sz w:val="20"/>
          <w:szCs w:val="20"/>
          <w:color w:val="auto"/>
        </w:rPr>
      </w:pPr>
      <w:r>
        <w:rPr>
          <w:rFonts w:ascii="Times New Roman" w:cs="Times New Roman" w:eastAsia="Times New Roman" w:hAnsi="Times New Roman"/>
          <w:sz w:val="18"/>
          <w:szCs w:val="18"/>
          <w:color w:val="auto"/>
        </w:rPr>
        <w:t>We believe there is a significant opportunity to grow our business by increasing our number of clients. We have increased our number of clients from approximately 8,500 as of June 30, 2014 to approximately 12,500 as of June 30, 2016, representing a compound annual growth rate of approximately 21%. The table below sets forth our client count for the periods indicated, rounded to the nearest fifty.</w:t>
      </w:r>
    </w:p>
    <w:p>
      <w:pPr>
        <w:spacing w:after="0" w:line="118"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8"/>
          <w:szCs w:val="18"/>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19685</wp:posOffset>
            </wp:positionV>
            <wp:extent cx="16465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6" w:lineRule="exact"/>
        <w:rPr>
          <w:sz w:val="20"/>
          <w:szCs w:val="20"/>
          <w:color w:val="auto"/>
        </w:rPr>
      </w:pPr>
    </w:p>
    <w:p>
      <w:pPr>
        <w:ind w:left="8580"/>
        <w:spacing w:after="0"/>
        <w:tabs>
          <w:tab w:leader="none" w:pos="9520" w:val="left"/>
          <w:tab w:leader="none" w:pos="10480" w:val="left"/>
        </w:tabs>
        <w:rPr>
          <w:sz w:val="20"/>
          <w:szCs w:val="20"/>
          <w:color w:val="auto"/>
        </w:rPr>
      </w:pPr>
      <w:r>
        <w:rPr>
          <w:rFonts w:ascii="Times New Roman" w:cs="Times New Roman" w:eastAsia="Times New Roman" w:hAnsi="Times New Roman"/>
          <w:sz w:val="18"/>
          <w:szCs w:val="18"/>
          <w:b w:val="1"/>
          <w:bCs w:val="1"/>
          <w:color w:val="auto"/>
        </w:rPr>
        <w:t>2014</w:t>
      </w:r>
      <w:r>
        <w:rPr>
          <w:sz w:val="20"/>
          <w:szCs w:val="20"/>
          <w:color w:val="auto"/>
        </w:rPr>
        <w:tab/>
      </w:r>
      <w:r>
        <w:rPr>
          <w:rFonts w:ascii="Times New Roman" w:cs="Times New Roman" w:eastAsia="Times New Roman" w:hAnsi="Times New Roman"/>
          <w:sz w:val="18"/>
          <w:szCs w:val="18"/>
          <w:b w:val="1"/>
          <w:bCs w:val="1"/>
          <w:color w:val="auto"/>
        </w:rPr>
        <w:t>2015</w:t>
      </w:r>
      <w:r>
        <w:rPr>
          <w:sz w:val="20"/>
          <w:szCs w:val="20"/>
          <w:color w:val="auto"/>
        </w:rPr>
        <w:tab/>
      </w:r>
      <w:r>
        <w:rPr>
          <w:rFonts w:ascii="Times New Roman" w:cs="Times New Roman" w:eastAsia="Times New Roman" w:hAnsi="Times New Roman"/>
          <w:sz w:val="18"/>
          <w:szCs w:val="18"/>
          <w:b w:val="1"/>
          <w:bCs w:val="1"/>
          <w:color w:val="auto"/>
        </w:rPr>
        <w:t>2016</w:t>
      </w:r>
    </w:p>
    <w:p>
      <w:pPr>
        <w:spacing w:after="0" w:line="51" w:lineRule="exact"/>
        <w:rPr>
          <w:sz w:val="20"/>
          <w:szCs w:val="20"/>
          <w:color w:val="auto"/>
        </w:rPr>
      </w:pPr>
    </w:p>
    <w:tbl>
      <w:tblPr>
        <w:tblLayout w:type="fixed"/>
        <w:tblInd w:w="180" w:type="dxa"/>
        <w:tblCellMar>
          <w:top w:w="0" w:type="dxa"/>
          <w:left w:w="0" w:type="dxa"/>
          <w:bottom w:w="0" w:type="dxa"/>
          <w:right w:w="0" w:type="dxa"/>
        </w:tblCellMar>
      </w:tblPr>
      <w:tr>
        <w:trPr>
          <w:trHeight w:val="20"/>
        </w:trPr>
        <w:tc>
          <w:tcPr>
            <w:tcW w:w="8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Client Count</w:t>
            </w: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240" w:type="dxa"/>
            <w:vAlign w:val="bottom"/>
            <w:vMerge w:val="continue"/>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8,500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rate at which we add clients is highly variable period-to-period and highly seasonal as many clients switch solutions during the first calendar quarter of each year. Although many clients have multiple divisions, segments or locations, we only count such clients once for these purposes.</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Annual Revenue Retention Rate</w:t>
      </w:r>
    </w:p>
    <w:p>
      <w:pPr>
        <w:spacing w:after="0" w:line="13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annual revenue retention rate has been in excess of 92% during each of the past three fiscal years. We calculate our annual revenue retention rate as our total revenue for the preceding 12 months, less the annualized value of revenue lost during the preceding 12 months, divided by our total revenue for the preceding 12 months. We calculate the annualized value of revenue lost by summing the recurring fees paid by lost clients over the previous twelve months prior to their termination if they have been a client for a minimum of twelve months. For those lost clients who became clients within the last twelve months, we sum the recurring fees for the period that they have been a client and then annualize the amount. We exclude interest income on funds held for clients from the revenue retention calculation. We believe that our annual revenue retention rate is an important metric to measure overall client satisfaction and the general quality of our product and service offerings.</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Recurring Fees From New Clients</w:t>
      </w:r>
    </w:p>
    <w:p>
      <w:pPr>
        <w:spacing w:after="0" w:line="13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calculate recurring fees from new clients as the percentage of year-to-date recurring fees from all clients on our solutions which had not been on or used any of our solutions for a full year as of the start of the current fiscal year. We believe recurring fees from new clients is an important metric to measure the expansion of our existing client base as well as the growth in our client base. Our recurring fees from new clients was 44% for fiscal 2014 and 45% for both fiscal 2015 and fiscal 2016.</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Adjusted Recurring Gross Profit and Adjusted EBITDA</w:t>
      </w:r>
    </w:p>
    <w:p>
      <w:pPr>
        <w:spacing w:after="0" w:line="13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disclose Adjusted Gross Profit, Adjusted Recurring Gross Profit and Adjusted EBITDA because we use them to evaluate our performance, and we believe Adjusted Gross Profit, Adjusted Recurring Gross Profit and Adjusted EBITDA assist in the comparison of our performance across reporting periods by excluding certain items that we do not believe are indicative of our core operating performance. We believe these metrics are used in the financial community, and we present it to enhance investors’ understanding of our operating performance and cash flows.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Adjusted Gross Profit, Adjusted Recurring Gross Profit and Adjusted EBITDA are not measurements of financial performance under generally accepted accounting principles in the United States, or GAAP, and you should not consider Adjusted Gross Profit as an alternative to gross profit, Adjusted Recurring Gross Profit as an alternative to total recurring revenues, or Adjusted EBITDA as an alternative to net income (loss) or cash provided by (used in) operating activities, in each case as determined in accordance with GAAP. In addition, our definition of Adjusted Gross Profit, Adjusted Recurring Gross Profit and Adjusted EBITDA may be different than the definition utilized for similarly-titled measures used by other companies.</w:t>
      </w:r>
    </w:p>
    <w:p>
      <w:pPr>
        <w:spacing w:after="0" w:line="8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define Adjusted Gross Profit as gross profit before amortization of capitalized internal-use software costs, stock-based compensation expense and employer payroll taxes related to stock releases and option exercises and one-time founder funded bonus pay-outs, if any. We define Adjusted Recurring Gross Profit as total recurring revenues after cost of recurring revenues and before amortization of capitalized internal-use software costs, stock-based compensation expense and employer payroll taxes related to stock releases and option exercises and one-time founder funded bonus pay-outs, if any. We define Adjusted EBITDA as net income (loss) before interest expense, income tax expense (benefit), depreciation and amortization, stock-based compensation expense and employer payroll taxes related to stock releases and option exercises and one-time founder funded bonus pay-outs, if any. The table below sets forth our Adjusted Gross Profit, Adjusted Recurring Gross Profit and Adjusted EBITDA for the periods presented.</w:t>
      </w:r>
    </w:p>
    <w:p>
      <w:pPr>
        <w:spacing w:after="0" w:line="88" w:lineRule="exact"/>
        <w:rPr>
          <w:sz w:val="20"/>
          <w:szCs w:val="20"/>
          <w:color w:val="auto"/>
        </w:rPr>
      </w:pPr>
    </w:p>
    <w:tbl>
      <w:tblPr>
        <w:tblLayout w:type="fixed"/>
        <w:tblInd w:w="18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240" w:type="dxa"/>
            <w:vAlign w:val="bottom"/>
            <w:tcBorders>
              <w:bottom w:val="single" w:sz="8" w:color="auto"/>
            </w:tcBorders>
          </w:tcPr>
          <w:p>
            <w:pPr>
              <w:spacing w:after="0"/>
              <w:rPr>
                <w:sz w:val="15"/>
                <w:szCs w:val="15"/>
                <w:color w:val="auto"/>
              </w:rPr>
            </w:pPr>
          </w:p>
        </w:tc>
      </w:tr>
      <w:tr>
        <w:trPr>
          <w:trHeight w:val="156"/>
        </w:trPr>
        <w:tc>
          <w:tcPr>
            <w:tcW w:w="6180" w:type="dxa"/>
            <w:vAlign w:val="bottom"/>
          </w:tcPr>
          <w:p>
            <w:pPr>
              <w:spacing w:after="0"/>
              <w:rPr>
                <w:sz w:val="13"/>
                <w:szCs w:val="13"/>
                <w:color w:val="auto"/>
              </w:rPr>
            </w:pPr>
          </w:p>
        </w:tc>
        <w:tc>
          <w:tcPr>
            <w:tcW w:w="1540" w:type="dxa"/>
            <w:vAlign w:val="bottom"/>
            <w:tcBorders>
              <w:bottom w:val="single" w:sz="8" w:color="auto"/>
            </w:tcBorders>
          </w:tcPr>
          <w:p>
            <w:pPr>
              <w:jc w:val="right"/>
              <w:ind w:right="63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880" w:type="dxa"/>
            <w:vAlign w:val="bottom"/>
            <w:tcBorders>
              <w:bottom w:val="single" w:sz="8" w:color="auto"/>
            </w:tcBorders>
          </w:tcPr>
          <w:p>
            <w:pPr>
              <w:jc w:val="center"/>
              <w:ind w:right="219"/>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24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r>
      <w:tr>
        <w:trPr>
          <w:trHeight w:val="151"/>
        </w:trPr>
        <w:tc>
          <w:tcPr>
            <w:tcW w:w="6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80" w:type="dxa"/>
            <w:vAlign w:val="bottom"/>
          </w:tcPr>
          <w:p>
            <w:pPr>
              <w:jc w:val="center"/>
              <w:ind w:right="219"/>
              <w:spacing w:after="0" w:line="15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3"/>
                <w:szCs w:val="13"/>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15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$57,029</w:t>
            </w:r>
          </w:p>
        </w:tc>
        <w:tc>
          <w:tcPr>
            <w:tcW w:w="1880" w:type="dxa"/>
            <w:vAlign w:val="bottom"/>
          </w:tcPr>
          <w:p>
            <w:pPr>
              <w:jc w:val="right"/>
              <w:ind w:right="319"/>
              <w:spacing w:after="0"/>
              <w:rPr>
                <w:sz w:val="20"/>
                <w:szCs w:val="20"/>
                <w:color w:val="auto"/>
              </w:rPr>
            </w:pPr>
            <w:r>
              <w:rPr>
                <w:rFonts w:ascii="Times New Roman" w:cs="Times New Roman" w:eastAsia="Times New Roman" w:hAnsi="Times New Roman"/>
                <w:sz w:val="18"/>
                <w:szCs w:val="18"/>
                <w:color w:val="auto"/>
              </w:rPr>
              <w:t>$87,226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$141,029</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Adjusted Recurring Gross Profit</w:t>
            </w:r>
          </w:p>
        </w:tc>
        <w:tc>
          <w:tcPr>
            <w:tcW w:w="15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$67,458</w:t>
            </w:r>
          </w:p>
        </w:tc>
        <w:tc>
          <w:tcPr>
            <w:tcW w:w="1880" w:type="dxa"/>
            <w:vAlign w:val="bottom"/>
          </w:tcPr>
          <w:p>
            <w:pPr>
              <w:jc w:val="right"/>
              <w:ind w:right="319"/>
              <w:spacing w:after="0"/>
              <w:rPr>
                <w:sz w:val="20"/>
                <w:szCs w:val="20"/>
                <w:color w:val="auto"/>
              </w:rPr>
            </w:pPr>
            <w:r>
              <w:rPr>
                <w:rFonts w:ascii="Times New Roman" w:cs="Times New Roman" w:eastAsia="Times New Roman" w:hAnsi="Times New Roman"/>
                <w:sz w:val="18"/>
                <w:szCs w:val="18"/>
                <w:color w:val="auto"/>
              </w:rPr>
              <w:t>$101,876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$161,184</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5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$5,448</w:t>
            </w:r>
          </w:p>
        </w:tc>
        <w:tc>
          <w:tcPr>
            <w:tcW w:w="1880" w:type="dxa"/>
            <w:vAlign w:val="bottom"/>
          </w:tcPr>
          <w:p>
            <w:pPr>
              <w:jc w:val="right"/>
              <w:ind w:right="319"/>
              <w:spacing w:after="0"/>
              <w:rPr>
                <w:sz w:val="20"/>
                <w:szCs w:val="20"/>
                <w:color w:val="auto"/>
              </w:rPr>
            </w:pPr>
            <w:r>
              <w:rPr>
                <w:rFonts w:ascii="Times New Roman" w:cs="Times New Roman" w:eastAsia="Times New Roman" w:hAnsi="Times New Roman"/>
                <w:sz w:val="18"/>
                <w:szCs w:val="18"/>
                <w:color w:val="auto"/>
              </w:rPr>
              <w:t>$8,238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$28,398</w:t>
            </w:r>
          </w:p>
        </w:tc>
      </w:tr>
    </w:tbl>
    <w:p>
      <w:pPr>
        <w:spacing w:after="0" w:line="10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For a further discussion of Adjusted Gross Profit, Adjusted Recurring Gross Profit and Adjusted EBITDA, including a reconciliation of Adjusted Gross Profit, Adjusted Recurring Gross Profit and Adjusted EBITDA to GAAP, see Part II, Item 6: “Consolidated Selected Financial Data.”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Recurring Fees</w:t>
      </w:r>
    </w:p>
    <w:p>
      <w:pPr>
        <w:spacing w:after="0" w:line="13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derive the majority of our revenues from recurring fees attributable to our cloud-based payroll and HCM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Over the past three years, our client size has been on average over 100 employees. We derive revenue from a client based on the solutions purchased by the client, the number of client employees as well as the amount, type and timing of services provided in respect of those client employees. As such, the number of client employees on our system is not a good indicator of our financial results in any period. Recurring fees attributable to our cloud-based payroll and HCM solutions accounted for approximately 92%, 93% and 94% of our total revenues during the years ended June 30, 2014, 2015 and 2016, respectively.</w:t>
      </w:r>
    </w:p>
    <w:p>
      <w:pPr>
        <w:spacing w:after="0" w:line="9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Our agreements with clients do not have a specified term and are generally cancellable by the client on 60 days’ or less notice. Our agreements do not include general rights of return and do not provide clients with the right to take possession of the software supporting the services being provided. We recognize recurring fees in the period in which services are provided and when collection of fees is reasonably assured and the amount of fees is fixed or determinable.</w:t>
      </w:r>
    </w:p>
    <w:p>
      <w:pPr>
        <w:sectPr>
          <w:pgSz w:w="11900" w:h="16838" w:orient="portrait"/>
          <w:cols w:equalWidth="0" w:num="1">
            <w:col w:w="11400"/>
          </w:cols>
          <w:pgMar w:left="240" w:top="121" w:right="259" w:bottom="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13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financial institutions with which we have automated clearing house, or ACH, arrangements.</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Implementation Services and Other</w:t>
      </w:r>
    </w:p>
    <w:p>
      <w:pPr>
        <w:spacing w:after="0" w:line="133"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Implementation services and other revenues primarily consist of implementation fees charged to new clients for professional services provided to implement and configure our payroll and HCM solutions. Implementations of our payroll solutions typically require only three to four weeks at which point the new client’s payroll is first run using our solution, our implementation services are deemed completed, and we recognize the related revenue. We implement additional HCM products as requested by clients and leverage the data within our payroll solution to accelerate our implementation processes. Implementation services and other revenues may fluctuate significantly from quarter to quarter based on the number of new clients, pricing and the product utilization.</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Cost of Recurring Revenues</w:t>
      </w:r>
    </w:p>
    <w:p>
      <w:pPr>
        <w:spacing w:after="0" w:line="13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Costs of recurring revenues are generally expensed as incurred, and include costs to provide our payroll and other HCM solutions primarily consisting of employee-related expenses, including wages, stock-based compensation, bonuses and benefits, relating to the provision of ongoing client support, payroll tax filing and distribution of printed checks and other materials. These costs also include third-party reseller costs, delivery costs, computing costs and amortization of capitalized internal-use software costs, as well as bank fees associated with client fund transfers. We expect to realize cost efficiencies over the long term as our business scales, resulting in improved operating leverage and increased margins.</w:t>
      </w:r>
    </w:p>
    <w:p>
      <w:pPr>
        <w:spacing w:after="0" w:line="8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We capitalize a portion of our internal-use software costs, which are then all amortized as a cost of recurring revenues. We amortized $2.2 million, $2.6 million and $5.4 million of capitalized internal-use software costs in fiscal 2014, 2015 and 2016, respectively.</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Cost of Implementation Services and Other</w:t>
      </w:r>
    </w:p>
    <w:p>
      <w:pPr>
        <w:spacing w:after="0" w:line="133"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Cost of implementation services and other consists primarily of employee-related expenses, including wages, stock-based compensation, bonuses and benefits involved in the implementation of our payroll and other HCM solutions for new clients. Implementation costs are generally fixed in the short-term and exceed associated implementation revenue charged to each client. We intend to grow our business through acquisition of new clients, and doing so will require increased personnel to implement our solutions. Therefore our cost of implementation services and other is expected to increase in absolute dollars for the foreseeable future.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expenses for our direct sales and marketing staff, including wages, commissions, stock-based compensation, bonuses and benefits, marketing expenses and other related costs. Commissions are primarily earned and recognized in the month when implementation is complete and the client first utilizes a service, typically by running its first payroll. Bonuses paid to sales staff for attainment of certain performance criteria are accrued in the fiscal year in which they are earned and are subsequently paid annually in the first fiscal quarter of the following year.</w:t>
      </w:r>
    </w:p>
    <w:p>
      <w:pPr>
        <w:spacing w:after="0" w:line="8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33"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for our research and development and product management staff,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8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each of fiscal 2014, 2015 and 2016.</w:t>
      </w:r>
    </w:p>
    <w:p>
      <w:pPr>
        <w:spacing w:after="0" w:line="75" w:lineRule="exact"/>
        <w:rPr>
          <w:sz w:val="20"/>
          <w:szCs w:val="20"/>
          <w:color w:val="auto"/>
        </w:rPr>
      </w:pPr>
    </w:p>
    <w:tbl>
      <w:tblPr>
        <w:tblLayout w:type="fixed"/>
        <w:tblInd w:w="180" w:type="dxa"/>
        <w:tblCellMar>
          <w:top w:w="0" w:type="dxa"/>
          <w:left w:w="0" w:type="dxa"/>
          <w:bottom w:w="0" w:type="dxa"/>
          <w:right w:w="0" w:type="dxa"/>
        </w:tblCellMar>
      </w:tblPr>
      <w:tr>
        <w:trPr>
          <w:trHeight w:val="173"/>
        </w:trPr>
        <w:tc>
          <w:tcPr>
            <w:tcW w:w="70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7000" w:type="dxa"/>
            <w:vAlign w:val="bottom"/>
          </w:tcPr>
          <w:p>
            <w:pPr>
              <w:spacing w:after="0"/>
              <w:rPr>
                <w:sz w:val="13"/>
                <w:szCs w:val="13"/>
                <w:color w:val="auto"/>
              </w:rPr>
            </w:pPr>
          </w:p>
        </w:tc>
        <w:tc>
          <w:tcPr>
            <w:tcW w:w="114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left="79"/>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3"/>
                <w:szCs w:val="13"/>
                <w:color w:val="auto"/>
              </w:rPr>
            </w:pPr>
          </w:p>
        </w:tc>
      </w:tr>
      <w:tr>
        <w:trPr>
          <w:trHeight w:val="151"/>
        </w:trPr>
        <w:tc>
          <w:tcPr>
            <w:tcW w:w="7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Capitalized portion of research and development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$4,674</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$4,870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$9,516</w:t>
            </w:r>
          </w:p>
        </w:tc>
      </w:t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Expensed portion of research and development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10,355</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19,864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26,736</w:t>
            </w:r>
          </w:p>
        </w:tc>
      </w:tr>
      <w:tr>
        <w:trPr>
          <w:trHeight w:val="228"/>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$24,734</w:t>
            </w:r>
          </w:p>
        </w:tc>
        <w:tc>
          <w:tcPr>
            <w:tcW w:w="220" w:type="dxa"/>
            <w:vAlign w:val="bottom"/>
          </w:tcPr>
          <w:p>
            <w:pPr>
              <w:spacing w:after="0"/>
              <w:rPr>
                <w:sz w:val="19"/>
                <w:szCs w:val="19"/>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$36,252</w:t>
            </w:r>
          </w:p>
        </w:tc>
      </w:tr>
    </w:tbl>
    <w:p>
      <w:pPr>
        <w:spacing w:after="0" w:line="8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ectPr>
          <w:pgSz w:w="11900" w:h="16838" w:orient="portrait"/>
          <w:cols w:equalWidth="0" w:num="1">
            <w:col w:w="11420"/>
          </w:cols>
          <w:pgMar w:left="240" w:top="119" w:right="239" w:bottom="0" w:gutter="0" w:footer="0" w:header="0"/>
        </w:sectPr>
      </w:pPr>
    </w:p>
    <w:bookmarkStart w:id="27" w:name="page28"/>
    <w:bookmarkEnd w:id="27"/>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other employee-related costs, including wages, stock-based compensation, bonuses and benefits for our administrative, finance, accounting, and human resources departments. Additional expenses include consulting and professional fees, occupancy costs, insurance and other corporate expenses.</w:t>
      </w:r>
    </w:p>
    <w:p>
      <w:pPr>
        <w:spacing w:after="0" w:line="8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expect our general and administrative expenses to continue to increase in absolute dollars as a result of our operation as a public company. These expenses include costs associated with regulations governing public companies, costs of directors’ and officers’ liability insurance and professional services expenses.</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3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generally consists of interest income related to interest received on our cash and cash equivalents and disposals of property and equipment.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3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for each of the periods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Year Ended June 30,</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32"/>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64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Recurring fees</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$100,362</w:t>
            </w:r>
          </w:p>
        </w:tc>
        <w:tc>
          <w:tcPr>
            <w:tcW w:w="1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$142,168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$217,416</w:t>
            </w:r>
          </w:p>
        </w:tc>
        <w:tc>
          <w:tcPr>
            <w:tcW w:w="0" w:type="dxa"/>
            <w:vAlign w:val="bottom"/>
          </w:tcPr>
          <w:p>
            <w:pPr>
              <w:spacing w:after="0"/>
              <w:rPr>
                <w:sz w:val="1"/>
                <w:szCs w:val="1"/>
                <w:color w:val="auto"/>
              </w:rPr>
            </w:pPr>
          </w:p>
        </w:tc>
      </w:tr>
      <w:tr>
        <w:trPr>
          <w:trHeight w:val="234"/>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1,582</w:t>
            </w:r>
          </w:p>
        </w:tc>
        <w:tc>
          <w:tcPr>
            <w:tcW w:w="1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1,901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0" w:type="dxa"/>
            <w:vAlign w:val="bottom"/>
          </w:tcPr>
          <w:p>
            <w:pPr>
              <w:spacing w:after="0"/>
              <w:rPr>
                <w:sz w:val="1"/>
                <w:szCs w:val="1"/>
                <w:color w:val="auto"/>
              </w:rPr>
            </w:pPr>
          </w:p>
        </w:tc>
      </w:tr>
      <w:tr>
        <w:trPr>
          <w:trHeight w:val="191"/>
        </w:trPr>
        <w:tc>
          <w:tcPr>
            <w:tcW w:w="664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rPr>
              <w:t>Total recurring revenues</w:t>
            </w: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101,944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144,069</w:t>
            </w:r>
          </w:p>
        </w:tc>
        <w:tc>
          <w:tcPr>
            <w:tcW w:w="280" w:type="dxa"/>
            <w:vAlign w:val="bottom"/>
          </w:tcPr>
          <w:p>
            <w:pPr>
              <w:spacing w:after="0"/>
              <w:rPr>
                <w:sz w:val="16"/>
                <w:szCs w:val="16"/>
                <w:color w:val="auto"/>
              </w:rPr>
            </w:pP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220,104</w:t>
            </w:r>
          </w:p>
        </w:tc>
        <w:tc>
          <w:tcPr>
            <w:tcW w:w="0" w:type="dxa"/>
            <w:vAlign w:val="bottom"/>
          </w:tcPr>
          <w:p>
            <w:pPr>
              <w:spacing w:after="0"/>
              <w:rPr>
                <w:sz w:val="1"/>
                <w:szCs w:val="1"/>
                <w:color w:val="auto"/>
              </w:rPr>
            </w:pPr>
          </w:p>
        </w:tc>
      </w:tr>
      <w:tr>
        <w:trPr>
          <w:trHeight w:val="234"/>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6,743</w:t>
            </w:r>
          </w:p>
        </w:tc>
        <w:tc>
          <w:tcPr>
            <w:tcW w:w="1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8,629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10,597</w:t>
            </w:r>
          </w:p>
        </w:tc>
        <w:tc>
          <w:tcPr>
            <w:tcW w:w="0" w:type="dxa"/>
            <w:vAlign w:val="bottom"/>
          </w:tcPr>
          <w:p>
            <w:pPr>
              <w:spacing w:after="0"/>
              <w:rPr>
                <w:sz w:val="1"/>
                <w:szCs w:val="1"/>
                <w:color w:val="auto"/>
              </w:rPr>
            </w:pPr>
          </w:p>
        </w:tc>
      </w:tr>
      <w:tr>
        <w:trPr>
          <w:trHeight w:val="210"/>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152,698</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230,701</w:t>
            </w:r>
          </w:p>
        </w:tc>
        <w:tc>
          <w:tcPr>
            <w:tcW w:w="0" w:type="dxa"/>
            <w:vAlign w:val="bottom"/>
          </w:tcPr>
          <w:p>
            <w:pPr>
              <w:spacing w:after="0"/>
              <w:rPr>
                <w:sz w:val="1"/>
                <w:szCs w:val="1"/>
                <w:color w:val="auto"/>
              </w:rPr>
            </w:pPr>
          </w:p>
        </w:tc>
      </w:tr>
      <w:tr>
        <w:trPr>
          <w:trHeight w:val="178"/>
        </w:trPr>
        <w:tc>
          <w:tcPr>
            <w:tcW w:w="66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Cost of revenues:</w:t>
            </w: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Recurring revenues</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37,319</w:t>
            </w:r>
          </w:p>
        </w:tc>
        <w:tc>
          <w:tcPr>
            <w:tcW w:w="1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46,366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66,131</w:t>
            </w:r>
          </w:p>
        </w:tc>
        <w:tc>
          <w:tcPr>
            <w:tcW w:w="0" w:type="dxa"/>
            <w:vAlign w:val="bottom"/>
          </w:tcPr>
          <w:p>
            <w:pPr>
              <w:spacing w:after="0"/>
              <w:rPr>
                <w:sz w:val="1"/>
                <w:szCs w:val="1"/>
                <w:color w:val="auto"/>
              </w:rPr>
            </w:pPr>
          </w:p>
        </w:tc>
      </w:tr>
      <w:tr>
        <w:trPr>
          <w:trHeight w:val="234"/>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17,775</w:t>
            </w:r>
          </w:p>
        </w:tc>
        <w:tc>
          <w:tcPr>
            <w:tcW w:w="1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24,530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31,954</w:t>
            </w:r>
          </w:p>
        </w:tc>
        <w:tc>
          <w:tcPr>
            <w:tcW w:w="0" w:type="dxa"/>
            <w:vAlign w:val="bottom"/>
          </w:tcPr>
          <w:p>
            <w:pPr>
              <w:spacing w:after="0"/>
              <w:rPr>
                <w:sz w:val="1"/>
                <w:szCs w:val="1"/>
                <w:color w:val="auto"/>
              </w:rPr>
            </w:pPr>
          </w:p>
        </w:tc>
      </w:tr>
      <w:tr>
        <w:trPr>
          <w:trHeight w:val="210"/>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revenues</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70,896</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98,085</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53,593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81,802</w:t>
            </w: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132,616</w:t>
            </w:r>
          </w:p>
        </w:tc>
        <w:tc>
          <w:tcPr>
            <w:tcW w:w="0" w:type="dxa"/>
            <w:vAlign w:val="bottom"/>
          </w:tcPr>
          <w:p>
            <w:pPr>
              <w:spacing w:after="0"/>
              <w:rPr>
                <w:sz w:val="1"/>
                <w:szCs w:val="1"/>
                <w:color w:val="auto"/>
              </w:rPr>
            </w:pPr>
          </w:p>
        </w:tc>
      </w:tr>
      <w:tr>
        <w:trPr>
          <w:trHeight w:val="178"/>
        </w:trPr>
        <w:tc>
          <w:tcPr>
            <w:tcW w:w="66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Operating expenses:</w:t>
            </w: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28,276</w:t>
            </w:r>
          </w:p>
        </w:tc>
        <w:tc>
          <w:tcPr>
            <w:tcW w:w="1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43,035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61,832</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10,355</w:t>
            </w:r>
          </w:p>
        </w:tc>
        <w:tc>
          <w:tcPr>
            <w:tcW w:w="1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19,864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26,736</w:t>
            </w:r>
          </w:p>
        </w:tc>
        <w:tc>
          <w:tcPr>
            <w:tcW w:w="0" w:type="dxa"/>
            <w:vAlign w:val="bottom"/>
          </w:tcPr>
          <w:p>
            <w:pPr>
              <w:spacing w:after="0"/>
              <w:rPr>
                <w:sz w:val="1"/>
                <w:szCs w:val="1"/>
                <w:color w:val="auto"/>
              </w:rPr>
            </w:pPr>
          </w:p>
        </w:tc>
      </w:tr>
      <w:tr>
        <w:trPr>
          <w:trHeight w:val="234"/>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21,980</w:t>
            </w:r>
          </w:p>
        </w:tc>
        <w:tc>
          <w:tcPr>
            <w:tcW w:w="1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32,824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47,598</w:t>
            </w:r>
          </w:p>
        </w:tc>
        <w:tc>
          <w:tcPr>
            <w:tcW w:w="0" w:type="dxa"/>
            <w:vAlign w:val="bottom"/>
          </w:tcPr>
          <w:p>
            <w:pPr>
              <w:spacing w:after="0"/>
              <w:rPr>
                <w:sz w:val="1"/>
                <w:szCs w:val="1"/>
                <w:color w:val="auto"/>
              </w:rPr>
            </w:pPr>
          </w:p>
        </w:tc>
      </w:tr>
      <w:tr>
        <w:trPr>
          <w:trHeight w:val="210"/>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95,723</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136,166</w:t>
            </w:r>
          </w:p>
        </w:tc>
        <w:tc>
          <w:tcPr>
            <w:tcW w:w="0" w:type="dxa"/>
            <w:vAlign w:val="bottom"/>
          </w:tcPr>
          <w:p>
            <w:pPr>
              <w:spacing w:after="0"/>
              <w:rPr>
                <w:sz w:val="1"/>
                <w:szCs w:val="1"/>
                <w:color w:val="auto"/>
              </w:rPr>
            </w:pPr>
          </w:p>
        </w:tc>
      </w:tr>
      <w:tr>
        <w:trPr>
          <w:trHeight w:val="191"/>
        </w:trPr>
        <w:tc>
          <w:tcPr>
            <w:tcW w:w="664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rPr>
              <w:t>Operating loss</w:t>
            </w:r>
          </w:p>
        </w:tc>
        <w:tc>
          <w:tcPr>
            <w:tcW w:w="1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(7,018)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(13,921)</w:t>
            </w:r>
          </w:p>
        </w:tc>
        <w:tc>
          <w:tcPr>
            <w:tcW w:w="280" w:type="dxa"/>
            <w:vAlign w:val="bottom"/>
          </w:tcPr>
          <w:p>
            <w:pPr>
              <w:spacing w:after="0"/>
              <w:rPr>
                <w:sz w:val="16"/>
                <w:szCs w:val="16"/>
                <w:color w:val="auto"/>
              </w:rPr>
            </w:pPr>
          </w:p>
        </w:tc>
        <w:tc>
          <w:tcPr>
            <w:tcW w:w="1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(3,550)</w:t>
            </w: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w:t>
            </w:r>
          </w:p>
        </w:tc>
        <w:tc>
          <w:tcPr>
            <w:tcW w:w="1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91"/>
        </w:trPr>
        <w:tc>
          <w:tcPr>
            <w:tcW w:w="6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Loss before income taxes</w:t>
            </w: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(6,855)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(13,867)</w:t>
            </w:r>
          </w:p>
        </w:tc>
        <w:tc>
          <w:tcPr>
            <w:tcW w:w="280" w:type="dxa"/>
            <w:vAlign w:val="bottom"/>
          </w:tcPr>
          <w:p>
            <w:pPr>
              <w:spacing w:after="0"/>
              <w:rPr>
                <w:sz w:val="16"/>
                <w:szCs w:val="16"/>
                <w:color w:val="auto"/>
              </w:rPr>
            </w:pP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(3,674)</w:t>
            </w: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255</w:t>
            </w:r>
          </w:p>
        </w:tc>
        <w:tc>
          <w:tcPr>
            <w:tcW w:w="1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0"/>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$(13,972)</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as a percentage of total revenue for each of the periods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238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Year Ended June 30,</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178"/>
        </w:trPr>
        <w:tc>
          <w:tcPr>
            <w:tcW w:w="824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Recurring fees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4"/>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1"/>
        </w:trPr>
        <w:tc>
          <w:tcPr>
            <w:tcW w:w="824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rPr>
              <w:t>Total recurring revenues</w:t>
            </w: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4"/>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78"/>
        </w:trPr>
        <w:tc>
          <w:tcPr>
            <w:tcW w:w="82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Cost of revenues:</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Recurring revenues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4"/>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costs of revenues</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8"/>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4"/>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1"/>
        </w:trPr>
        <w:tc>
          <w:tcPr>
            <w:tcW w:w="824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rPr>
              <w:t>Operating loss</w:t>
            </w: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8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Loss before income taxes</w:t>
            </w: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Fiscal Years Ended June 30, 2014, 2015 and 2016</w:t>
      </w:r>
    </w:p>
    <w:p>
      <w:pPr>
        <w:sectPr>
          <w:pgSz w:w="11900" w:h="16838" w:orient="portrait"/>
          <w:cols w:equalWidth="0" w:num="1">
            <w:col w:w="11380"/>
          </w:cols>
          <w:pgMar w:left="240" w:top="121" w:right="279" w:bottom="0" w:gutter="0" w:footer="0" w:header="0"/>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ectPr>
          <w:pgSz w:w="11900" w:h="16838" w:orient="portrait"/>
          <w:cols w:equalWidth="0" w:num="1">
            <w:col w:w="11380"/>
          </w:cols>
          <w:pgMar w:left="240" w:top="121" w:right="279" w:bottom="0" w:gutter="0" w:footer="0" w:header="0"/>
          <w:type w:val="continuous"/>
        </w:sectPr>
      </w:pPr>
    </w:p>
    <w:bookmarkStart w:id="28" w:name="page29"/>
    <w:bookmarkEnd w:id="28"/>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Year Ended June 30,</w:t>
            </w: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 from</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 from</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vMerge w:val="continue"/>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2014 to 2015</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2015 to 2016</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Recurring fees</w:t>
            </w:r>
          </w:p>
        </w:tc>
        <w:tc>
          <w:tcPr>
            <w:tcW w:w="920" w:type="dxa"/>
            <w:vAlign w:val="bottom"/>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080" w:type="dxa"/>
            <w:vAlign w:val="bottom"/>
            <w:gridSpan w:val="2"/>
          </w:tcPr>
          <w:p>
            <w:pPr>
              <w:jc w:val="right"/>
              <w:ind w:right="210"/>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Pr>
          <w:p>
            <w:pPr>
              <w:spacing w:after="0"/>
              <w:rPr>
                <w:sz w:val="13"/>
                <w:szCs w:val="13"/>
                <w:color w:val="auto"/>
              </w:rPr>
            </w:pPr>
          </w:p>
        </w:tc>
        <w:tc>
          <w:tcPr>
            <w:tcW w:w="920" w:type="dxa"/>
            <w:vAlign w:val="bottom"/>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3"/>
                <w:szCs w:val="13"/>
                <w:color w:val="auto"/>
              </w:rPr>
            </w:pPr>
          </w:p>
        </w:tc>
        <w:tc>
          <w:tcPr>
            <w:tcW w:w="920" w:type="dxa"/>
            <w:vAlign w:val="bottom"/>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900" w:type="dxa"/>
            <w:vAlign w:val="bottom"/>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1"/>
        </w:trPr>
        <w:tc>
          <w:tcPr>
            <w:tcW w:w="3900" w:type="dxa"/>
            <w:vAlign w:val="bottom"/>
            <w:vMerge w:val="continue"/>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$100,362</w:t>
            </w:r>
          </w:p>
        </w:tc>
        <w:tc>
          <w:tcPr>
            <w:tcW w:w="180" w:type="dxa"/>
            <w:vAlign w:val="bottom"/>
          </w:tcPr>
          <w:p>
            <w:pPr>
              <w:spacing w:after="0"/>
              <w:rPr>
                <w:sz w:val="16"/>
                <w:szCs w:val="16"/>
                <w:color w:val="auto"/>
              </w:rPr>
            </w:pP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$142,168</w:t>
            </w:r>
          </w:p>
        </w:tc>
        <w:tc>
          <w:tcPr>
            <w:tcW w:w="180" w:type="dxa"/>
            <w:vAlign w:val="bottom"/>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$217,416</w:t>
            </w:r>
          </w:p>
        </w:tc>
        <w:tc>
          <w:tcPr>
            <w:tcW w:w="180" w:type="dxa"/>
            <w:vAlign w:val="bottom"/>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$41,806</w:t>
            </w:r>
          </w:p>
        </w:tc>
        <w:tc>
          <w:tcPr>
            <w:tcW w:w="1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6"/>
                <w:szCs w:val="16"/>
                <w:color w:val="auto"/>
              </w:rPr>
            </w:pP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$75,248</w:t>
            </w:r>
          </w:p>
        </w:tc>
        <w:tc>
          <w:tcPr>
            <w:tcW w:w="1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$8,629</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$10,597</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4"/>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Recurring Fees</w:t>
      </w:r>
    </w:p>
    <w:p>
      <w:pPr>
        <w:spacing w:after="0" w:line="133"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Recurring fees for the year ended June 30, 2016 increased by $75.2 million, or 53%, to $217.4 million from $142.2 million for the year ended June 30, 2015. Recurring fees increased primarily as a result of incremental revenues from new and existing clients, including revenue related to our Affordable Care Act (“ACA”) compliance solution offered to new and existing clients, which we launched in fiscal year 2016. Our client count at June 30, 2016 increased by 21% to approximately 12,500 from approximately 10,350 at June 30, 2015.</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Recurring fees for the year ended June 30, 2015 increased by $41.8 million, or 42%, to $142.2 million from $100.4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2014. Recurring fees increased primarily as a result of the continued growth of our client base in fiscal 2015, as well as increased revenue per client.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client count at June 30, 2015 increased by 22% to approximately 10,350 from approximately 8,500 at June 30, 2014.</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133"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Interest income on funds held for clients for the year ended June 30, 2016 increased by $0.8 million, or 41%, to $2.7 million from $1.9 million for the year ended June 30, 2015. Interest income increased primarily as a result of an increased average daily balance of funds held due to the addition of new clients to our client base.</w:t>
      </w:r>
    </w:p>
    <w:p>
      <w:pPr>
        <w:spacing w:after="0" w:line="82"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Interest income on funds held for clients for the year ended June 30, 2015 increased by $0.3 million, or 20%, to $1.9 million from $1.6 million for the year ended June 30, 2014. Interest income increased primarily as a result of an increased average daily balance of funds held due to the addition of new clients to our client base.</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Implementation Services and Other</w:t>
      </w:r>
    </w:p>
    <w:p>
      <w:pPr>
        <w:spacing w:after="0" w:line="13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Implementation services and other revenue for the year ended June 30, 2016 increased by $2.0 million, or 23%, to $10.6 million from $8.6 million for the year ended June 30, 2015. Implementation services and other revenue increased primarily as a result of an increase in the number of new clients during fiscal 2016 as compared to fiscal 2015.</w:t>
      </w:r>
    </w:p>
    <w:p>
      <w:pPr>
        <w:spacing w:after="0" w:line="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Implementation services and other revenue for the year ended June 30, 2015 increased by $1.9 million, or 28%, to $8.6 million from $6.7 million for the year ended June 30, 2014. Implementation services and other revenue increased primarily as a result of the continued growth of our new client base during fiscal 2015.</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4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 from</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 from</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vMerge w:val="continue"/>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2014 to 2015</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2015 to 2016</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 of recurring revenues</w:t>
            </w:r>
          </w:p>
        </w:tc>
        <w:tc>
          <w:tcPr>
            <w:tcW w:w="880" w:type="dxa"/>
            <w:vAlign w:val="bottom"/>
          </w:tcPr>
          <w:p>
            <w:pPr>
              <w:jc w:val="right"/>
              <w:ind w:right="19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120" w:type="dxa"/>
            <w:vAlign w:val="bottom"/>
            <w:gridSpan w:val="3"/>
          </w:tcPr>
          <w:p>
            <w:pPr>
              <w:jc w:val="right"/>
              <w:ind w:right="210"/>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3"/>
                <w:szCs w:val="13"/>
                <w:color w:val="auto"/>
              </w:rPr>
            </w:pPr>
          </w:p>
        </w:tc>
        <w:tc>
          <w:tcPr>
            <w:tcW w:w="920" w:type="dxa"/>
            <w:vAlign w:val="bottom"/>
          </w:tcPr>
          <w:p>
            <w:pPr>
              <w:jc w:val="right"/>
              <w:ind w:right="341"/>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jc w:val="right"/>
              <w:ind w:right="29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900" w:type="dxa"/>
            <w:vAlign w:val="bottom"/>
          </w:tcPr>
          <w:p>
            <w:pPr>
              <w:jc w:val="right"/>
              <w:ind w:right="341"/>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jc w:val="right"/>
              <w:ind w:right="29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1"/>
        </w:trPr>
        <w:tc>
          <w:tcPr>
            <w:tcW w:w="3900" w:type="dxa"/>
            <w:vAlign w:val="bottom"/>
            <w:vMerge w:val="continue"/>
          </w:tcPr>
          <w:p>
            <w:pPr>
              <w:spacing w:after="0"/>
              <w:rPr>
                <w:sz w:val="16"/>
                <w:szCs w:val="16"/>
                <w:color w:val="auto"/>
              </w:rPr>
            </w:pPr>
          </w:p>
        </w:tc>
        <w:tc>
          <w:tcPr>
            <w:tcW w:w="8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$37,319</w:t>
            </w:r>
          </w:p>
        </w:tc>
        <w:tc>
          <w:tcPr>
            <w:tcW w:w="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$46,366</w:t>
            </w: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$66,131</w:t>
            </w:r>
          </w:p>
        </w:tc>
        <w:tc>
          <w:tcPr>
            <w:tcW w:w="180" w:type="dxa"/>
            <w:vAlign w:val="bottom"/>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$9,047</w:t>
            </w:r>
          </w:p>
        </w:tc>
        <w:tc>
          <w:tcPr>
            <w:tcW w:w="1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6"/>
                <w:szCs w:val="16"/>
                <w:color w:val="auto"/>
              </w:rPr>
            </w:pP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$19,765</w:t>
            </w:r>
          </w:p>
        </w:tc>
        <w:tc>
          <w:tcPr>
            <w:tcW w:w="1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Percentage of recurring revenues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Recurring gross margin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Cost of implementation services and other</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$17,775</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$24,530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$31,954</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Percentage of implementation services and other</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Implementation gross margin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Cost of Recurring Revenues</w:t>
      </w:r>
    </w:p>
    <w:p>
      <w:pPr>
        <w:spacing w:after="0" w:line="133" w:lineRule="exact"/>
        <w:rPr>
          <w:sz w:val="20"/>
          <w:szCs w:val="20"/>
          <w:color w:val="auto"/>
        </w:rPr>
      </w:pPr>
    </w:p>
    <w:p>
      <w:pPr>
        <w:ind w:right="340" w:firstLine="648"/>
        <w:spacing w:after="0" w:line="256" w:lineRule="auto"/>
        <w:rPr>
          <w:sz w:val="20"/>
          <w:szCs w:val="20"/>
          <w:color w:val="auto"/>
        </w:rPr>
      </w:pPr>
      <w:r>
        <w:rPr>
          <w:rFonts w:ascii="Times New Roman" w:cs="Times New Roman" w:eastAsia="Times New Roman" w:hAnsi="Times New Roman"/>
          <w:sz w:val="18"/>
          <w:szCs w:val="18"/>
          <w:color w:val="auto"/>
        </w:rPr>
        <w:t>Cost of recurring revenues for the year ended June 30, 2016 increased by $19.8 million, or 43%, to $66.1 million from $46.4 million for the year ended June 30, 2015. Cost of recurring revenues increased primarily as a result of the continued growth of our business, in particular $10.8 million in additional employee-related costs resulting from additional personnel to provide services to new and existing clients, $8.3 million in delivery and other processing-related fees and $2.8 million in increased internal-use software amortization, partially offset by a $2.3 million decrease in reseller expenses primarily due to our acquisition of our remaining reseller during fiscal 2015. Recurring gross margin increased by 2% from 68% in fiscal 2015 to 70% in fiscal 2016 primarily due to a 2% reduction in reseller expenses as a percentage of total recurring revenue.</w:t>
      </w:r>
    </w:p>
    <w:p>
      <w:pPr>
        <w:spacing w:after="0" w:line="93"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Cost of recurring revenues for the year ended June 30, 2015 increased by $9.0 million, or 24%, to $46.4 million from $37.3 million for the year ended June 30, 2014. Cost of recurring revenues increased primarily as a result of the continued growth of our business, in particular $5.3 million in additional employee-related costs resulting from additional personnel to provide services to new and existing clients, $1.0 million stock-based compensation associated with our equity incentive plan, and $4.5 million other processing-related fees, partially offset by a $2.2 million decline in costs attributable to resellers. Recurring gross margin increased by 5% from 63% in fiscal 2014 to 68% in fiscal 2015 primarily due to a 3% reduction in costs attributable to resellers as a percentage of total recurring revenue and 1% decreases in both employee-related and processing-related costs.</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Cost of Implementation Services and Other</w:t>
      </w:r>
    </w:p>
    <w:p>
      <w:pPr>
        <w:spacing w:after="0" w:line="13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Cost of implementation services and other for the year ended June 30, 2016 increased by $7.4 million, or 30%, to $32.0 million from $24.5 million for the year ended June 30, 2015. Cost of implementation services and other increased primarily due to an increase in new clients during fiscal 2016, and a corresponding increase of $7.5 million in employee-related costs to implement our solutions for new and existing clients.</w:t>
      </w:r>
    </w:p>
    <w:p>
      <w:pPr>
        <w:spacing w:after="0" w:line="8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Cost of implementation services and other for the year ended June 30, 2015 increased by $6.8 million, or 38%, to $24.5 million from $17.8 million for the year ended June 30, 2014. Cost of implementation services and other increased primarily due to an increase in new clients during fiscal 2015, and a</w:t>
      </w:r>
    </w:p>
    <w:p>
      <w:pPr>
        <w:sectPr>
          <w:pgSz w:w="11900" w:h="16906" w:orient="portrait"/>
          <w:cols w:equalWidth="0" w:num="1">
            <w:col w:w="11420"/>
          </w:cols>
          <w:pgMar w:left="240" w:top="121" w:right="239" w:bottom="0" w:gutter="0" w:footer="0" w:header="0"/>
        </w:sectPr>
      </w:pPr>
    </w:p>
    <w:bookmarkStart w:id="29" w:name="page30"/>
    <w:bookmarkEnd w:id="29"/>
    <w:p>
      <w:pPr>
        <w:ind w:right="420"/>
        <w:spacing w:after="0" w:line="282" w:lineRule="auto"/>
        <w:rPr>
          <w:sz w:val="20"/>
          <w:szCs w:val="20"/>
          <w:color w:val="auto"/>
        </w:rPr>
      </w:pPr>
      <w:r>
        <w:rPr>
          <w:rFonts w:ascii="Times New Roman" w:cs="Times New Roman" w:eastAsia="Times New Roman" w:hAnsi="Times New Roman"/>
          <w:sz w:val="18"/>
          <w:szCs w:val="18"/>
          <w:color w:val="auto"/>
        </w:rPr>
        <w:t>corresponding increase of $5.2 million in employee-related costs to implement our solutions for new clients and $0.8 million stock-based compensation associated with our equity incentive plan.</w:t>
      </w:r>
    </w:p>
    <w:p>
      <w:pPr>
        <w:spacing w:after="0" w:line="1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4"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 from</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 from</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5"/>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2014 to 2015</w:t>
            </w:r>
          </w:p>
        </w:tc>
        <w:tc>
          <w:tcPr>
            <w:tcW w:w="5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2015 to 2016</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tcPr>
          <w:p>
            <w:pPr>
              <w:jc w:val="right"/>
              <w:ind w:right="176"/>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120" w:type="dxa"/>
            <w:vAlign w:val="bottom"/>
            <w:gridSpan w:val="3"/>
          </w:tcPr>
          <w:p>
            <w:pPr>
              <w:jc w:val="right"/>
              <w:ind w:right="210"/>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216"/>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3"/>
                <w:szCs w:val="13"/>
                <w:color w:val="auto"/>
              </w:rPr>
            </w:pPr>
          </w:p>
        </w:tc>
        <w:tc>
          <w:tcPr>
            <w:tcW w:w="920" w:type="dxa"/>
            <w:vAlign w:val="bottom"/>
          </w:tcPr>
          <w:p>
            <w:pPr>
              <w:jc w:val="right"/>
              <w:ind w:right="34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60" w:type="dxa"/>
            <w:vAlign w:val="bottom"/>
          </w:tcPr>
          <w:p>
            <w:pPr>
              <w:spacing w:after="0"/>
              <w:rPr>
                <w:sz w:val="13"/>
                <w:szCs w:val="13"/>
                <w:color w:val="auto"/>
              </w:rPr>
            </w:pPr>
          </w:p>
        </w:tc>
        <w:tc>
          <w:tcPr>
            <w:tcW w:w="920" w:type="dxa"/>
            <w:vAlign w:val="bottom"/>
          </w:tcPr>
          <w:p>
            <w:pPr>
              <w:jc w:val="right"/>
              <w:ind w:right="32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1"/>
        </w:trPr>
        <w:tc>
          <w:tcPr>
            <w:tcW w:w="3460" w:type="dxa"/>
            <w:vAlign w:val="bottom"/>
            <w:vMerge w:val="continue"/>
          </w:tcPr>
          <w:p>
            <w:pPr>
              <w:spacing w:after="0"/>
              <w:rPr>
                <w:sz w:val="16"/>
                <w:szCs w:val="16"/>
                <w:color w:val="auto"/>
              </w:rPr>
            </w:pPr>
          </w:p>
        </w:tc>
        <w:tc>
          <w:tcPr>
            <w:tcW w:w="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$28,276</w:t>
            </w:r>
          </w:p>
        </w:tc>
        <w:tc>
          <w:tcPr>
            <w:tcW w:w="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$43,035</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$61,832</w:t>
            </w:r>
          </w:p>
        </w:tc>
        <w:tc>
          <w:tcPr>
            <w:tcW w:w="180" w:type="dxa"/>
            <w:vAlign w:val="bottom"/>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$14,759</w:t>
            </w:r>
          </w:p>
        </w:tc>
        <w:tc>
          <w:tcPr>
            <w:tcW w:w="16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$18,797</w:t>
            </w:r>
          </w:p>
        </w:tc>
        <w:tc>
          <w:tcPr>
            <w:tcW w:w="16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expenses for the year ended June 30, 2016 increased by $18.8 million, or 44%, to $61.8 million from $43.0 million for the year ended June 30, 2015. The increase in sales and marketing expenses in fiscal 2016 was primarily the result of $15.6 million of additional employee-related costs from the expansion of our sales force by 75 personnel (including management, sales engineers, direct sales and sales administration), our sales lead generation group by 14 personnel and our marketing team by 3 personnel. The increase was also attributable to $1.2 million of stock-based compensation associated with our equity incentive plan.</w:t>
      </w:r>
    </w:p>
    <w:p>
      <w:pPr>
        <w:spacing w:after="0" w:line="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expenses for the year ended June 30, 2015 increased by $14.8 million, or 52%, to $43.0 million from $28.3 million for the year ended June 30, 2014. The increase in sales and marketing expenses in fiscal 2015 was primarily the result of $12.0 million of additional employee-related costs from the expansion of our sales team including management, direct sales and sales administration personnel by 34 personnel, the addition of 26 sales lead generation personnel and other miscellaneous sales and marketing related expenses. The increase was also attributable to $2.5 million of stock-based compensation associated with our equity incentive plan.</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4"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 from</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 from</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5"/>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2014 to 2015</w:t>
            </w:r>
          </w:p>
        </w:tc>
        <w:tc>
          <w:tcPr>
            <w:tcW w:w="5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2015 to 2016</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jc w:val="right"/>
              <w:ind w:right="176"/>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120" w:type="dxa"/>
            <w:vAlign w:val="bottom"/>
            <w:gridSpan w:val="3"/>
          </w:tcPr>
          <w:p>
            <w:pPr>
              <w:jc w:val="right"/>
              <w:ind w:right="210"/>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216"/>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3"/>
                <w:szCs w:val="13"/>
                <w:color w:val="auto"/>
              </w:rPr>
            </w:pPr>
          </w:p>
        </w:tc>
        <w:tc>
          <w:tcPr>
            <w:tcW w:w="920" w:type="dxa"/>
            <w:vAlign w:val="bottom"/>
          </w:tcPr>
          <w:p>
            <w:pPr>
              <w:jc w:val="right"/>
              <w:ind w:right="34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60" w:type="dxa"/>
            <w:vAlign w:val="bottom"/>
          </w:tcPr>
          <w:p>
            <w:pPr>
              <w:spacing w:after="0"/>
              <w:rPr>
                <w:sz w:val="13"/>
                <w:szCs w:val="13"/>
                <w:color w:val="auto"/>
              </w:rPr>
            </w:pPr>
          </w:p>
        </w:tc>
        <w:tc>
          <w:tcPr>
            <w:tcW w:w="920" w:type="dxa"/>
            <w:vAlign w:val="bottom"/>
          </w:tcPr>
          <w:p>
            <w:pPr>
              <w:jc w:val="right"/>
              <w:ind w:right="32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1"/>
        </w:trPr>
        <w:tc>
          <w:tcPr>
            <w:tcW w:w="3460" w:type="dxa"/>
            <w:vAlign w:val="bottom"/>
            <w:vMerge w:val="continue"/>
          </w:tcPr>
          <w:p>
            <w:pPr>
              <w:spacing w:after="0"/>
              <w:rPr>
                <w:sz w:val="16"/>
                <w:szCs w:val="16"/>
                <w:color w:val="auto"/>
              </w:rPr>
            </w:pPr>
          </w:p>
        </w:tc>
        <w:tc>
          <w:tcPr>
            <w:tcW w:w="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$10,355</w:t>
            </w:r>
          </w:p>
        </w:tc>
        <w:tc>
          <w:tcPr>
            <w:tcW w:w="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$19,864</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$26,736</w:t>
            </w:r>
          </w:p>
        </w:tc>
        <w:tc>
          <w:tcPr>
            <w:tcW w:w="180" w:type="dxa"/>
            <w:vAlign w:val="bottom"/>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$9,509</w:t>
            </w:r>
          </w:p>
        </w:tc>
        <w:tc>
          <w:tcPr>
            <w:tcW w:w="16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$6,872</w:t>
            </w:r>
          </w:p>
        </w:tc>
        <w:tc>
          <w:tcPr>
            <w:tcW w:w="16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for the year ended June 30, 2016 increased by $6.9 million, or 35%, to $26.7 million from $19.9 million for the year ended June 30, 2015. Research and development costs increased in fiscal 2016 primarily due to $9.9 million of additional employee-related expenses related to 54 additional development personnel, partially offset by higher year-over-year capitalized internal-use software costs of $4.2 million.</w:t>
      </w:r>
    </w:p>
    <w:p>
      <w:pPr>
        <w:spacing w:after="0" w:line="8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for the year ended June 30, 2015 increased by $9.5 million, or 92%, to $19.9 million from $10.4 million for the year ended June 30, 2014. Research and development costs increased in fiscal 2015 primarily due to $7.5 million of additional employee-related expenses related to 64 additional development personnel and $2.2 million of stock-based compensation associated with our equity incentive plan. This was offset by an increase of $0.2 million in our capitalized internal-use software costs.</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4"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 from</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 from</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5"/>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2014 to 2015</w:t>
            </w:r>
          </w:p>
        </w:tc>
        <w:tc>
          <w:tcPr>
            <w:tcW w:w="5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2015 to 2016</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Pr>
          <w:p>
            <w:pPr>
              <w:jc w:val="right"/>
              <w:ind w:right="176"/>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120" w:type="dxa"/>
            <w:vAlign w:val="bottom"/>
            <w:gridSpan w:val="3"/>
          </w:tcPr>
          <w:p>
            <w:pPr>
              <w:jc w:val="right"/>
              <w:ind w:right="210"/>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216"/>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3"/>
                <w:szCs w:val="13"/>
                <w:color w:val="auto"/>
              </w:rPr>
            </w:pPr>
          </w:p>
        </w:tc>
        <w:tc>
          <w:tcPr>
            <w:tcW w:w="920" w:type="dxa"/>
            <w:vAlign w:val="bottom"/>
          </w:tcPr>
          <w:p>
            <w:pPr>
              <w:jc w:val="right"/>
              <w:ind w:right="34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60" w:type="dxa"/>
            <w:vAlign w:val="bottom"/>
          </w:tcPr>
          <w:p>
            <w:pPr>
              <w:spacing w:after="0"/>
              <w:rPr>
                <w:sz w:val="13"/>
                <w:szCs w:val="13"/>
                <w:color w:val="auto"/>
              </w:rPr>
            </w:pPr>
          </w:p>
        </w:tc>
        <w:tc>
          <w:tcPr>
            <w:tcW w:w="920" w:type="dxa"/>
            <w:vAlign w:val="bottom"/>
          </w:tcPr>
          <w:p>
            <w:pPr>
              <w:jc w:val="right"/>
              <w:ind w:right="32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1"/>
        </w:trPr>
        <w:tc>
          <w:tcPr>
            <w:tcW w:w="3460" w:type="dxa"/>
            <w:vAlign w:val="bottom"/>
            <w:vMerge w:val="continue"/>
          </w:tcPr>
          <w:p>
            <w:pPr>
              <w:spacing w:after="0"/>
              <w:rPr>
                <w:sz w:val="16"/>
                <w:szCs w:val="16"/>
                <w:color w:val="auto"/>
              </w:rPr>
            </w:pPr>
          </w:p>
        </w:tc>
        <w:tc>
          <w:tcPr>
            <w:tcW w:w="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$21,980</w:t>
            </w:r>
          </w:p>
        </w:tc>
        <w:tc>
          <w:tcPr>
            <w:tcW w:w="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$32,824</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$47,598</w:t>
            </w:r>
          </w:p>
        </w:tc>
        <w:tc>
          <w:tcPr>
            <w:tcW w:w="180" w:type="dxa"/>
            <w:vAlign w:val="bottom"/>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$10,844</w:t>
            </w:r>
          </w:p>
        </w:tc>
        <w:tc>
          <w:tcPr>
            <w:tcW w:w="16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$14,774</w:t>
            </w:r>
          </w:p>
        </w:tc>
        <w:tc>
          <w:tcPr>
            <w:tcW w:w="16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year ended June 30, 2016 increased by $14.8 million, or 45%, to $47.6 million from $32.8 million for the year ended June 30, 2015. General and administrative expenses increased primarily as a result of $6.7 million of additional employee-related expenses relating to 36 additional personnel, $2.9 million of additional stock-based compensation costs, $1.5 million of increased occupancy costs incurred as a result of our requirement for additional office space and $1.3 million of increased professional services fees.</w:t>
      </w:r>
    </w:p>
    <w:p>
      <w:pPr>
        <w:spacing w:after="0" w:line="8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for the year ended June 30, 2015 increased by $10.8 million, or 49%, to $32.8 million from $22.0 million for the year ended June 30, 2014. General and administrative expenses increased primarily as a result of $5.0 million of additional employee-related expenses relating to 30 additional personnel, $2.0 million of additional stock-based compensation costs, $1.5 million of increased occupancy costs incurred as a result of our requirement for additional office space, $0.8 million of amortization expense of the customer relationship and non-compete intangibles associated with acquisitions of both of our</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resellers, $0.7 million of increased insurance costs associated with being a public company, and $0.3 million in additional professional fees.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Year Ended June 30,</w:t>
            </w: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 from</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 from</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vMerge w:val="continue"/>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2014 to 2015</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2015 to 2016</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20" w:type="dxa"/>
            <w:vAlign w:val="bottom"/>
          </w:tcPr>
          <w:p>
            <w:pPr>
              <w:jc w:val="right"/>
              <w:ind w:right="236"/>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080" w:type="dxa"/>
            <w:vAlign w:val="bottom"/>
            <w:gridSpan w:val="2"/>
          </w:tcPr>
          <w:p>
            <w:pPr>
              <w:jc w:val="right"/>
              <w:ind w:right="210"/>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Pr>
          <w:p>
            <w:pPr>
              <w:spacing w:after="0"/>
              <w:rPr>
                <w:sz w:val="13"/>
                <w:szCs w:val="13"/>
                <w:color w:val="auto"/>
              </w:rPr>
            </w:pPr>
          </w:p>
        </w:tc>
        <w:tc>
          <w:tcPr>
            <w:tcW w:w="920" w:type="dxa"/>
            <w:vAlign w:val="bottom"/>
          </w:tcPr>
          <w:p>
            <w:pPr>
              <w:jc w:val="right"/>
              <w:ind w:right="236"/>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3"/>
                <w:szCs w:val="13"/>
                <w:color w:val="auto"/>
              </w:rPr>
            </w:pPr>
          </w:p>
        </w:tc>
        <w:tc>
          <w:tcPr>
            <w:tcW w:w="920" w:type="dxa"/>
            <w:vAlign w:val="bottom"/>
          </w:tcPr>
          <w:p>
            <w:pPr>
              <w:jc w:val="right"/>
              <w:ind w:right="34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900" w:type="dxa"/>
            <w:vAlign w:val="bottom"/>
          </w:tcPr>
          <w:p>
            <w:pPr>
              <w:jc w:val="right"/>
              <w:ind w:right="34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1"/>
        </w:trPr>
        <w:tc>
          <w:tcPr>
            <w:tcW w:w="3900" w:type="dxa"/>
            <w:vAlign w:val="bottom"/>
            <w:gridSpan w:val="3"/>
            <w:vMerge w:val="continue"/>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$163</w:t>
            </w:r>
          </w:p>
        </w:tc>
        <w:tc>
          <w:tcPr>
            <w:tcW w:w="180" w:type="dxa"/>
            <w:vAlign w:val="bottom"/>
          </w:tcPr>
          <w:p>
            <w:pPr>
              <w:spacing w:after="0"/>
              <w:rPr>
                <w:sz w:val="16"/>
                <w:szCs w:val="16"/>
                <w:color w:val="auto"/>
              </w:rPr>
            </w:pP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$(124)</w:t>
            </w:r>
          </w:p>
        </w:tc>
        <w:tc>
          <w:tcPr>
            <w:tcW w:w="180" w:type="dxa"/>
            <w:vAlign w:val="bottom"/>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$(178)</w:t>
            </w:r>
          </w:p>
        </w:tc>
        <w:tc>
          <w:tcPr>
            <w:tcW w:w="1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Not Meaningful</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1" w:right="299" w:bottom="0" w:gutter="0" w:footer="0" w:header="0"/>
        </w:sectPr>
      </w:pPr>
    </w:p>
    <w:bookmarkStart w:id="30" w:name="page31"/>
    <w:bookmarkEnd w:id="30"/>
    <w:p>
      <w:pPr>
        <w:spacing w:after="0" w:line="4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Other income (expense) for the year ended June 30, 2016 decreased by $0.2 million as compared to the year ended June 30, 2015. Other income (expense) for the year ended June 30, 2016 primarily consists of loss on the disposal of property and equipment, partially offset by interest income earned on our cash and cash equivalents.</w:t>
      </w:r>
    </w:p>
    <w:p>
      <w:pPr>
        <w:spacing w:after="0" w:line="8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Other income (expense) for the year ended June 30, 2015 decreased by $0.1 million as compared to the year ended June 30, 2014. Other income for the year ended June 30, 2015 primarily consists of interest income earned on our cash and cash equivalents partially offset by loss on the disposal of property and equipment.</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Year Ended June 30,</w:t>
            </w: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 from</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 from</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vMerge w:val="continue"/>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2014 to 2015</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2015 to 2016</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920" w:type="dxa"/>
            <w:vAlign w:val="bottom"/>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080" w:type="dxa"/>
            <w:vAlign w:val="bottom"/>
            <w:gridSpan w:val="2"/>
          </w:tcPr>
          <w:p>
            <w:pPr>
              <w:jc w:val="right"/>
              <w:ind w:right="210"/>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Pr>
          <w:p>
            <w:pPr>
              <w:spacing w:after="0"/>
              <w:rPr>
                <w:sz w:val="13"/>
                <w:szCs w:val="13"/>
                <w:color w:val="auto"/>
              </w:rPr>
            </w:pPr>
          </w:p>
        </w:tc>
        <w:tc>
          <w:tcPr>
            <w:tcW w:w="920" w:type="dxa"/>
            <w:vAlign w:val="bottom"/>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3"/>
                <w:szCs w:val="13"/>
                <w:color w:val="auto"/>
              </w:rPr>
            </w:pPr>
          </w:p>
        </w:tc>
        <w:tc>
          <w:tcPr>
            <w:tcW w:w="920" w:type="dxa"/>
            <w:vAlign w:val="bottom"/>
          </w:tcPr>
          <w:p>
            <w:pPr>
              <w:jc w:val="right"/>
              <w:ind w:right="34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900" w:type="dxa"/>
            <w:vAlign w:val="bottom"/>
          </w:tcPr>
          <w:p>
            <w:pPr>
              <w:jc w:val="right"/>
              <w:ind w:right="34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1"/>
        </w:trPr>
        <w:tc>
          <w:tcPr>
            <w:tcW w:w="3900" w:type="dxa"/>
            <w:vAlign w:val="bottom"/>
            <w:vMerge w:val="continue"/>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826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3"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Meaningful</w:t>
      </w:r>
    </w:p>
    <w:p>
      <w:pPr>
        <w:spacing w:after="0" w:line="13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for the year ended June 30, 2016 was not materially different as compared to the year ended June 30, 2015.</w:t>
      </w:r>
    </w:p>
    <w:p>
      <w:pPr>
        <w:spacing w:after="0" w:line="131"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Income tax expense for the year ended June 30, 2015 decreased by $0.2 million, as compared to the year ended June 30, 2014 primarily due to the recognition of a deferred tax asset valuation allowance during the year ended June 30, 2014 related to net deferred tax balances generated in prior years.</w:t>
      </w:r>
    </w:p>
    <w:p>
      <w:pPr>
        <w:spacing w:after="0" w:line="6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See Note 11 of the Notes to Consolidated Financial Statements included in Part II, Item 8: “Financial Statements and Supplementary Data” of this Annual Report on Form 10-K for further details on the valuation allowance and a reconciliation of the U.S. federal statutory rate to the effective tax rate.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3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preparing our financial statements and accounting for the underlying transactions and balances in accordance with GAAP, we apply various accounting policies that require our management to make estimates, judgments and assumptions that affect the amounts reported in our financial statements. We consider the policies discussed below as critical to understanding our financial statements, as their application places the most significant demands on management’s judgment. Management bases its estimates, judgments and assumptions on historical experience, current economic and industry conditions and on various other factors deemed to be reasonable under the circumstances, the results of which form the basis for making judgments about the carrying values of assets and liabilities that are not readily apparent from other sources. Because the use of estimates is an integral part of the financial reporting process, actual results could differ and such differences could be material.</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35"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We derive revenues predominantly from recurring revenues associated with our cloud-based payroll and HCM software applications and one-time service fees for implementation of our solutions. Our agreements with clients do not include general rights of return and do not provide clients with the right to take possession of the software supporting the services being provided. As such, revenue is recognized as services are performed.</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recognize revenue when all of the following criteria are achieved:</w:t>
      </w:r>
    </w:p>
    <w:p>
      <w:pPr>
        <w:spacing w:after="0" w:line="131" w:lineRule="exact"/>
        <w:rPr>
          <w:sz w:val="20"/>
          <w:szCs w:val="20"/>
          <w:color w:val="auto"/>
        </w:rPr>
      </w:pPr>
    </w:p>
    <w:p>
      <w:pPr>
        <w:ind w:left="940" w:hanging="284"/>
        <w:spacing w:after="0"/>
        <w:tabs>
          <w:tab w:leader="none" w:pos="9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There is persuasive evidence of an agreement;</w:t>
      </w:r>
    </w:p>
    <w:p>
      <w:pPr>
        <w:spacing w:after="0" w:line="27" w:lineRule="exact"/>
        <w:rPr>
          <w:rFonts w:ascii="Times New Roman" w:cs="Times New Roman" w:eastAsia="Times New Roman" w:hAnsi="Times New Roman"/>
          <w:sz w:val="14"/>
          <w:szCs w:val="14"/>
          <w:color w:val="auto"/>
        </w:rPr>
      </w:pPr>
    </w:p>
    <w:p>
      <w:pPr>
        <w:ind w:left="940" w:hanging="284"/>
        <w:spacing w:after="0"/>
        <w:tabs>
          <w:tab w:leader="none" w:pos="9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service has been provided to the client;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amount of fees to be paid by the client is fixed or determinable; and</w:t>
      </w:r>
    </w:p>
    <w:p>
      <w:pPr>
        <w:spacing w:after="0" w:line="27" w:lineRule="exact"/>
        <w:rPr>
          <w:rFonts w:ascii="Times New Roman" w:cs="Times New Roman" w:eastAsia="Times New Roman" w:hAnsi="Times New Roman"/>
          <w:sz w:val="14"/>
          <w:szCs w:val="14"/>
          <w:color w:val="auto"/>
        </w:rPr>
      </w:pPr>
    </w:p>
    <w:p>
      <w:pPr>
        <w:ind w:left="940" w:hanging="284"/>
        <w:spacing w:after="0"/>
        <w:tabs>
          <w:tab w:leader="none" w:pos="9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Collection of the fees is reasonably assured.</w:t>
      </w:r>
    </w:p>
    <w:p>
      <w:pPr>
        <w:spacing w:after="0" w:line="110"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For arrangements with multiple-elements, we recognize revenues in accordance with Accounting Standards Update (ASU) 2009-13, </w:t>
      </w:r>
      <w:r>
        <w:rPr>
          <w:rFonts w:ascii="Times New Roman" w:cs="Times New Roman" w:eastAsia="Times New Roman" w:hAnsi="Times New Roman"/>
          <w:sz w:val="18"/>
          <w:szCs w:val="18"/>
          <w:i w:val="1"/>
          <w:iCs w:val="1"/>
          <w:color w:val="auto"/>
        </w:rPr>
        <w:t>Multiple-Deliverable Revenue Arrangements</w:t>
      </w:r>
      <w:r>
        <w:rPr>
          <w:rFonts w:ascii="Times New Roman" w:cs="Times New Roman" w:eastAsia="Times New Roman" w:hAnsi="Times New Roman"/>
          <w:sz w:val="18"/>
          <w:szCs w:val="18"/>
          <w:color w:val="auto"/>
        </w:rPr>
        <w:t>. For each agreement, we evaluate whether the individual deliverables qualify as separate units of accounting. If one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of the deliverables does not have standalone value upon delivery, the deliverables that do not have standalone value are generally combined and treated as a single unit of accounting. Revenue for arrangements treated as a single unit of accounting is generally recognized within the same month that the services are rendered given that the agreements are cancellable with 60 days’ or less notice.</w:t>
      </w:r>
    </w:p>
    <w:p>
      <w:pPr>
        <w:spacing w:after="0" w:line="8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determining whether revenues from implementation services can be accounted for separately from recurring revenues, we consider the nature of the implementation services and the availability of the implementation services from other vendors. We established standalone value for implementation primarily due to the number of partners that perform these services and account for such implementation services separate from the recurring revenues.</w:t>
      </w:r>
    </w:p>
    <w:p>
      <w:pPr>
        <w:spacing w:after="0" w:line="8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If we determine that the services have standalone value upon delivery, we account for each separately and revenues are recognized as the services are delivered with allocation of consideration based on the relative selling price method. That method requires the selling price of each element in a multiple deliverable arrangement to be based on, in descending order: (i) vendor- specific objective evidence of fair value, or VSOE, (ii) third-party evidence of fair value, or TPE, or (iii) management’s best estimate of the selling price, or BESP.</w:t>
      </w:r>
    </w:p>
    <w:p>
      <w:pPr>
        <w:spacing w:after="0" w:line="86"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We are not able to demonstrate VSOE of selling price with respect to our recurring fees paid for our solutions because the deliverables are sold across an insufficiently narrow range of prices on a stand-alone basis. We are also not able to demonstrate TPE for subscription fees because no third-party offerings are reasonably comparable to our product offerings. We thus establish BESP by service offering, requiring the use of significant estimates and judgment. To determine BESP, we consider numerous factors, including the nature of the deliverables themselves, the geography for the sale, internal costs, and pricing and discounting practices utilized by our direct sales force. Arrangement consideration is allocated to each deliverable based on the established BESP and subject to the limitation that because the arrangements are cancellable with 60 days’ or less notice, recurring revenue is not allocated to any deliverable until the consideration has been earned, typically with each payroll cycle or monthly, depending on the service.</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and Long-Lived Assets</w:t>
      </w:r>
    </w:p>
    <w:p>
      <w:pPr>
        <w:spacing w:after="0" w:line="13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state property and equipment at cost. We calculate depreciation on property and equipment using a straight-line method over the estimated useful lives of the assets, generally three to seven years for most classes of assets, or over the term of the related lease for leasehold improvements. We recognized depreciation expense of $4.1 million, $5.1 million and $6.9 million during the years ended June 30, 2014, 2015, and 2016, respectively.</w:t>
      </w:r>
    </w:p>
    <w:p>
      <w:pPr>
        <w:sectPr>
          <w:pgSz w:w="11900" w:h="16879" w:orient="portrait"/>
          <w:cols w:equalWidth="0" w:num="1">
            <w:col w:w="11400"/>
          </w:cols>
          <w:pgMar w:left="240" w:top="121" w:right="259" w:bottom="0" w:gutter="0" w:footer="0" w:header="0"/>
        </w:sectPr>
      </w:pPr>
    </w:p>
    <w:bookmarkStart w:id="31" w:name="page32"/>
    <w:bookmarkEnd w:id="31"/>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review long-lived assets, such as property and equipment, for impairment whenever events or changes in circumstances indicate that the carrying amount of an asset may not be recoverable. If circumstances require a long-lived asset or asset group be tested for possible impairment, we first compare the undiscounted cash flows expected to be generated by that asset or asset group to its carrying amount. If the carrying amount of the long-lived asset or asset group is not recoverable on an undiscounted cash flow basis, we recognize impairment to the extent that the carrying amount exceeds its fair value. We determine fair value through various valuation techniques including discounted cash flow models, quoted market values and third-party independent appraisals, as considered necessary.</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Internal-Use Software Costs</w:t>
      </w:r>
    </w:p>
    <w:p>
      <w:pPr>
        <w:spacing w:after="0" w:line="133"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18"/>
          <w:szCs w:val="18"/>
          <w:color w:val="auto"/>
        </w:rPr>
        <w:t xml:space="preserve">We apply ASC 350-40, </w:t>
      </w:r>
      <w:r>
        <w:rPr>
          <w:rFonts w:ascii="Times New Roman" w:cs="Times New Roman" w:eastAsia="Times New Roman" w:hAnsi="Times New Roman"/>
          <w:sz w:val="18"/>
          <w:szCs w:val="18"/>
          <w:i w:val="1"/>
          <w:iCs w:val="1"/>
          <w:color w:val="auto"/>
        </w:rPr>
        <w:t>Intangibles—Goodwill and Other—Internal-Use Software</w:t>
      </w:r>
      <w:r>
        <w:rPr>
          <w:rFonts w:ascii="Times New Roman" w:cs="Times New Roman" w:eastAsia="Times New Roman" w:hAnsi="Times New Roman"/>
          <w:sz w:val="18"/>
          <w:szCs w:val="18"/>
          <w:color w:val="auto"/>
        </w:rPr>
        <w:t>, to the accounting for costs of internal-use software. Software development costs are capitalized when application development begins, it is probable that the project will be completed, and the software will be used as intended. Costs associated with preliminary project stage activities, training, maintenance and all other post implementation stage activities are expensed as incurred. We also capitalize certain costs related to specific upgrades and enhancements when it is probable the expenditures will result in significant additional functionality. The capitalization policy provides for the capitalization of certain payroll costs for employees who are directly associated with developing internal-use software as well as certain external direct costs. Capitalized employee costs are limited to the time directly spent on such projects.</w:t>
      </w:r>
    </w:p>
    <w:p>
      <w:pPr>
        <w:spacing w:after="0" w:line="9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Internal-use software is amortized on a straight-line basis over 18 to 24 months. We evaluate the useful lives of these assets on an annual basis and test for impairments whenever events or changes in circumstances occur that could impact the recoverability of these assets. There were no impairments to capitalized internal-use software during the years ended June 30, 2014, 2015 or 2016. We capitalized $4.7 million, $4.9 million, and $9.5 million of internal-use software costs for the years ended June 30, 2014, 2015 and 2016, respectively, including stock-based compensation costs of $0.3 million, $0.7 million and $1.1 million in the years ended June 30, 2014, 2015 and 2016, respectively. We amortized $2.2 million, $2.6 million, and $5.4 million of capitalized internal-use software costs for the years ended June 30, 2014, 2015 and 2016, respectively. In fiscal 2014, fiscal 2015 and fiscal 2016, we developed significant additional functionality in several of our applications. This development resulted in an increase in capitalized internal-use software costs in fiscal 2016 as compared to fiscal 2015 and in fiscal 2015 as compared to fiscal 2014.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3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Goodwill is an asset representing the future economic benefits arising from other assets acquired in a business combination that are not individually identified and separately recognized. We have recorded goodwill in connection with the acquisitions of BFKMS, Inc. and Synergy Payroll LLC. Goodwill is not amortized, but instead is tested for impairment at least annually. ASU 2011-08, </w:t>
      </w:r>
      <w:r>
        <w:rPr>
          <w:rFonts w:ascii="Times New Roman" w:cs="Times New Roman" w:eastAsia="Times New Roman" w:hAnsi="Times New Roman"/>
          <w:sz w:val="18"/>
          <w:szCs w:val="18"/>
          <w:i w:val="1"/>
          <w:iCs w:val="1"/>
          <w:color w:val="auto"/>
        </w:rPr>
        <w:t>Testing Goodwill for Impairment</w:t>
      </w:r>
      <w:r>
        <w:rPr>
          <w:rFonts w:ascii="Times New Roman" w:cs="Times New Roman" w:eastAsia="Times New Roman" w:hAnsi="Times New Roman"/>
          <w:sz w:val="18"/>
          <w:szCs w:val="18"/>
          <w:color w:val="auto"/>
        </w:rPr>
        <w:t xml:space="preserve"> provides an entity the option to perform a qualitative assessment to determine whether it is more-likely-than-not that the fair value of a reporting unit is less than its carrying amount prior to performing the two-step impairment test. If the estimated fair value of a reporting unit, including goodwill, is less than its carrying amount, the two-step goodwill impairment test is required. Otherwise no further analysis is required.</w:t>
      </w:r>
    </w:p>
    <w:p>
      <w:pPr>
        <w:spacing w:after="0" w:line="9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If the two-step goodwill impairment test is required, the fair value of the reporting unit is compared with its carrying amount, including goodwill. If the fair value of the reporting unit is less than its carrying amount, an indication of goodwill impairment exists for the reporting unit. In the second step, an impairment loss is recognized for any excess of the carrying amount of the reporting unit’s goodwill over the implied fair value of the goodwill. The implied fair value of goodwill is determined by allocating the fair value of the reporting unit in a manner similar to a purchase price allocation and the residual fair value after this allocation is the implied fair value of the reporting unit goodwill. Fair value of the reporting unit is determined using a discounted cash flow analysis. In the event the fair value of the reporting unit exceeds its carrying amount, step two is not performed.</w:t>
      </w:r>
    </w:p>
    <w:p>
      <w:pPr>
        <w:spacing w:after="0" w:line="93"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We perform our annual impairment review of goodwill in our fiscal fourth quarter or when a triggering event occurs between annual impairment tests. We did not recognize any impairment for fiscal year 2015 or 2016 as a result of our impairment tests. Given that we did not have recorded goodwill until our fiscal fourth quarter of 2014, no impairment tests were required to be completed in fiscal 2014.</w:t>
      </w:r>
    </w:p>
    <w:p>
      <w:pPr>
        <w:spacing w:after="0" w:line="8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Intangible assets are comprised primarily of client list acquisitions and are reported net of accumulated amortization on the Consolidated Balance Sheets. Client relationships use the straight-line method of amortization over an accelerated nine year time frame, while the non-solicitation agreements uses the straight-line method of amortization over two to three year life of the agreements. Amortization expense associated with our intangible assets was $0.1 million, $0.9 million and $1.5 million during the years ended June 30, 2014, 2015 and 2016, respectively. We test intangible assets for potential impairment when events or changes in circumstances indicate that the carrying value of such assets may not be recoverable. There were no such events or changes in circumstances during the years ended June 30, 2014, 2015 and 2016.</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3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account for federal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8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Deferred tax assets may be reduced by a valuation allowance to the extent we determine it is more likely than not that some portion or all of the deferred tax assets will not be realized. The valuation of deferred tax assets requires judgment in assessing the likely future tax consequences of events that have been recognized in our financial statements or tax returns and future profitability. Our accounting for deferred tax consequences represents the best estimate of those future events. Changes in current estimates, due to unanticipated events or otherwise, could have an adverse impact on our financial condition and results of operations.</w:t>
      </w:r>
    </w:p>
    <w:p>
      <w:pPr>
        <w:spacing w:after="0" w:line="8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assessing the need for a valuation allowance, we consider both positive and negative evidence related to the likelihood of realization of the deferred tax assets. The weight given to positive and negative evidence is commensurate with the extent to which the evidence may be objectively verified. As such, it is generally difficult for positive evidence regarding projected future taxable income exclusive of reversing taxable temporary differences to outweigh objective negative evidence of recent financial reporting losses. Cumulative losses in recent years are significant negative evidence that is difficult to overcome in determining that a valuation allowance is not needed against deferred tax assets.</w:t>
      </w:r>
    </w:p>
    <w:p>
      <w:pPr>
        <w:spacing w:after="0" w:line="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ectPr>
          <w:pgSz w:w="11900" w:h="16838" w:orient="portrait"/>
          <w:cols w:equalWidth="0" w:num="1">
            <w:col w:w="11400"/>
          </w:cols>
          <w:pgMar w:left="240" w:top="243" w:right="259" w:bottom="0" w:gutter="0" w:footer="0" w:header="0"/>
        </w:sectPr>
      </w:pPr>
    </w:p>
    <w:bookmarkStart w:id="32" w:name="page33"/>
    <w:bookmarkEnd w:id="32"/>
    <w:p>
      <w:pPr>
        <w:spacing w:after="0" w:line="9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November 2015, the FASB issued ASU 2015-17,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xml:space="preserve"> (Topic 740) (“ASU 2015-17”), which requires all deferred income tax assets and liabilities to be classified as non-current in a classified balance sheet. As allowed by ASU 2015-17, we adopted the new requirements as of June 30, 2016, on a prospective basis. The adoption of this standard resulted in a reclassification of deferred tax assets and liabilities to the non-current deferred tax liability in our consolidated balance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sheet as of June 30, 2016. ASU 2015-17 did not have a material impact on our consolidated balance sheet and had no impact on our consolidated results of operations or cash flows. No prior periods were retrospectively adjusted.</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3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maintain a 2008 Equity Incentive Plan (the “2008 Plan”) and a 2014 Equity Incentive Plan (the “2014 Plan”) pursuant to which we have issued options to purchase shares of our common stock and grants of restricted stock awards to employees, officers, directors and consultants. The 2014 Plan serves as the successor to the 2008 Plan and permits the granting of options to purchase common stock and other equity incentives at the discretion of the compensation committee of our board of directors. We will not grant any additional awards under our 2008 Plan, though our 2008 Plan will continue to govern the terms and conditions of all outstanding equity awards granted under the 2008 Plan.</w:t>
      </w:r>
    </w:p>
    <w:p>
      <w:pPr>
        <w:spacing w:after="0" w:line="89"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As of June 30, 2016, options to purchase 3.5 million shares of our common stock were outstanding, 1.0 million restricted stock units were outstanding and 6.2 million shares of our common stock were reserved for future grant.</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data related to stock options granted on the dates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July 8,</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Aug. 26,</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Mar. 18,</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Aug. 18,</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Aug. 17,</w:t>
            </w:r>
          </w:p>
        </w:tc>
        <w:tc>
          <w:tcPr>
            <w:tcW w:w="0" w:type="dxa"/>
            <w:vAlign w:val="bottom"/>
          </w:tcPr>
          <w:p>
            <w:pPr>
              <w:spacing w:after="0"/>
              <w:rPr>
                <w:sz w:val="1"/>
                <w:szCs w:val="1"/>
                <w:color w:val="auto"/>
              </w:rPr>
            </w:pPr>
          </w:p>
        </w:tc>
      </w:tr>
      <w:tr>
        <w:trPr>
          <w:trHeight w:val="234"/>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280" w:type="dxa"/>
            <w:vAlign w:val="bottom"/>
            <w:vMerge w:val="continue"/>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466,663</w:t>
            </w:r>
          </w:p>
        </w:tc>
        <w:tc>
          <w:tcPr>
            <w:tcW w:w="22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2,065,541</w:t>
            </w:r>
          </w:p>
        </w:tc>
        <w:tc>
          <w:tcPr>
            <w:tcW w:w="22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321,700</w:t>
            </w:r>
          </w:p>
        </w:tc>
        <w:tc>
          <w:tcPr>
            <w:tcW w:w="22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149,000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stock</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$24.80</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$35.28</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$24.80</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$35.28</w:t>
            </w: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option</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Equity-classified awards are measured at the grant date fair value of the award and expense is recognized, net of assumed forfeitures, on a straight-line basis over the requisite service period for each separately vesting portion of the award. We estimate grant date fair value using the Black-Scholes Option-Pricing Model, or Black-Scholes, which requires the use of certain subjective assumptions. Below is a table of the key weighted-average assumptions used in the option valuation calculation for options issued on the dates indicated.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July 8,</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Aug. 26,</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Mar. 18,</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Aug. 18,</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Aug. 17,</w:t>
            </w:r>
          </w:p>
        </w:tc>
        <w:tc>
          <w:tcPr>
            <w:tcW w:w="0" w:type="dxa"/>
            <w:vAlign w:val="bottom"/>
          </w:tcPr>
          <w:p>
            <w:pPr>
              <w:spacing w:after="0"/>
              <w:rPr>
                <w:sz w:val="1"/>
                <w:szCs w:val="1"/>
                <w:color w:val="auto"/>
              </w:rPr>
            </w:pPr>
          </w:p>
        </w:tc>
      </w:tr>
      <w:tr>
        <w:trPr>
          <w:trHeight w:val="234"/>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Valuation assumptions:</w:t>
            </w: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178"/>
        </w:trPr>
        <w:tc>
          <w:tcPr>
            <w:tcW w:w="428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expected dividend yield</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expected volatility</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expected term (years)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34"/>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risk-free interest rate</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use a dividend yield assumption of zero as we have not paid regular cash dividends on our common stock and presently have no intention of paying any such cash dividends. Since our shares were not publicly traded prior to March 2014, expected volatility is estimated based on the average historical volatility of similar entities with publicly traded shares. We calculate the expected term using company specific historical data, such as employee option exercise and employee post-vesting departure behavior. The risk-free rate for the expected term of the option is based on the U.S. Treasury yield curve at the date of grant.</w:t>
      </w:r>
    </w:p>
    <w:p>
      <w:pPr>
        <w:spacing w:after="0" w:line="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Stock-based compensation expense was $4.9 million, $13.2 million and $17.6 million for the years ended June 30, 2014, 2015 and 2016, respectively. If factors change and we employ different assumptions, stock-based compensation expense may differ from what we have recorded in the past. If there is a difference between the assumptions used in determining stock-based compensation expense and the actual factors which become known over time, we may change the input factors used in determining stock-based compensation costs for future grants. These changes, if any, may adversely impact our results of operations in the period such changes are made. We expect to continue to grant stock options in the future, and to the extent that we do, our actual stock-based compensation expense recognized in future periods will likely increase.</w:t>
      </w:r>
    </w:p>
    <w:p>
      <w:pPr>
        <w:spacing w:after="0" w:line="9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One significant factor in determining the fair value of our options granted through August 2013, when using Black-Scholes, is the fair value of the common stock underlying those stock options. Prior to March 2014, we were a private company with no active public market for our common stock. Therefore, the fair value of the common stock underlying our stock options was determined by our board of directors, which considered in making its determination of fair value a variety of factors including contemporaneous periodic valuation studies from an independent and unrelated third-party valuation firm. Now that we have a public market for our stock, we observe the fair value of our common stock on the date of grant in accordance with the terms of the award.</w:t>
      </w:r>
    </w:p>
    <w:p>
      <w:pPr>
        <w:spacing w:after="0" w:line="93"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Based on the closing stock price on June 30, 2016 of $43.20, the aggregate intrinsic value of outstanding options to purchase shares of our common stock as of June 30, 2016 was $108.9 million, of which $73.5 million related to vested options and $35.4 million to unvested options. The aggregate intrinsic value of outstanding restricted stock units as of June 30, 2016 was $43.3 million, of which all were unvested.</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Third-Party Valuation Methodology</w:t>
      </w:r>
    </w:p>
    <w:p>
      <w:pPr>
        <w:spacing w:after="0" w:line="13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performing its analysis of equity awards issued prior to the initial public offering, the valuation firm engaged in discussions with management, analyzed historical and forecasted financial statements, and reviewed our corporate documents. The valuation consultant utilized the guidelines outlined in the American Institute of Certified Public Accountants Practice Aid,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 The valuation study was prepared using a combination of four generally accepted approaches to determining the fair market value of a business: the discounted</w:t>
      </w:r>
    </w:p>
    <w:p>
      <w:pPr>
        <w:sectPr>
          <w:pgSz w:w="11900" w:h="16929" w:orient="portrait"/>
          <w:cols w:equalWidth="0" w:num="1">
            <w:col w:w="11420"/>
          </w:cols>
          <w:pgMar w:left="240" w:top="119" w:right="239" w:bottom="0" w:gutter="0" w:footer="0" w:header="0"/>
        </w:sectPr>
      </w:pPr>
    </w:p>
    <w:bookmarkStart w:id="33" w:name="page34"/>
    <w:bookmarkEnd w:id="33"/>
    <w:p>
      <w:pPr>
        <w:spacing w:after="0" w:line="256" w:lineRule="auto"/>
        <w:rPr>
          <w:sz w:val="20"/>
          <w:szCs w:val="20"/>
          <w:color w:val="auto"/>
        </w:rPr>
      </w:pPr>
      <w:r>
        <w:rPr>
          <w:rFonts w:ascii="Times New Roman" w:cs="Times New Roman" w:eastAsia="Times New Roman" w:hAnsi="Times New Roman"/>
          <w:sz w:val="18"/>
          <w:szCs w:val="18"/>
          <w:color w:val="auto"/>
        </w:rPr>
        <w:t>cash flows, or DCF, method, the guideline public company method, the prior transaction method and the market transactions method. The discounted cash flows method forecasted future cash flows utilizing a terminal value based on our expectation of long-term growth to arrive at a valuation. The guideline public company method utilizes a market approach which estimates the fair value of a company by applying to that company the market multiples of publicly-traded companies to arrive at a valuation. The prior transaction method looks to recent arms-length transactions in a company’s capital stock to arrive at a valuation. The market transactions method utilizes a market approach which estimates the fair value of a company by applying to that company the market multiples of publicly-traded and private companies to arrive at a valuation.</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Fiscal 2014</w:t>
      </w:r>
    </w:p>
    <w:p>
      <w:pPr>
        <w:spacing w:after="0" w:line="13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independent third-party valuation as of May 31, 2013 was performed using the DCF method, the guideline public company method and the market transactions method. The valuation firm considered our nature and history, the condition and outlook of the industry in which we operate, the book value of our stock and our financial condition, the earning capacity of our business, the dividend-paying capacity of our business, prior transactions involving our stock, the market price of public traded stock of companies engage in the same or a similar line of business and our goodwill and intangible value. The valuation firm took into account our financial statements for fiscal 2009 through 2012, as well as interim financial statements for the eleven months ended May 31, 2013 and May 31, 2012.</w:t>
      </w:r>
    </w:p>
    <w:p>
      <w:pPr>
        <w:spacing w:after="0" w:line="93"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In applying the guideline public company method, the valuation firm analyzed the prices that investors are willing to pay for the publicly-traded common stock of companies that are comparable to us. The valuation firm then calculated total market value of invested capital multiples based on TTM earnings before interest, taxes, depreciation and amortization and TTM revenues. The valuation firm considered our smaller size, limited access to capital, historical and future growth expectations, and differences in liquidity, profitability and leverage among the guideline companies before selecting a TTM multiple that was slightly above the average of the TTM revenues multiples for the companies determined to be most comparable to us.</w:t>
      </w:r>
    </w:p>
    <w:p>
      <w:pPr>
        <w:spacing w:after="0" w:line="8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applying the DCF method, the valuation firm analyzed financial projections prepared by our management for a five year period. The valuation firm calculated our net cash flows to invested capital by taking our debt-free net income, as estimated by management, adding depreciation expenses and subtracting both capital expenditures, as estimated by management, and incremental working capital needs, which were estimated based on a review of an industry average. For the terminal year, the valuation firm applied a revenue multiple, calculated using the guideline public company method. A discount rate of 35% was then applied. To determine the discount rate, the valuation firm reviewed published investment hurdle rates typically required by institutional investors for companies of comparable size and risk. The 35% discount rate was equal to the discount rate applied in the DCF analysis conducted as of June 30, 2012.</w:t>
      </w:r>
    </w:p>
    <w:p>
      <w:pPr>
        <w:spacing w:after="0" w:line="95" w:lineRule="exact"/>
        <w:rPr>
          <w:sz w:val="20"/>
          <w:szCs w:val="20"/>
          <w:color w:val="auto"/>
        </w:rPr>
      </w:pPr>
    </w:p>
    <w:p>
      <w:pPr>
        <w:jc w:val="both"/>
        <w:ind w:right="420" w:firstLine="648"/>
        <w:spacing w:after="0" w:line="266" w:lineRule="auto"/>
        <w:rPr>
          <w:sz w:val="20"/>
          <w:szCs w:val="20"/>
          <w:color w:val="auto"/>
        </w:rPr>
      </w:pPr>
      <w:r>
        <w:rPr>
          <w:rFonts w:ascii="Times New Roman" w:cs="Times New Roman" w:eastAsia="Times New Roman" w:hAnsi="Times New Roman"/>
          <w:sz w:val="18"/>
          <w:szCs w:val="18"/>
          <w:color w:val="auto"/>
        </w:rPr>
        <w:t>In applying the market transactions method, the valuation firm reviewed publicly available data regarding transactions that have occurred in the industry, as well as prior arms-length transactions in our capital stock. The valuation firm applied a revenue multiple that was slightly above the median revenue multiple of all transactions and in-line with the sale of our Series B preferred stock in June 2012.</w:t>
      </w:r>
    </w:p>
    <w:p>
      <w:pPr>
        <w:spacing w:after="0" w:line="8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value was then allocated among our shares of Series A preferred stock, our shares of Series B preferred stock and our shares of common stock using the option pricing equity allocation method, using Black-Scholes. In utilizing the Black-Scholes method, our volatility was estimated at 31% which was based on the average volatility of the guideline public companies over a five-year period. The assumed time to expiration was four years, which was based on the estimated timing of a potential liquidity event. Finally, the valuation firm applied a marketability discount to reflect the lack of an active market in shares of our common stock, which resulted in a fair market value of $6.90 per share.</w:t>
      </w:r>
    </w:p>
    <w:p>
      <w:pPr>
        <w:spacing w:after="0" w:line="8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considered this third-party valuation and the other factors discussed above in determining that the fair market value of our common stock was $7.04 on July 8, 2013 and August 26, 2013.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5, 2014, we effected a three-for-two reverse stock split on our Common Stock.</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135"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In March 2014, we completed our initial public offering or IPO in which we issued and sold 5.4 million shares of common stock and existing shareholders sold 2.7 million shares of common stock at a public offering price of $17.00 per share. We did not receive any proceeds from the sale of common stock by the existing shareholders. We received net proceeds of $81.9 million after deducting underwriting discounts and commissions of $6.4 million and other offering expenses of $2.9 million.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Follow-On Offering</w:t>
      </w:r>
    </w:p>
    <w:p>
      <w:pPr>
        <w:spacing w:after="0" w:line="13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December 2014, the Company completed a follow-on offering in which it issued and sold 0.8 million shares of common stock and existing shareholders sold 3.9 million shares of common stock at a public offering price of $26.25 per share. The Company did not receive any proceeds from the sale of common stock by the existing shareholders. The Company received net proceeds of $18.4 million after deducting underwriting discounts and commissions of $0.9 million and other offering expenses of $0.4 million.</w:t>
      </w:r>
    </w:p>
    <w:p>
      <w:pPr>
        <w:spacing w:after="0" w:line="86"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In January 2015, the underwriters for the Company’s follow-on offering exercised their option to purchase 0.4 million additional shares from certain shareholders of the Company of the 0.7 million available as described in the final prospectus filed with the Securities and Exchange Commission (“SEC”) in December 2014. The Company did not receive any proceeds from the sale of common stock by the existing shareholders.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Secondary Offering</w:t>
      </w:r>
    </w:p>
    <w:p>
      <w:pPr>
        <w:spacing w:after="0" w:line="13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In September 2015, the Company completed a secondary offering in which its existing shareholders sold 3.7 million shares of common stock at a public offering price of $29.75 per share. The Company did not receive any proceeds from the sale of common stock by the existing shareholders.</w:t>
      </w:r>
    </w:p>
    <w:p>
      <w:pPr>
        <w:spacing w:after="0" w:line="6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October 2015, the underwriters for the Company’s secondary offering exercised their option to purchase 0.6 million additional shares from certain shareholders of the Company as described in the final prospectus filed with the SEC on September 25, 2015. The Company did not receive any proceeds from the sale of common stock by the existing shareholders.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35"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Our primary liquidity needs are related to the funding of general business requirements, including working capital requirements, research and development, and capital expenditures. As of June 30, 2016, our principal source of liquidity was $86.5 million of cash and cash equivalents.</w:t>
      </w:r>
    </w:p>
    <w:p>
      <w:pPr>
        <w:sectPr>
          <w:pgSz w:w="11900" w:h="16838" w:orient="portrait"/>
          <w:cols w:equalWidth="0" w:num="1">
            <w:col w:w="11420"/>
          </w:cols>
          <w:pgMar w:left="240" w:top="121" w:right="239" w:bottom="0" w:gutter="0" w:footer="0" w:header="0"/>
        </w:sectPr>
      </w:pPr>
    </w:p>
    <w:bookmarkStart w:id="34" w:name="page35"/>
    <w:bookmarkEnd w:id="34"/>
    <w:p>
      <w:pPr>
        <w:ind w:firstLine="648"/>
        <w:spacing w:after="0" w:line="255" w:lineRule="auto"/>
        <w:rPr>
          <w:sz w:val="20"/>
          <w:szCs w:val="20"/>
          <w:color w:val="auto"/>
        </w:rPr>
      </w:pPr>
      <w:r>
        <w:rPr>
          <w:rFonts w:ascii="Times New Roman" w:cs="Times New Roman" w:eastAsia="Times New Roman" w:hAnsi="Times New Roman"/>
          <w:sz w:val="18"/>
          <w:szCs w:val="18"/>
          <w:color w:val="auto"/>
        </w:rPr>
        <w:t>In order to grow our business, we intend to increase our personnel and related expenses and to make significant investments in our platform, data centers and infrastructure generally. The timing and amount of these investments will vary based on the rate at which we can add new clients and new personnel and the scale of our application development, data center and other activities.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and borrowing capacity to satisfy those needs.</w:t>
      </w:r>
    </w:p>
    <w:p>
      <w:pPr>
        <w:spacing w:after="0" w:line="95"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Our cash flows from our investing and financing activities are influenced by the amount of funds held for clients which varies significantly from quarter to quarter. The balance of the funds we hold depends on our clients’ payroll calendar, and therefore such balance changes from period to period in accordance with the timing with each payroll cycle. Funds held for clients are restricted solely for the repayment of client fund obligations.</w:t>
      </w:r>
    </w:p>
    <w:p>
      <w:pPr>
        <w:spacing w:after="0" w:line="8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believe our current cash and cash equivalents and cash flow from operations will be sufficient to meet our working capital, capital expenditure and other investment requirements for at least the next 12 months.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5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data regarding cash flows for the periods indicated:</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2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Year Ended June 30,</w:t>
            </w: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40" w:type="dxa"/>
            <w:vAlign w:val="bottom"/>
          </w:tcPr>
          <w:p>
            <w:pPr>
              <w:spacing w:after="0"/>
              <w:rPr>
                <w:sz w:val="19"/>
                <w:szCs w:val="19"/>
                <w:color w:val="auto"/>
              </w:rPr>
            </w:pPr>
          </w:p>
        </w:tc>
        <w:tc>
          <w:tcPr>
            <w:tcW w:w="15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28"/>
        </w:trPr>
        <w:tc>
          <w:tcPr>
            <w:tcW w:w="6860" w:type="dxa"/>
            <w:vAlign w:val="bottom"/>
            <w:gridSpan w:val="2"/>
            <w:vMerge w:val="continue"/>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$11,105</w:t>
            </w:r>
          </w:p>
        </w:tc>
        <w:tc>
          <w:tcPr>
            <w:tcW w:w="16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$32,993</w:t>
            </w:r>
          </w:p>
        </w:tc>
        <w:tc>
          <w:tcPr>
            <w:tcW w:w="0" w:type="dxa"/>
            <w:vAlign w:val="bottom"/>
          </w:tcPr>
          <w:p>
            <w:pPr>
              <w:spacing w:after="0"/>
              <w:rPr>
                <w:sz w:val="1"/>
                <w:szCs w:val="1"/>
                <w:color w:val="auto"/>
              </w:rPr>
            </w:pPr>
          </w:p>
        </w:tc>
      </w:tr>
      <w:tr>
        <w:trPr>
          <w:trHeight w:val="220"/>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(4,349)</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(4,215)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0" w:type="dxa"/>
            <w:vAlign w:val="bottom"/>
          </w:tcPr>
          <w:p>
            <w:pPr>
              <w:spacing w:after="0"/>
              <w:rPr>
                <w:sz w:val="1"/>
                <w:szCs w:val="1"/>
                <w:color w:val="auto"/>
              </w:rPr>
            </w:pPr>
          </w:p>
        </w:tc>
      </w:tr>
      <w:tr>
        <w:trPr>
          <w:trHeight w:val="216"/>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(6,667)</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(9,020)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(16,083)</w:t>
            </w:r>
          </w:p>
        </w:tc>
        <w:tc>
          <w:tcPr>
            <w:tcW w:w="0" w:type="dxa"/>
            <w:vAlign w:val="bottom"/>
          </w:tcPr>
          <w:p>
            <w:pPr>
              <w:spacing w:after="0"/>
              <w:rPr>
                <w:sz w:val="1"/>
                <w:szCs w:val="1"/>
                <w:color w:val="auto"/>
              </w:rPr>
            </w:pPr>
          </w:p>
        </w:tc>
      </w:tr>
      <w:tr>
        <w:trPr>
          <w:trHeight w:val="216"/>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Payments for acquisitions</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(11,979)</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34"/>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change in funds held for clients</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(61,356)</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(173,958)</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(648,403)</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860" w:type="dxa"/>
            <w:vAlign w:val="bottom"/>
            <w:gridSpan w:val="2"/>
            <w:vMerge w:val="continue"/>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(78,822)</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(199,172)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(673,360)</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change in client funds obligation</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61,356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173,958</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648,403</w:t>
            </w:r>
          </w:p>
        </w:tc>
        <w:tc>
          <w:tcPr>
            <w:tcW w:w="0" w:type="dxa"/>
            <w:vAlign w:val="bottom"/>
          </w:tcPr>
          <w:p>
            <w:pPr>
              <w:spacing w:after="0"/>
              <w:rPr>
                <w:sz w:val="1"/>
                <w:szCs w:val="1"/>
                <w:color w:val="auto"/>
              </w:rPr>
            </w:pPr>
          </w:p>
        </w:tc>
      </w:tr>
      <w:tr>
        <w:trPr>
          <w:trHeight w:val="216"/>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(1,563)</w:t>
            </w:r>
          </w:p>
        </w:tc>
        <w:tc>
          <w:tcPr>
            <w:tcW w:w="1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initial public offering, net of issuance costs</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82,032</w:t>
            </w:r>
          </w:p>
        </w:tc>
        <w:tc>
          <w:tcPr>
            <w:tcW w:w="1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follow-on offering, net of issuance costs</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18,367</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Payments on initial public offering costs</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Capital contribution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247</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0" w:type="dxa"/>
            <w:vAlign w:val="bottom"/>
          </w:tcPr>
          <w:p>
            <w:pPr>
              <w:spacing w:after="0"/>
              <w:rPr>
                <w:sz w:val="1"/>
                <w:szCs w:val="1"/>
                <w:color w:val="auto"/>
              </w:rPr>
            </w:pPr>
          </w:p>
        </w:tc>
      </w:tr>
      <w:tr>
        <w:trPr>
          <w:trHeight w:val="234"/>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(3,793)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0" w:type="dxa"/>
            <w:vAlign w:val="bottom"/>
          </w:tcPr>
          <w:p>
            <w:pPr>
              <w:spacing w:after="0"/>
              <w:rPr>
                <w:sz w:val="1"/>
                <w:szCs w:val="1"/>
                <w:color w:val="auto"/>
              </w:rPr>
            </w:pPr>
          </w:p>
        </w:tc>
      </w:tr>
      <w:tr>
        <w:trPr>
          <w:trHeight w:val="250"/>
        </w:trPr>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142,877</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190,477</w:t>
            </w:r>
          </w:p>
        </w:tc>
        <w:tc>
          <w:tcPr>
            <w:tcW w:w="160" w:type="dxa"/>
            <w:vAlign w:val="bottom"/>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645,605</w:t>
            </w:r>
          </w:p>
        </w:tc>
        <w:tc>
          <w:tcPr>
            <w:tcW w:w="0" w:type="dxa"/>
            <w:vAlign w:val="bottom"/>
          </w:tcPr>
          <w:p>
            <w:pPr>
              <w:spacing w:after="0"/>
              <w:rPr>
                <w:sz w:val="1"/>
                <w:szCs w:val="1"/>
                <w:color w:val="auto"/>
              </w:rPr>
            </w:pPr>
          </w:p>
        </w:tc>
      </w:tr>
      <w:tr>
        <w:trPr>
          <w:trHeight w:val="250"/>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$71,254</w:t>
            </w:r>
          </w:p>
        </w:tc>
        <w:tc>
          <w:tcPr>
            <w:tcW w:w="40" w:type="dxa"/>
            <w:vAlign w:val="bottom"/>
          </w:tcPr>
          <w:p>
            <w:pPr>
              <w:spacing w:after="0"/>
              <w:rPr>
                <w:sz w:val="21"/>
                <w:szCs w:val="21"/>
                <w:color w:val="auto"/>
              </w:rPr>
            </w:pP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$2,410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33"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$7.2 million, $11.1 million and $33.0 million for the years ended June 30, 2014, 2015 and 2016, respectively.</w:t>
      </w:r>
    </w:p>
    <w:p>
      <w:pPr>
        <w:spacing w:after="0" w:line="6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increase in net cash provided by operating activities from fiscal 2015 to fiscal 2016 as well as from fiscal 2014 to fiscal 2015 was primarily due to improved operating results after adjusting for non-cash items including stock-based compensation and depreciation and amortization.</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33"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$78.8 million, $199.2 million and $673.4 million, for the years ended June 30, 2014, 2015 and 2016, respectively.</w:t>
      </w:r>
    </w:p>
    <w:p>
      <w:pPr>
        <w:spacing w:after="0" w:line="67"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Changes in net cash provided by (used in) investing activities are significantly influenced by the amount of funds held for clients at the end of a reporting period. Changes in the amount of funds held for client from period to period will vary substantially. Our payroll processing activities involves the movement of significant funds from the account of an employer to employees and relevant taxing authorities. During the year ended June 30, 2016 we processed over $74 billion in payroll transactions.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nine banks to execute ACH and wire transfers to support our client payroll and tax services. We believe we have sufficient capacity under these ACH arrangements to handle our transactions for the foreseeable future.</w:t>
      </w:r>
    </w:p>
    <w:p>
      <w:pPr>
        <w:spacing w:after="0" w:line="9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Excluding the net change in funds held for clients, our net cash used in investing activities was $17.5 million, $25.2 million and $25.0 million, for the years ended June 30, 2014, 2015 and 2016, respectively.</w:t>
      </w:r>
    </w:p>
    <w:p>
      <w:pPr>
        <w:spacing w:after="0" w:line="6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increase in net cash used in investing activities of $474.2 million from fiscal 2015 to fiscal 2016 was primarily due to the timing of receipts and disbursements of cash and cash equivalents held to satisfy client funds obligations of $474.4 million, increased purchases of property and equipment by $7.1 million and increased capitalized internal-use software costs of $4.2 million, partially offset by a $11.5 million reduction in payments for acquisitions. The increase in net cash used in investing activities of $120.4 million from fiscal 2014 to fiscal 2015 was primarily due to the timing of receipts and disbursements of cash and cash equivalents held to</w:t>
      </w:r>
    </w:p>
    <w:p>
      <w:pPr>
        <w:sectPr>
          <w:pgSz w:w="11900" w:h="16838" w:orient="portrait"/>
          <w:cols w:equalWidth="0" w:num="1">
            <w:col w:w="11420"/>
          </w:cols>
          <w:pgMar w:left="240" w:top="121" w:right="239" w:bottom="242" w:gutter="0" w:footer="0" w:header="0"/>
        </w:sectPr>
      </w:pP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242" w:gutter="0" w:footer="0" w:header="0"/>
          <w:type w:val="continuous"/>
        </w:sectPr>
      </w:pPr>
    </w:p>
    <w:bookmarkStart w:id="35" w:name="page36"/>
    <w:bookmarkEnd w:id="35"/>
    <w:p>
      <w:pPr>
        <w:spacing w:after="0" w:line="8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satisfy client funds obligations of $112.6 million, increased payments of $5.5 million to acquire certain assets of two of our resellers and increased purchases of property and equipment by $2.3 million.</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3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$142.9 million, $190.5 million and $645.6 million for the years ended June 30, 2014, 2015 and 2016, respectively.</w:t>
      </w:r>
    </w:p>
    <w:p>
      <w:pPr>
        <w:spacing w:after="0" w:line="6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increase in net cash provided by financing activities of $455.1 million from fiscal 2015 to fiscal 2016 was primarily the result of a $474.4 million increase in funds held for clients, a $1.2 million increase in proceeds received as a result of employees’ purchase of shares under the employee stock purchase plan, partially offset by $18.4 million of proceeds related to the follow-on offering, net of issuance costs during fiscal 2015 and a $2.1 million increase in taxes paid related to employees’ net share settlement of equity awards. The increase in net cash provided by financing activities from fiscal 2014 to fiscal 2015 was primarily the result of a $112.6 million increase in funds held for clients, $1.8 million in proceeds received as a result of employees’ purchase of shares under the employee stock purchase plan, partially offset by $3.8 million in taxes paid related to employees’ net share settlement of equity awards and $63.7 million year-over-year decrease in proceeds received as a result of public offerings, net of offering costs.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principal commitments consist of operating lease obligations. The following table summarizes our contractual obligations at June 30, 2016:</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6"/>
          </w:tcPr>
          <w:p>
            <w:pPr>
              <w:ind w:left="700"/>
              <w:spacing w:after="0"/>
              <w:rPr>
                <w:sz w:val="20"/>
                <w:szCs w:val="20"/>
                <w:color w:val="auto"/>
              </w:rPr>
            </w:pPr>
            <w:r>
              <w:rPr>
                <w:rFonts w:ascii="Times New Roman" w:cs="Times New Roman" w:eastAsia="Times New Roman" w:hAnsi="Times New Roman"/>
                <w:sz w:val="18"/>
                <w:szCs w:val="18"/>
                <w:b w:val="1"/>
                <w:bCs w:val="1"/>
                <w:color w:val="auto"/>
              </w:rPr>
              <w:t>Payment Due By Fiscal Period</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130"/>
              <w:spacing w:after="0" w:line="201" w:lineRule="exact"/>
              <w:rPr>
                <w:sz w:val="20"/>
                <w:szCs w:val="20"/>
                <w:color w:val="auto"/>
              </w:rPr>
            </w:pPr>
            <w:r>
              <w:rPr>
                <w:rFonts w:ascii="Times New Roman" w:cs="Times New Roman" w:eastAsia="Times New Roman" w:hAnsi="Times New Roman"/>
                <w:sz w:val="18"/>
                <w:szCs w:val="18"/>
                <w:b w:val="1"/>
                <w:bCs w:val="1"/>
                <w:color w:val="auto"/>
              </w:rPr>
              <w:t>2022 and</w:t>
            </w:r>
          </w:p>
        </w:tc>
        <w:tc>
          <w:tcPr>
            <w:tcW w:w="0" w:type="dxa"/>
            <w:vAlign w:val="bottom"/>
          </w:tcPr>
          <w:p>
            <w:pPr>
              <w:spacing w:after="0"/>
              <w:rPr>
                <w:sz w:val="1"/>
                <w:szCs w:val="1"/>
                <w:color w:val="auto"/>
              </w:rPr>
            </w:pPr>
          </w:p>
        </w:tc>
      </w:tr>
      <w:tr>
        <w:trPr>
          <w:trHeight w:val="238"/>
        </w:trPr>
        <w:tc>
          <w:tcPr>
            <w:tcW w:w="4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2018-2019</w:t>
            </w:r>
          </w:p>
        </w:tc>
        <w:tc>
          <w:tcPr>
            <w:tcW w:w="16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2020-2021</w:t>
            </w:r>
          </w:p>
        </w:tc>
        <w:tc>
          <w:tcPr>
            <w:tcW w:w="16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0" w:type="dxa"/>
            <w:vAlign w:val="bottom"/>
          </w:tcPr>
          <w:p>
            <w:pPr>
              <w:spacing w:after="0"/>
              <w:rPr>
                <w:sz w:val="1"/>
                <w:szCs w:val="1"/>
                <w:color w:val="auto"/>
              </w:rPr>
            </w:pPr>
          </w:p>
        </w:tc>
      </w:tr>
      <w:tr>
        <w:trPr>
          <w:trHeight w:val="205"/>
        </w:trPr>
        <w:tc>
          <w:tcPr>
            <w:tcW w:w="4920" w:type="dxa"/>
            <w:vAlign w:val="bottom"/>
            <w:vMerge w:val="continue"/>
          </w:tcPr>
          <w:p>
            <w:pPr>
              <w:spacing w:after="0"/>
              <w:rPr>
                <w:sz w:val="17"/>
                <w:szCs w:val="17"/>
                <w:color w:val="auto"/>
              </w:rPr>
            </w:pPr>
          </w:p>
        </w:tc>
        <w:tc>
          <w:tcPr>
            <w:tcW w:w="11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$111,361</w:t>
            </w:r>
          </w:p>
        </w:tc>
        <w:tc>
          <w:tcPr>
            <w:tcW w:w="160" w:type="dxa"/>
            <w:vAlign w:val="bottom"/>
          </w:tcPr>
          <w:p>
            <w:pPr>
              <w:spacing w:after="0"/>
              <w:rPr>
                <w:sz w:val="17"/>
                <w:szCs w:val="17"/>
                <w:color w:val="auto"/>
              </w:rPr>
            </w:pPr>
          </w:p>
        </w:tc>
        <w:tc>
          <w:tcPr>
            <w:tcW w:w="11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$5,650</w:t>
            </w:r>
          </w:p>
        </w:tc>
        <w:tc>
          <w:tcPr>
            <w:tcW w:w="180" w:type="dxa"/>
            <w:vAlign w:val="bottom"/>
          </w:tcPr>
          <w:p>
            <w:pPr>
              <w:spacing w:after="0"/>
              <w:rPr>
                <w:sz w:val="17"/>
                <w:szCs w:val="17"/>
                <w:color w:val="auto"/>
              </w:rPr>
            </w:pPr>
          </w:p>
        </w:tc>
        <w:tc>
          <w:tcPr>
            <w:tcW w:w="11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$14,035</w:t>
            </w:r>
          </w:p>
        </w:tc>
        <w:tc>
          <w:tcPr>
            <w:tcW w:w="160" w:type="dxa"/>
            <w:vAlign w:val="bottom"/>
          </w:tcPr>
          <w:p>
            <w:pPr>
              <w:spacing w:after="0"/>
              <w:rPr>
                <w:sz w:val="17"/>
                <w:szCs w:val="17"/>
                <w:color w:val="auto"/>
              </w:rPr>
            </w:pPr>
          </w:p>
        </w:tc>
        <w:tc>
          <w:tcPr>
            <w:tcW w:w="11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$15,949</w:t>
            </w:r>
          </w:p>
        </w:tc>
        <w:tc>
          <w:tcPr>
            <w:tcW w:w="160" w:type="dxa"/>
            <w:vAlign w:val="bottom"/>
          </w:tcPr>
          <w:p>
            <w:pPr>
              <w:spacing w:after="0"/>
              <w:rPr>
                <w:sz w:val="17"/>
                <w:szCs w:val="17"/>
                <w:color w:val="auto"/>
              </w:rPr>
            </w:pPr>
          </w:p>
        </w:tc>
        <w:tc>
          <w:tcPr>
            <w:tcW w:w="11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$75,727</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Unconditional purchase obligations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$114,209</w:t>
            </w:r>
          </w:p>
        </w:tc>
        <w:tc>
          <w:tcPr>
            <w:tcW w:w="16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18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$14,881</w:t>
            </w:r>
          </w:p>
        </w:tc>
        <w:tc>
          <w:tcPr>
            <w:tcW w:w="16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16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$75,727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3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We expect to increase capital spending as we continue to grow our business and expand and enhance our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$6.7 million,</w:t>
      </w:r>
    </w:p>
    <w:p>
      <w:pPr>
        <w:spacing w:after="0" w:line="2" w:lineRule="exact"/>
        <w:rPr>
          <w:sz w:val="20"/>
          <w:szCs w:val="20"/>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$9.0 million and $16.1 million for the years ended June 30, 2014, 2015 and 2016, respectively, exclusive of capitalized internal-use software costs of $4.3 million, $4.2 million, and $8.4 million for the same periods, respectively.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35"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may be material to investors.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33"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(“ASU 2014-09”). ASU 2014-09 supersedes a majority of existing revenue recognition guidance under US GAAP, and requires a company to recognize revenue when it transfers goods or services to a customer in an amount that reflects the consideration to which the company expects to be entitled. Companies may need to apply more judgment and estimation techniques or methods while recognizing revenue, which could result in additional disclosures to the financial statements. In addition, in March 2016, April 2016 and May 2016, the FASB issued ASU 2016-08,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Principal versus Agent Considerations (Reporting Revenue Gross versus Net) </w:t>
      </w:r>
      <w:r>
        <w:rPr>
          <w:rFonts w:ascii="Times New Roman" w:cs="Times New Roman" w:eastAsia="Times New Roman" w:hAnsi="Times New Roman"/>
          <w:sz w:val="18"/>
          <w:szCs w:val="18"/>
          <w:color w:val="auto"/>
        </w:rPr>
        <w:t>(“ASU 2016-08”), ASU 2016-10,</w:t>
      </w:r>
      <w:r>
        <w:rPr>
          <w:rFonts w:ascii="Times New Roman" w:cs="Times New Roman" w:eastAsia="Times New Roman" w:hAnsi="Times New Roman"/>
          <w:sz w:val="18"/>
          <w:szCs w:val="18"/>
          <w:i w:val="1"/>
          <w:iCs w:val="1"/>
          <w:color w:val="auto"/>
        </w:rPr>
        <w:t xml:space="preserve"> Revenue from Contracts with Customers (Topic 606): Identifying Performance Obligations and Licensing </w:t>
      </w:r>
      <w:r>
        <w:rPr>
          <w:rFonts w:ascii="Times New Roman" w:cs="Times New Roman" w:eastAsia="Times New Roman" w:hAnsi="Times New Roman"/>
          <w:sz w:val="18"/>
          <w:szCs w:val="18"/>
          <w:color w:val="auto"/>
        </w:rPr>
        <w:t>(“ASU 2016-10”) and ASU 2016-12,</w:t>
      </w:r>
      <w:r>
        <w:rPr>
          <w:rFonts w:ascii="Times New Roman" w:cs="Times New Roman" w:eastAsia="Times New Roman" w:hAnsi="Times New Roman"/>
          <w:sz w:val="18"/>
          <w:szCs w:val="18"/>
          <w:i w:val="1"/>
          <w:iCs w:val="1"/>
          <w:color w:val="auto"/>
        </w:rPr>
        <w:t xml:space="preserve"> Revenue from Contracts with Customers (Topic 606): Narrow-Scope Improvements and Practical Expedients </w:t>
      </w:r>
      <w:r>
        <w:rPr>
          <w:rFonts w:ascii="Times New Roman" w:cs="Times New Roman" w:eastAsia="Times New Roman" w:hAnsi="Times New Roman"/>
          <w:sz w:val="18"/>
          <w:szCs w:val="18"/>
          <w:color w:val="auto"/>
        </w:rPr>
        <w:t>(“ASU 2016-12”), respectively, to amend certain guidance in ASU 2014-09. Topic 606 allows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a retrospective or cumulative effect transition method. ASU 2014-09 was originally effective for fiscal years beginning after December 15, 2016. In July 2015, the FASB approved a one-year deferral of ASU 2014-09 and all amendments to it, with a new effective date for fiscal years beginning after December 15, 2017 with early adoption permitted as of the original effective date. The Company is currently assessing the potential effects of these changes to its consolidated financial statements and is evaluating the adoption method and timing.</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November 2015, the FASB issued ASU 2015-17,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xml:space="preserve"> (Topic 740) (“ASU 2015-17”), which requires all deferred income tax assets and liabilities to be classified as non-current in a classified balance sheet. As allowed by ASU 2015-17, we adopted the new requirements as of June 30, 2016, on a prospective basis. The adoption of this standard resulted in a reclassification of deferred tax assets and liabilities to the non-current deferred tax liability in our consolidated balance sheet as of June 30, 2016. ASU 2015-17 did not have a material impact on our consolidated balance sheet and had no impact on our consolidated results of operations or cash flows. No prior periods were retrospectively adjusted.</w:t>
      </w:r>
    </w:p>
    <w:p>
      <w:pPr>
        <w:spacing w:after="0" w:line="85"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(“ASU 2016-02”) which amends various aspects of existing guidance for leases. ASU 2016-02 requires an entity to recognize assets and liabilities arising from a lease with terms greater than twelve months, along with additional qualitative and quantitative disclosures. ASU 2016-02 also requires the use of the modified retrospective method, which will require adjustment to all comparative periods presented. ASU 2016-02 is effective for fiscal years beginning after December 15, 2018, with early adoption permitted. The Company is currently assessing the potential effects of these changes to its consolidated financial statements and is evaluating the timing of adoption.</w:t>
      </w:r>
    </w:p>
    <w:p>
      <w:pPr>
        <w:spacing w:after="0" w:line="8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(Topic 718) (“ASU 2016-09”) which modifies accounting for excess tax benefits and tax deficiencies, forfeitures, and employer tax withholding requirements. ASU 2016-09 also clarifies certain classifications on the statement of cash flows. ASU 2016-09 is effective for fiscal years beginning after December 15, 2016, with early adoption permitted. The Company is currently assessing the potential effects of these changes to its consolidated financial statements and is evaluating the timing of adoption.</w:t>
      </w:r>
    </w:p>
    <w:p>
      <w:pPr>
        <w:spacing w:after="0" w:line="86" w:lineRule="exact"/>
        <w:rPr>
          <w:sz w:val="20"/>
          <w:szCs w:val="20"/>
          <w:color w:val="auto"/>
        </w:rPr>
      </w:pPr>
    </w:p>
    <w:p>
      <w:pPr>
        <w:ind w:right="3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which requires measurement and recognition of expected credit losses for financial assets held. ASU 2016-13 is effective for</w:t>
      </w:r>
    </w:p>
    <w:p>
      <w:pPr>
        <w:sectPr>
          <w:pgSz w:w="11900" w:h="16921" w:orient="portrait"/>
          <w:cols w:equalWidth="0" w:num="1">
            <w:col w:w="11400"/>
          </w:cols>
          <w:pgMar w:left="240" w:top="121" w:right="259" w:bottom="0" w:gutter="0" w:footer="0" w:header="0"/>
        </w:sectPr>
      </w:pPr>
    </w:p>
    <w:bookmarkStart w:id="36" w:name="page37"/>
    <w:bookmarkEnd w:id="36"/>
    <w:p>
      <w:pPr>
        <w:ind w:right="620"/>
        <w:spacing w:after="0" w:line="282" w:lineRule="auto"/>
        <w:rPr>
          <w:sz w:val="20"/>
          <w:szCs w:val="20"/>
          <w:color w:val="auto"/>
        </w:rPr>
      </w:pPr>
      <w:r>
        <w:rPr>
          <w:rFonts w:ascii="Times New Roman" w:cs="Times New Roman" w:eastAsia="Times New Roman" w:hAnsi="Times New Roman"/>
          <w:sz w:val="18"/>
          <w:szCs w:val="18"/>
          <w:color w:val="auto"/>
        </w:rPr>
        <w:t>fiscal years beginning after December 15, 2019, with early adoption permitted as of fiscal years beginning after December 15, 2018. The Company is currently assessing the potential effects of these changes to its consolidated financial statements and is evaluating the timing of adoption.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3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have operations solely in the United States and are exposed to market risks in the ordinary course of our business. These risks primarily include interest rate and certain exposure as well as risks relating to changes in the general economic conditions in the United States. We have not used, nor do we intend to use, derivatives to mitigate the impact of interest rate or other exposure or for trading or speculative purposes.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3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Funds held for clients are held in interest-bearing accounts at financial institutions. As a result of our investing activities, we are exposed to changes in interest rates that may materially affect our results of operations. In a falling rate environment, a decline in interest rates would decrease our interest income.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35"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35"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consolidated financial statements and accompanying notes set forth on pages F-1 through F-23 of this Annual Report on Form 10-K.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3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8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June 30, 2016, the end of the period covered by this Annual Report on Form 10-K. Based upon such evaluation, our Chief Executive Officer and Chief Financial Officer have concluded that our disclosure controls and procedures were effective as of such date.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 and Attestation Report of the Registered Public Accounting Firm</w:t>
      </w:r>
    </w:p>
    <w:p>
      <w:pPr>
        <w:spacing w:after="0" w:line="13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our Chief Financial Officer,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U.S.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9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our Chief Financial Officer, we conducted an evaluation of the effectiveness of our internal control over financial reporting as of June 30, 2016, based on the framework in Internal Control— Integrated Framework issued by the Committee of Sponsoring Organizations of the Treadway Commission (COSO) (2013 framework). Based on this evaluation under the Internal Control—Integrated Framework our Chief Executive Officer and our Chief Financial Officer have concluded that our internal control over financial reporting was effective as of June 30, 2016.</w:t>
      </w:r>
    </w:p>
    <w:p>
      <w:pPr>
        <w:spacing w:after="0" w:line="8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which has audited our financial statements, has also audited the effectiveness of our internal control over financial reporting as of June 30, 2016, as stated in their report, which is included in Item 15(a)(1) of this Annual Report on Form 10-K.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3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fiscal quarter ended June 30, 2016, that have materially affected, or are reasonably likely to materially affect, our internal control over financial reporting.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Controls</w:t>
      </w:r>
    </w:p>
    <w:p>
      <w:pPr>
        <w:spacing w:after="0" w:line="13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ectPr>
          <w:pgSz w:w="11900" w:h="16838" w:orient="portrait"/>
          <w:cols w:equalWidth="0" w:num="1">
            <w:col w:w="11400"/>
          </w:cols>
          <w:pgMar w:left="240" w:top="121" w:right="259" w:bottom="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3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Information required by Part III, Item 10, will be included in our Proxy Statement relating to our 2017 annual meeting of stockholders to be filed with the SEC within 120 days after the end of our fiscal year ended June 30, 2016, and is incorporated herein by reference.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3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Information required by Part III, Item 11, will be included in our Proxy Statement relating to our 2017 annual meeting of stockholders to be filed with the SEC within 120 days after the end of our fiscal year ended June 30, 2016, and is incorporated herein by reference.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3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Information required by Part III, Item 12, will be included in our Proxy Statement relating to our 2017 annual meeting of stockholders to be filed with the SEC within 120 days after the end of our fiscal year ended June 30, 2016, and is incorporated herein by reference.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3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Information required by Part III, Item 13, will be included in our Proxy Statement relating to our 2017 annual meeting of stockholders to be filed with the SEC within 120 days after the end of our fiscal year ended June 30, 2016, and is incorporated herein by reference.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3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Information required by Part III, Item 14, will be included in our Proxy Statement relating to our 2017 annual meeting of stockholders to be filed with the SEC within 120 days after the end of our fiscal year ended June 30, 2016, and is incorporated herein by reference.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2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27"/>
        </w:trPr>
        <w:tc>
          <w:tcPr>
            <w:tcW w:w="1068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740" w:type="dxa"/>
            <w:vAlign w:val="bottom"/>
          </w:tcPr>
          <w:p>
            <w:pPr>
              <w:spacing w:after="0"/>
              <w:rPr>
                <w:sz w:val="24"/>
                <w:szCs w:val="24"/>
                <w:color w:val="auto"/>
              </w:rPr>
            </w:pPr>
          </w:p>
        </w:tc>
      </w:tr>
      <w:tr>
        <w:trPr>
          <w:trHeight w:val="234"/>
        </w:trPr>
        <w:tc>
          <w:tcPr>
            <w:tcW w:w="106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  Documents Filed with Report</w:t>
            </w:r>
          </w:p>
        </w:tc>
        <w:tc>
          <w:tcPr>
            <w:tcW w:w="740" w:type="dxa"/>
            <w:vAlign w:val="bottom"/>
          </w:tcPr>
          <w:p>
            <w:pPr>
              <w:spacing w:after="0"/>
              <w:rPr>
                <w:sz w:val="20"/>
                <w:szCs w:val="20"/>
                <w:color w:val="auto"/>
              </w:rPr>
            </w:pPr>
          </w:p>
        </w:tc>
      </w:tr>
      <w:tr>
        <w:trPr>
          <w:trHeight w:val="338"/>
        </w:trPr>
        <w:tc>
          <w:tcPr>
            <w:tcW w:w="7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(1)</w:t>
            </w:r>
          </w:p>
        </w:tc>
        <w:tc>
          <w:tcPr>
            <w:tcW w:w="9920" w:type="dxa"/>
            <w:vAlign w:val="bottom"/>
            <w:gridSpan w:val="8"/>
          </w:tcPr>
          <w:p>
            <w:pPr>
              <w:ind w:left="40"/>
              <w:spacing w:after="0"/>
              <w:rPr>
                <w:sz w:val="20"/>
                <w:szCs w:val="20"/>
                <w:color w:val="auto"/>
              </w:rPr>
            </w:pPr>
            <w:r>
              <w:rPr>
                <w:rFonts w:ascii="Times New Roman" w:cs="Times New Roman" w:eastAsia="Times New Roman" w:hAnsi="Times New Roman"/>
                <w:sz w:val="18"/>
                <w:szCs w:val="18"/>
                <w:i w:val="1"/>
                <w:iCs w:val="1"/>
                <w:color w:val="auto"/>
              </w:rPr>
              <w:t>Financial Statements.</w:t>
            </w:r>
          </w:p>
        </w:tc>
        <w:tc>
          <w:tcPr>
            <w:tcW w:w="740" w:type="dxa"/>
            <w:vAlign w:val="bottom"/>
          </w:tcPr>
          <w:p>
            <w:pPr>
              <w:spacing w:after="0"/>
              <w:rPr>
                <w:sz w:val="24"/>
                <w:szCs w:val="24"/>
                <w:color w:val="auto"/>
              </w:rPr>
            </w:pPr>
          </w:p>
        </w:tc>
      </w:tr>
      <w:tr>
        <w:trPr>
          <w:trHeight w:val="297"/>
        </w:trPr>
        <w:tc>
          <w:tcPr>
            <w:tcW w:w="400" w:type="dxa"/>
            <w:vAlign w:val="bottom"/>
          </w:tcPr>
          <w:p>
            <w:pPr>
              <w:spacing w:after="0"/>
              <w:rPr>
                <w:sz w:val="24"/>
                <w:szCs w:val="24"/>
                <w:color w:val="auto"/>
              </w:rPr>
            </w:pPr>
          </w:p>
        </w:tc>
        <w:tc>
          <w:tcPr>
            <w:tcW w:w="10280" w:type="dxa"/>
            <w:vAlign w:val="bottom"/>
            <w:gridSpan w:val="10"/>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Report of Independent Registered Public Accounting Firm</w:t>
              </w:r>
            </w:hyperlink>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7"/>
              </w:rPr>
              <w:t>F-2</w:t>
            </w:r>
          </w:p>
        </w:tc>
      </w:tr>
      <w:tr>
        <w:trPr>
          <w:trHeight w:val="20"/>
        </w:trPr>
        <w:tc>
          <w:tcPr>
            <w:tcW w:w="4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10280" w:type="dxa"/>
            <w:vAlign w:val="bottom"/>
            <w:gridSpan w:val="10"/>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Consolidated Balance Sheets as of June 30, 2015 and 2016</w:t>
              </w:r>
            </w:hyperlink>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7"/>
              </w:rPr>
              <w:t>F-3</w:t>
            </w:r>
          </w:p>
        </w:tc>
      </w:tr>
      <w:tr>
        <w:trPr>
          <w:trHeight w:val="20"/>
        </w:trPr>
        <w:tc>
          <w:tcPr>
            <w:tcW w:w="4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64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Consolidated Statements of Operations for the years ended June 30, 2014, 2015 and 2016</w:t>
              </w:r>
            </w:hyperlink>
          </w:p>
        </w:tc>
        <w:tc>
          <w:tcPr>
            <w:tcW w:w="3820" w:type="dxa"/>
            <w:vAlign w:val="bottom"/>
            <w:gridSpan w:val="3"/>
          </w:tcPr>
          <w:p>
            <w:pPr>
              <w:spacing w:after="0"/>
              <w:rPr>
                <w:sz w:val="24"/>
                <w:szCs w:val="24"/>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7"/>
              </w:rPr>
              <w:t>F-4</w:t>
            </w:r>
          </w:p>
        </w:tc>
      </w:tr>
      <w:tr>
        <w:trPr>
          <w:trHeight w:val="412"/>
        </w:trPr>
        <w:tc>
          <w:tcPr>
            <w:tcW w:w="400" w:type="dxa"/>
            <w:vAlign w:val="bottom"/>
          </w:tcPr>
          <w:p>
            <w:pPr>
              <w:spacing w:after="0"/>
              <w:rPr>
                <w:sz w:val="24"/>
                <w:szCs w:val="24"/>
                <w:color w:val="auto"/>
              </w:rPr>
            </w:pPr>
          </w:p>
        </w:tc>
        <w:tc>
          <w:tcPr>
            <w:tcW w:w="98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Consolidated Statements of Changes in Redeemable Convertible Preferred Stock and Stockholders’ Equity (Deficit) for the years ended</w:t>
              </w:r>
            </w:hyperlink>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41">
              <w:r>
                <w:rPr>
                  <w:rFonts w:ascii="Times New Roman" w:cs="Times New Roman" w:eastAsia="Times New Roman" w:hAnsi="Times New Roman"/>
                  <w:sz w:val="18"/>
                  <w:szCs w:val="18"/>
                  <w:color w:val="0000EE"/>
                  <w:w w:val="98"/>
                </w:rPr>
                <w:t>June 30, 2014, 2015 and 2016</w:t>
              </w:r>
            </w:hyperlink>
          </w:p>
        </w:tc>
        <w:tc>
          <w:tcPr>
            <w:tcW w:w="7920" w:type="dxa"/>
            <w:vAlign w:val="bottom"/>
            <w:gridSpan w:val="7"/>
          </w:tcPr>
          <w:p>
            <w:pPr>
              <w:spacing w:after="0"/>
              <w:rPr>
                <w:sz w:val="17"/>
                <w:szCs w:val="17"/>
                <w:color w:val="auto"/>
              </w:rPr>
            </w:pPr>
          </w:p>
        </w:tc>
        <w:tc>
          <w:tcPr>
            <w:tcW w:w="740" w:type="dxa"/>
            <w:vAlign w:val="bottom"/>
          </w:tcPr>
          <w:p>
            <w:pPr>
              <w:ind w:left="500"/>
              <w:spacing w:after="0" w:line="196" w:lineRule="exact"/>
              <w:rPr>
                <w:sz w:val="20"/>
                <w:szCs w:val="20"/>
                <w:color w:val="auto"/>
              </w:rPr>
            </w:pPr>
            <w:r>
              <w:rPr>
                <w:rFonts w:ascii="Times New Roman" w:cs="Times New Roman" w:eastAsia="Times New Roman" w:hAnsi="Times New Roman"/>
                <w:sz w:val="18"/>
                <w:szCs w:val="18"/>
                <w:color w:val="auto"/>
                <w:w w:val="87"/>
              </w:rPr>
              <w:t>F-5</w:t>
            </w:r>
          </w:p>
        </w:tc>
      </w:tr>
      <w:tr>
        <w:trPr>
          <w:trHeight w:val="412"/>
        </w:trPr>
        <w:tc>
          <w:tcPr>
            <w:tcW w:w="400" w:type="dxa"/>
            <w:vAlign w:val="bottom"/>
          </w:tcPr>
          <w:p>
            <w:pPr>
              <w:spacing w:after="0"/>
              <w:rPr>
                <w:sz w:val="24"/>
                <w:szCs w:val="24"/>
                <w:color w:val="auto"/>
              </w:rPr>
            </w:pPr>
          </w:p>
        </w:tc>
        <w:tc>
          <w:tcPr>
            <w:tcW w:w="10280" w:type="dxa"/>
            <w:vAlign w:val="bottom"/>
            <w:gridSpan w:val="10"/>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Consolidated Statements of Cash Flows for the years ended June 30, 2014, 2015 and 2016</w:t>
              </w:r>
            </w:hyperlink>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7"/>
              </w:rPr>
              <w:t>F-6</w:t>
            </w:r>
          </w:p>
        </w:tc>
      </w:tr>
      <w:tr>
        <w:trPr>
          <w:trHeight w:val="412"/>
        </w:trPr>
        <w:tc>
          <w:tcPr>
            <w:tcW w:w="400" w:type="dxa"/>
            <w:vAlign w:val="bottom"/>
          </w:tcPr>
          <w:p>
            <w:pPr>
              <w:spacing w:after="0"/>
              <w:rPr>
                <w:sz w:val="24"/>
                <w:szCs w:val="24"/>
                <w:color w:val="auto"/>
              </w:rPr>
            </w:pPr>
          </w:p>
        </w:tc>
        <w:tc>
          <w:tcPr>
            <w:tcW w:w="316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Notes to Consolidated Financial Statements</w:t>
              </w:r>
            </w:hyperlink>
          </w:p>
        </w:tc>
        <w:tc>
          <w:tcPr>
            <w:tcW w:w="3340" w:type="dxa"/>
            <w:vAlign w:val="bottom"/>
            <w:tcBorders>
              <w:top w:val="single" w:sz="8" w:color="0000EE"/>
            </w:tcBorders>
            <w:gridSpan w:val="4"/>
          </w:tcPr>
          <w:p>
            <w:pPr>
              <w:spacing w:after="0"/>
              <w:rPr>
                <w:sz w:val="24"/>
                <w:szCs w:val="24"/>
                <w:color w:val="auto"/>
              </w:rPr>
            </w:pPr>
          </w:p>
        </w:tc>
        <w:tc>
          <w:tcPr>
            <w:tcW w:w="3780" w:type="dxa"/>
            <w:vAlign w:val="bottom"/>
            <w:gridSpan w:val="2"/>
          </w:tcPr>
          <w:p>
            <w:pPr>
              <w:spacing w:after="0"/>
              <w:rPr>
                <w:sz w:val="24"/>
                <w:szCs w:val="24"/>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7"/>
              </w:rPr>
              <w:t>F-7</w:t>
            </w:r>
          </w:p>
        </w:tc>
      </w:tr>
      <w:tr>
        <w:trPr>
          <w:trHeight w:val="453"/>
        </w:trPr>
        <w:tc>
          <w:tcPr>
            <w:tcW w:w="7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(2)</w:t>
            </w:r>
          </w:p>
        </w:tc>
        <w:tc>
          <w:tcPr>
            <w:tcW w:w="9920" w:type="dxa"/>
            <w:vAlign w:val="bottom"/>
            <w:gridSpan w:val="8"/>
          </w:tcPr>
          <w:p>
            <w:pPr>
              <w:ind w:left="40"/>
              <w:spacing w:after="0"/>
              <w:rPr>
                <w:sz w:val="20"/>
                <w:szCs w:val="20"/>
                <w:color w:val="auto"/>
              </w:rPr>
            </w:pPr>
            <w:r>
              <w:rPr>
                <w:rFonts w:ascii="Times New Roman" w:cs="Times New Roman" w:eastAsia="Times New Roman" w:hAnsi="Times New Roman"/>
                <w:sz w:val="18"/>
                <w:szCs w:val="18"/>
                <w:i w:val="1"/>
                <w:iCs w:val="1"/>
                <w:color w:val="auto"/>
              </w:rPr>
              <w:t>Exhibits.</w:t>
            </w:r>
          </w:p>
        </w:tc>
        <w:tc>
          <w:tcPr>
            <w:tcW w:w="740" w:type="dxa"/>
            <w:vAlign w:val="bottom"/>
          </w:tcPr>
          <w:p>
            <w:pPr>
              <w:spacing w:after="0"/>
              <w:rPr>
                <w:sz w:val="24"/>
                <w:szCs w:val="24"/>
                <w:color w:val="auto"/>
              </w:rPr>
            </w:pPr>
          </w:p>
        </w:tc>
      </w:tr>
    </w:tbl>
    <w:p>
      <w:pPr>
        <w:spacing w:after="0" w:line="1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required by this Item is set forth on the exhibit index that follows the signature page of this Annual Report on Form 10-K.</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2016</w:t>
      </w:r>
    </w:p>
    <w:p>
      <w:pPr>
        <w:spacing w:after="0" w:line="200" w:lineRule="exact"/>
        <w:rPr>
          <w:sz w:val="20"/>
          <w:szCs w:val="20"/>
          <w:color w:val="auto"/>
        </w:rPr>
      </w:pPr>
    </w:p>
    <w:p>
      <w:pPr>
        <w:spacing w:after="0" w:line="23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229" w:lineRule="exact"/>
        <w:rPr>
          <w:sz w:val="20"/>
          <w:szCs w:val="20"/>
          <w:color w:val="auto"/>
        </w:rPr>
      </w:pPr>
    </w:p>
    <w:tbl>
      <w:tblPr>
        <w:tblLayout w:type="fixed"/>
        <w:tblInd w:w="576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 Steven R. Beauchamp</w:t>
            </w:r>
          </w:p>
        </w:tc>
      </w:tr>
      <w:tr>
        <w:trPr>
          <w:trHeight w:val="228"/>
        </w:trPr>
        <w:tc>
          <w:tcPr>
            <w:tcW w:w="440" w:type="dxa"/>
            <w:vAlign w:val="bottom"/>
          </w:tcPr>
          <w:p>
            <w:pPr>
              <w:spacing w:after="0"/>
              <w:rPr>
                <w:sz w:val="19"/>
                <w:szCs w:val="19"/>
                <w:color w:val="auto"/>
              </w:rPr>
            </w:pPr>
          </w:p>
        </w:tc>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Steven R. Beauchamp</w:t>
            </w:r>
          </w:p>
        </w:tc>
      </w:tr>
    </w:tbl>
    <w:p>
      <w:pPr>
        <w:sectPr>
          <w:pgSz w:w="11900" w:h="16838" w:orient="portrait"/>
          <w:cols w:equalWidth="0" w:num="1">
            <w:col w:w="11420"/>
          </w:cols>
          <w:pgMar w:left="240" w:top="121" w:right="239" w:bottom="0" w:gutter="0" w:footer="0" w:header="0"/>
        </w:sectPr>
      </w:pPr>
    </w:p>
    <w:bookmarkStart w:id="38" w:name="page39"/>
    <w:bookmarkEnd w:id="38"/>
    <w:p>
      <w:pPr>
        <w:spacing w:after="0" w:line="5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Steven R. Beauchamp and Peter J. McGrail,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46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300" w:type="dxa"/>
            <w:vAlign w:val="bottom"/>
          </w:tcPr>
          <w:p>
            <w:pPr>
              <w:spacing w:after="0"/>
              <w:rPr>
                <w:sz w:val="14"/>
                <w:szCs w:val="14"/>
                <w:color w:val="auto"/>
              </w:rPr>
            </w:pPr>
          </w:p>
        </w:tc>
        <w:tc>
          <w:tcPr>
            <w:tcW w:w="440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60" w:type="dxa"/>
            <w:vAlign w:val="bottom"/>
          </w:tcPr>
          <w:p>
            <w:pPr>
              <w:spacing w:after="0"/>
              <w:rPr>
                <w:sz w:val="14"/>
                <w:szCs w:val="14"/>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7"/>
        </w:trPr>
        <w:tc>
          <w:tcPr>
            <w:tcW w:w="3460" w:type="dxa"/>
            <w:vAlign w:val="bottom"/>
          </w:tcPr>
          <w:p>
            <w:pPr>
              <w:spacing w:after="0"/>
              <w:rPr>
                <w:sz w:val="24"/>
                <w:szCs w:val="24"/>
                <w:color w:val="auto"/>
              </w:rPr>
            </w:pPr>
          </w:p>
        </w:tc>
        <w:tc>
          <w:tcPr>
            <w:tcW w:w="49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President, Chief Executive Officer (Principal Executive</w:t>
            </w:r>
          </w:p>
        </w:tc>
        <w:tc>
          <w:tcPr>
            <w:tcW w:w="3000" w:type="dxa"/>
            <w:vAlign w:val="bottom"/>
          </w:tcPr>
          <w:p>
            <w:pPr>
              <w:spacing w:after="0"/>
              <w:rPr>
                <w:sz w:val="24"/>
                <w:szCs w:val="24"/>
                <w:color w:val="auto"/>
              </w:rPr>
            </w:pPr>
          </w:p>
        </w:tc>
      </w:tr>
      <w:tr>
        <w:trPr>
          <w:trHeight w:val="234"/>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R. Beauchamp</w:t>
            </w:r>
          </w:p>
        </w:tc>
        <w:tc>
          <w:tcPr>
            <w:tcW w:w="49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Officer) and Director</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12, 2016</w:t>
            </w: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Steven R. Beauchamp</w:t>
            </w:r>
          </w:p>
        </w:tc>
        <w:tc>
          <w:tcPr>
            <w:tcW w:w="3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394"/>
        </w:trPr>
        <w:tc>
          <w:tcPr>
            <w:tcW w:w="3460" w:type="dxa"/>
            <w:vAlign w:val="bottom"/>
          </w:tcPr>
          <w:p>
            <w:pPr>
              <w:spacing w:after="0"/>
              <w:rPr>
                <w:sz w:val="24"/>
                <w:szCs w:val="24"/>
                <w:color w:val="auto"/>
              </w:rPr>
            </w:pPr>
          </w:p>
        </w:tc>
        <w:tc>
          <w:tcPr>
            <w:tcW w:w="49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Chief Financial Officer (Principal Financial Officer &amp;</w:t>
            </w:r>
          </w:p>
        </w:tc>
        <w:tc>
          <w:tcPr>
            <w:tcW w:w="3000" w:type="dxa"/>
            <w:vAlign w:val="bottom"/>
          </w:tcPr>
          <w:p>
            <w:pPr>
              <w:spacing w:after="0"/>
              <w:rPr>
                <w:sz w:val="24"/>
                <w:szCs w:val="24"/>
                <w:color w:val="auto"/>
              </w:rPr>
            </w:pPr>
          </w:p>
        </w:tc>
      </w:tr>
      <w:tr>
        <w:trPr>
          <w:trHeight w:val="234"/>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J. McGrail</w:t>
            </w:r>
          </w:p>
        </w:tc>
        <w:tc>
          <w:tcPr>
            <w:tcW w:w="49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12, 2016</w:t>
            </w: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Peter J. McGrail</w:t>
            </w:r>
          </w:p>
        </w:tc>
        <w:tc>
          <w:tcPr>
            <w:tcW w:w="3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12"/>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I. Sarowitz</w:t>
            </w:r>
          </w:p>
        </w:tc>
        <w:tc>
          <w:tcPr>
            <w:tcW w:w="49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12, 2016</w:t>
            </w: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Steven I. Sarowitz</w:t>
            </w:r>
          </w:p>
        </w:tc>
        <w:tc>
          <w:tcPr>
            <w:tcW w:w="3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12"/>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T. Diehl</w:t>
            </w:r>
          </w:p>
        </w:tc>
        <w:tc>
          <w:tcPr>
            <w:tcW w:w="49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12, 2016</w:t>
            </w: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Jeffrey T. Diehl</w:t>
            </w:r>
          </w:p>
        </w:tc>
        <w:tc>
          <w:tcPr>
            <w:tcW w:w="3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12"/>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H. Mishler</w:t>
            </w:r>
          </w:p>
        </w:tc>
        <w:tc>
          <w:tcPr>
            <w:tcW w:w="49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12, 2016</w:t>
            </w: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Mark H. Mishler</w:t>
            </w:r>
          </w:p>
        </w:tc>
        <w:tc>
          <w:tcPr>
            <w:tcW w:w="3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12"/>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Andres D. Reiner</w:t>
            </w:r>
          </w:p>
        </w:tc>
        <w:tc>
          <w:tcPr>
            <w:tcW w:w="49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12, 2016</w:t>
            </w: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Andres D. Reiner</w:t>
            </w:r>
          </w:p>
        </w:tc>
        <w:tc>
          <w:tcPr>
            <w:tcW w:w="3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12"/>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Ronald V. Waters, III</w:t>
            </w:r>
          </w:p>
        </w:tc>
        <w:tc>
          <w:tcPr>
            <w:tcW w:w="49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Director</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12, 2016</w:t>
            </w: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Ronald V. Waters, III</w:t>
            </w:r>
          </w:p>
        </w:tc>
        <w:tc>
          <w:tcPr>
            <w:tcW w:w="3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0" w:type="dxa"/>
            <w:vAlign w:val="bottom"/>
          </w:tcPr>
          <w:p>
            <w:pPr>
              <w:spacing w:after="0"/>
              <w:rPr>
                <w:sz w:val="19"/>
                <w:szCs w:val="19"/>
                <w:color w:val="auto"/>
              </w:rPr>
            </w:pPr>
          </w:p>
        </w:tc>
      </w:tr>
    </w:tbl>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7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8"/>
        </w:trPr>
        <w:tc>
          <w:tcPr>
            <w:tcW w:w="10700" w:type="dxa"/>
            <w:vAlign w:val="bottom"/>
            <w:gridSpan w:val="9"/>
            <w:vMerge w:val="continue"/>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0700" w:type="dxa"/>
            <w:vAlign w:val="bottom"/>
            <w:gridSpan w:val="9"/>
          </w:tcPr>
          <w:p>
            <w:pPr>
              <w:spacing w:after="0" w:line="194"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Report of Independent Registered Public Accounting Firm</w:t>
              </w:r>
            </w:hyperlink>
          </w:p>
        </w:tc>
        <w:tc>
          <w:tcPr>
            <w:tcW w:w="7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00" w:type="dxa"/>
            <w:vAlign w:val="bottom"/>
            <w:gridSpan w:val="9"/>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Consolidated Balance Sheets as of June 30, 2015 and 2016</w:t>
              </w:r>
            </w:hyperlink>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Consolidated Statements of Operations for the years ended June 30, 2014, 2015 and 2016</w:t>
              </w:r>
            </w:hyperlink>
          </w:p>
        </w:tc>
        <w:tc>
          <w:tcPr>
            <w:tcW w:w="4240" w:type="dxa"/>
            <w:vAlign w:val="bottom"/>
            <w:gridSpan w:val="3"/>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196"/>
        </w:trPr>
        <w:tc>
          <w:tcPr>
            <w:tcW w:w="104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Consolidated Statements of Changes in Redeemable Convertible Preferred Stock and Stockholders’ Equity (Deficit) for the years ended June 30,</w:t>
              </w:r>
            </w:hyperlink>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520" w:type="dxa"/>
            <w:vAlign w:val="bottom"/>
            <w:gridSpan w:val="8"/>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2014, 2015 and 2016</w:t>
              </w:r>
            </w:hyperlink>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00" w:type="dxa"/>
            <w:vAlign w:val="bottom"/>
            <w:gridSpan w:val="9"/>
          </w:tcPr>
          <w:p>
            <w:pPr>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Consolidated Statements of Cash Flows for the years ended June 30, 2014, 2015 and 2016</w:t>
              </w:r>
            </w:hyperlink>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196"/>
        </w:trPr>
        <w:tc>
          <w:tcPr>
            <w:tcW w:w="31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Notes to Consolidated Financial Statements</w:t>
              </w:r>
            </w:hyperlink>
          </w:p>
        </w:tc>
        <w:tc>
          <w:tcPr>
            <w:tcW w:w="3340" w:type="dxa"/>
            <w:vAlign w:val="bottom"/>
            <w:tcBorders>
              <w:top w:val="single" w:sz="8" w:color="0000EE"/>
            </w:tcBorders>
            <w:gridSpan w:val="4"/>
          </w:tcPr>
          <w:p>
            <w:pPr>
              <w:spacing w:after="0"/>
              <w:rPr>
                <w:sz w:val="17"/>
                <w:szCs w:val="17"/>
                <w:color w:val="auto"/>
              </w:rPr>
            </w:pPr>
          </w:p>
        </w:tc>
        <w:tc>
          <w:tcPr>
            <w:tcW w:w="4200" w:type="dxa"/>
            <w:vAlign w:val="bottom"/>
            <w:gridSpan w:val="2"/>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of Directors and Stockholders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Paylocity Holding Corporation:</w:t>
      </w:r>
    </w:p>
    <w:p>
      <w:pPr>
        <w:spacing w:after="0" w:line="200" w:lineRule="exact"/>
        <w:rPr>
          <w:sz w:val="20"/>
          <w:szCs w:val="20"/>
          <w:color w:val="auto"/>
        </w:rPr>
      </w:pPr>
    </w:p>
    <w:p>
      <w:pPr>
        <w:spacing w:after="0" w:line="2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Paylocity Holding Corporation (the Company) and subsidiary as of June 30, 2015 and 2016, and the related consolidated statements of operations, changes in redeemable convertible preferred stock and stockholders’</w:t>
      </w:r>
    </w:p>
    <w:p>
      <w:pPr>
        <w:sectPr>
          <w:pgSz w:w="11900" w:h="16890" w:orient="portrait"/>
          <w:cols w:equalWidth="0" w:num="1">
            <w:col w:w="11420"/>
          </w:cols>
          <w:pgMar w:left="240" w:top="121" w:right="239" w:bottom="0" w:gutter="0" w:footer="0" w:header="0"/>
        </w:sectPr>
      </w:pPr>
    </w:p>
    <w:bookmarkStart w:id="39" w:name="page40"/>
    <w:bookmarkEnd w:id="39"/>
    <w:p>
      <w:pPr>
        <w:spacing w:after="0" w:line="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equity (deficit), and cash flows for each of the years in the three-year period ended June 30, 2016. We also have audited the Company’s internal control over financial reporting as of June 30, 2016, based on criteria established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an opinion on the Company’s internal control over financial reporting based on our audits.</w:t>
      </w:r>
    </w:p>
    <w:p>
      <w:pPr>
        <w:spacing w:after="0" w:line="19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In our opinion, the consolidated financial statements referred to above present fairly, in all material respects, the financial position of Paylocity Holding Corporation and subsidiary as of June 30, 2015 and 2016, and the results of its operations and its cash flows for each of the years in the three-year period ended June 30, 2016, in conformity with U.S. generally accepted accounting principles. Also in our opinion, the Company maintained, in all material respects, effective internal control over financial reporting as of June 30, 2016, based on criteria established in </w:t>
      </w:r>
      <w:r>
        <w:rPr>
          <w:rFonts w:ascii="Times New Roman" w:cs="Times New Roman" w:eastAsia="Times New Roman" w:hAnsi="Times New Roman"/>
          <w:sz w:val="19"/>
          <w:szCs w:val="19"/>
          <w:i w:val="1"/>
          <w:iCs w:val="1"/>
          <w:color w:val="auto"/>
        </w:rPr>
        <w:t xml:space="preserve">Internal Control – Integrated Framework (2013) </w:t>
      </w:r>
      <w:r>
        <w:rPr>
          <w:rFonts w:ascii="Times New Roman" w:cs="Times New Roman" w:eastAsia="Times New Roman" w:hAnsi="Times New Roman"/>
          <w:sz w:val="19"/>
          <w:szCs w:val="19"/>
          <w:color w:val="auto"/>
        </w:rPr>
        <w:t>issued by the Committee of Sponsoring Organizations of the Treadway Commission (COSO).</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KPMG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Chicago, Illinois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August 12, 2016</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5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2440" w:type="dxa"/>
            <w:vAlign w:val="bottom"/>
          </w:tcPr>
          <w:p>
            <w:pPr>
              <w:spacing w:after="0"/>
              <w:rPr>
                <w:sz w:val="24"/>
                <w:szCs w:val="24"/>
                <w:color w:val="auto"/>
              </w:rPr>
            </w:pPr>
          </w:p>
        </w:tc>
        <w:tc>
          <w:tcPr>
            <w:tcW w:w="6460" w:type="dxa"/>
            <w:vAlign w:val="bottom"/>
            <w:gridSpan w:val="3"/>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8"/>
              </w:rPr>
              <w:t>PAYLOCITY HOLDING CORPORATION</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460" w:type="dxa"/>
            <w:vAlign w:val="bottom"/>
            <w:gridSpan w:val="3"/>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460" w:type="dxa"/>
            <w:vAlign w:val="bottom"/>
            <w:gridSpan w:val="3"/>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40" w:type="dxa"/>
            <w:vAlign w:val="bottom"/>
          </w:tcPr>
          <w:p>
            <w:pPr>
              <w:spacing w:after="0"/>
              <w:rPr>
                <w:sz w:val="24"/>
                <w:szCs w:val="24"/>
                <w:color w:val="auto"/>
              </w:rPr>
            </w:pPr>
          </w:p>
        </w:tc>
        <w:tc>
          <w:tcPr>
            <w:tcW w:w="2560" w:type="dxa"/>
            <w:vAlign w:val="bottom"/>
            <w:tcBorders>
              <w:bottom w:val="single" w:sz="8" w:color="auto"/>
            </w:tcBorders>
            <w:gridSpan w:val="3"/>
          </w:tcPr>
          <w:p>
            <w:pPr>
              <w:jc w:val="right"/>
              <w:ind w:right="667"/>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0" w:type="dxa"/>
            <w:vAlign w:val="bottom"/>
          </w:tcPr>
          <w:p>
            <w:pPr>
              <w:spacing w:after="0"/>
              <w:rPr>
                <w:sz w:val="1"/>
                <w:szCs w:val="1"/>
                <w:color w:val="auto"/>
              </w:rPr>
            </w:pPr>
          </w:p>
        </w:tc>
      </w:tr>
      <w:tr>
        <w:trPr>
          <w:trHeight w:val="187"/>
        </w:trPr>
        <w:tc>
          <w:tcPr>
            <w:tcW w:w="3720" w:type="dxa"/>
            <w:vAlign w:val="bottom"/>
            <w:gridSpan w:val="2"/>
            <w:vMerge w:val="continue"/>
          </w:tcPr>
          <w:p>
            <w:pPr>
              <w:spacing w:after="0"/>
              <w:rPr>
                <w:sz w:val="16"/>
                <w:szCs w:val="16"/>
                <w:color w:val="auto"/>
              </w:rPr>
            </w:pPr>
          </w:p>
        </w:tc>
        <w:tc>
          <w:tcPr>
            <w:tcW w:w="5040" w:type="dxa"/>
            <w:vAlign w:val="bottom"/>
          </w:tcPr>
          <w:p>
            <w:pPr>
              <w:spacing w:after="0"/>
              <w:rPr>
                <w:sz w:val="16"/>
                <w:szCs w:val="16"/>
                <w:color w:val="auto"/>
              </w:rPr>
            </w:pPr>
          </w:p>
        </w:tc>
        <w:tc>
          <w:tcPr>
            <w:tcW w:w="1140" w:type="dxa"/>
            <w:vAlign w:val="bottom"/>
          </w:tcPr>
          <w:p>
            <w:pPr>
              <w:jc w:val="right"/>
              <w:ind w:right="323"/>
              <w:spacing w:after="0" w:line="187" w:lineRule="exact"/>
              <w:rPr>
                <w:sz w:val="20"/>
                <w:szCs w:val="20"/>
                <w:color w:val="auto"/>
              </w:rPr>
            </w:pPr>
            <w:r>
              <w:rPr>
                <w:rFonts w:ascii="Times New Roman" w:cs="Times New Roman" w:eastAsia="Times New Roman" w:hAnsi="Times New Roman"/>
                <w:sz w:val="18"/>
                <w:szCs w:val="18"/>
                <w:b w:val="1"/>
                <w:bCs w:val="1"/>
                <w:color w:val="auto"/>
              </w:rPr>
              <w:t>2015</w:t>
            </w:r>
          </w:p>
        </w:tc>
        <w:tc>
          <w:tcPr>
            <w:tcW w:w="280" w:type="dxa"/>
            <w:vAlign w:val="bottom"/>
          </w:tcPr>
          <w:p>
            <w:pPr>
              <w:spacing w:after="0"/>
              <w:rPr>
                <w:sz w:val="16"/>
                <w:szCs w:val="16"/>
                <w:color w:val="auto"/>
              </w:rPr>
            </w:pPr>
          </w:p>
        </w:tc>
        <w:tc>
          <w:tcPr>
            <w:tcW w:w="1140" w:type="dxa"/>
            <w:vAlign w:val="bottom"/>
          </w:tcPr>
          <w:p>
            <w:pPr>
              <w:jc w:val="right"/>
              <w:ind w:right="327"/>
              <w:spacing w:after="0" w:line="187" w:lineRule="exact"/>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3"/>
        </w:trPr>
        <w:tc>
          <w:tcPr>
            <w:tcW w:w="3720" w:type="dxa"/>
            <w:vAlign w:val="bottom"/>
            <w:gridSpan w:val="2"/>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50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3720" w:type="dxa"/>
            <w:vAlign w:val="bottom"/>
            <w:gridSpan w:val="2"/>
            <w:vMerge w:val="continue"/>
          </w:tcPr>
          <w:p>
            <w:pPr>
              <w:spacing w:after="0"/>
              <w:rPr>
                <w:sz w:val="9"/>
                <w:szCs w:val="9"/>
                <w:color w:val="auto"/>
              </w:rPr>
            </w:pPr>
          </w:p>
        </w:tc>
        <w:tc>
          <w:tcPr>
            <w:tcW w:w="6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$81,258</w:t>
            </w:r>
          </w:p>
        </w:tc>
        <w:tc>
          <w:tcPr>
            <w:tcW w:w="28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$86,496</w:t>
            </w:r>
          </w:p>
        </w:tc>
        <w:tc>
          <w:tcPr>
            <w:tcW w:w="0" w:type="dxa"/>
            <w:vAlign w:val="bottom"/>
          </w:tcPr>
          <w:p>
            <w:pPr>
              <w:spacing w:after="0"/>
              <w:rPr>
                <w:sz w:val="1"/>
                <w:szCs w:val="1"/>
                <w:color w:val="auto"/>
              </w:rPr>
            </w:pPr>
          </w:p>
        </w:tc>
      </w:tr>
      <w:tr>
        <w:trPr>
          <w:trHeight w:val="149"/>
        </w:trPr>
        <w:tc>
          <w:tcPr>
            <w:tcW w:w="37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6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6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1,115</w:t>
            </w:r>
          </w:p>
        </w:tc>
        <w:tc>
          <w:tcPr>
            <w:tcW w:w="2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1,681</w:t>
            </w:r>
          </w:p>
        </w:tc>
        <w:tc>
          <w:tcPr>
            <w:tcW w:w="0" w:type="dxa"/>
            <w:vAlign w:val="bottom"/>
          </w:tcPr>
          <w:p>
            <w:pPr>
              <w:spacing w:after="0"/>
              <w:rPr>
                <w:sz w:val="1"/>
                <w:szCs w:val="1"/>
                <w:color w:val="auto"/>
              </w:rPr>
            </w:pPr>
          </w:p>
        </w:tc>
      </w:tr>
      <w:tr>
        <w:trPr>
          <w:trHeight w:val="149"/>
        </w:trPr>
        <w:tc>
          <w:tcPr>
            <w:tcW w:w="37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Prepaid expenses and other</w:t>
            </w:r>
          </w:p>
        </w:tc>
        <w:tc>
          <w:tcPr>
            <w:tcW w:w="6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4,416</w:t>
            </w:r>
          </w:p>
        </w:tc>
        <w:tc>
          <w:tcPr>
            <w:tcW w:w="2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7,409</w:t>
            </w:r>
          </w:p>
        </w:tc>
        <w:tc>
          <w:tcPr>
            <w:tcW w:w="0" w:type="dxa"/>
            <w:vAlign w:val="bottom"/>
          </w:tcPr>
          <w:p>
            <w:pPr>
              <w:spacing w:after="0"/>
              <w:rPr>
                <w:sz w:val="1"/>
                <w:szCs w:val="1"/>
                <w:color w:val="auto"/>
              </w:rPr>
            </w:pPr>
          </w:p>
        </w:tc>
      </w:tr>
      <w:tr>
        <w:trPr>
          <w:trHeight w:val="171"/>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Deferred income tax assets, net</w:t>
            </w:r>
          </w:p>
        </w:tc>
        <w:tc>
          <w:tcPr>
            <w:tcW w:w="504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28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4"/>
        </w:trPr>
        <w:tc>
          <w:tcPr>
            <w:tcW w:w="37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Total current assets before funds held for clients</w:t>
            </w:r>
          </w:p>
        </w:tc>
        <w:tc>
          <w:tcPr>
            <w:tcW w:w="6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87,564</w:t>
            </w: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95,586</w:t>
            </w:r>
          </w:p>
        </w:tc>
        <w:tc>
          <w:tcPr>
            <w:tcW w:w="0" w:type="dxa"/>
            <w:vAlign w:val="bottom"/>
          </w:tcPr>
          <w:p>
            <w:pPr>
              <w:spacing w:after="0"/>
              <w:rPr>
                <w:sz w:val="1"/>
                <w:szCs w:val="1"/>
                <w:color w:val="auto"/>
              </w:rPr>
            </w:pPr>
          </w:p>
        </w:tc>
      </w:tr>
      <w:tr>
        <w:trPr>
          <w:trHeight w:val="171"/>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Funds held for clients</w:t>
            </w:r>
          </w:p>
        </w:tc>
        <w:tc>
          <w:tcPr>
            <w:tcW w:w="504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591,219</w:t>
            </w:r>
          </w:p>
        </w:tc>
        <w:tc>
          <w:tcPr>
            <w:tcW w:w="28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1,239,622</w:t>
            </w:r>
          </w:p>
        </w:tc>
        <w:tc>
          <w:tcPr>
            <w:tcW w:w="0" w:type="dxa"/>
            <w:vAlign w:val="bottom"/>
          </w:tcPr>
          <w:p>
            <w:pPr>
              <w:spacing w:after="0"/>
              <w:rPr>
                <w:sz w:val="1"/>
                <w:szCs w:val="1"/>
                <w:color w:val="auto"/>
              </w:rPr>
            </w:pPr>
          </w:p>
        </w:tc>
      </w:tr>
      <w:tr>
        <w:trPr>
          <w:trHeight w:val="254"/>
        </w:trPr>
        <w:tc>
          <w:tcPr>
            <w:tcW w:w="37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Total current assets</w:t>
            </w:r>
          </w:p>
        </w:tc>
        <w:tc>
          <w:tcPr>
            <w:tcW w:w="6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678,783</w:t>
            </w: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1,335,208</w:t>
            </w: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Long-term prepaid expenses</w:t>
            </w:r>
          </w:p>
        </w:tc>
        <w:tc>
          <w:tcPr>
            <w:tcW w:w="6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403</w:t>
            </w:r>
          </w:p>
        </w:tc>
        <w:tc>
          <w:tcPr>
            <w:tcW w:w="2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845</w:t>
            </w: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Capitalized internal-use software, net</w:t>
            </w:r>
          </w:p>
        </w:tc>
        <w:tc>
          <w:tcPr>
            <w:tcW w:w="6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7,357</w:t>
            </w:r>
          </w:p>
        </w:tc>
        <w:tc>
          <w:tcPr>
            <w:tcW w:w="2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11,427</w:t>
            </w: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6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16,061</w:t>
            </w:r>
          </w:p>
        </w:tc>
        <w:tc>
          <w:tcPr>
            <w:tcW w:w="2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26,787</w:t>
            </w: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6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11,941</w:t>
            </w:r>
          </w:p>
        </w:tc>
        <w:tc>
          <w:tcPr>
            <w:tcW w:w="2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10,419</w:t>
            </w:r>
          </w:p>
        </w:tc>
        <w:tc>
          <w:tcPr>
            <w:tcW w:w="0" w:type="dxa"/>
            <w:vAlign w:val="bottom"/>
          </w:tcPr>
          <w:p>
            <w:pPr>
              <w:spacing w:after="0"/>
              <w:rPr>
                <w:sz w:val="1"/>
                <w:szCs w:val="1"/>
                <w:color w:val="auto"/>
              </w:rPr>
            </w:pPr>
          </w:p>
        </w:tc>
      </w:tr>
      <w:tr>
        <w:trPr>
          <w:trHeight w:val="171"/>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Goodwill</w:t>
            </w:r>
          </w:p>
        </w:tc>
        <w:tc>
          <w:tcPr>
            <w:tcW w:w="504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6,003</w:t>
            </w:r>
          </w:p>
        </w:tc>
        <w:tc>
          <w:tcPr>
            <w:tcW w:w="28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6,003</w:t>
            </w:r>
          </w:p>
        </w:tc>
        <w:tc>
          <w:tcPr>
            <w:tcW w:w="0" w:type="dxa"/>
            <w:vAlign w:val="bottom"/>
          </w:tcPr>
          <w:p>
            <w:pPr>
              <w:spacing w:after="0"/>
              <w:rPr>
                <w:sz w:val="1"/>
                <w:szCs w:val="1"/>
                <w:color w:val="auto"/>
              </w:rPr>
            </w:pPr>
          </w:p>
        </w:tc>
      </w:tr>
      <w:tr>
        <w:trPr>
          <w:trHeight w:val="277"/>
        </w:trPr>
        <w:tc>
          <w:tcPr>
            <w:tcW w:w="37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Total assets</w:t>
            </w:r>
          </w:p>
        </w:tc>
        <w:tc>
          <w:tcPr>
            <w:tcW w:w="6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$720,548</w:t>
            </w: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$1,390,689</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50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3720" w:type="dxa"/>
            <w:vAlign w:val="bottom"/>
            <w:gridSpan w:val="2"/>
            <w:vMerge w:val="continue"/>
          </w:tcPr>
          <w:p>
            <w:pPr>
              <w:spacing w:after="0"/>
              <w:rPr>
                <w:sz w:val="24"/>
                <w:szCs w:val="24"/>
                <w:color w:val="auto"/>
              </w:rPr>
            </w:pPr>
          </w:p>
        </w:tc>
        <w:tc>
          <w:tcPr>
            <w:tcW w:w="5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5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6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0" w:type="dxa"/>
            <w:vAlign w:val="bottom"/>
          </w:tcPr>
          <w:p>
            <w:pPr>
              <w:spacing w:after="0"/>
              <w:rPr>
                <w:sz w:val="1"/>
                <w:szCs w:val="1"/>
                <w:color w:val="auto"/>
              </w:rPr>
            </w:pPr>
          </w:p>
        </w:tc>
      </w:tr>
      <w:tr>
        <w:trPr>
          <w:trHeight w:val="149"/>
        </w:trPr>
        <w:tc>
          <w:tcPr>
            <w:tcW w:w="37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Consideration related to acquisitions</w:t>
            </w:r>
          </w:p>
        </w:tc>
        <w:tc>
          <w:tcPr>
            <w:tcW w:w="6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511</w:t>
            </w:r>
          </w:p>
        </w:tc>
        <w:tc>
          <w:tcPr>
            <w:tcW w:w="2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504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16,430</w:t>
            </w:r>
          </w:p>
        </w:tc>
        <w:tc>
          <w:tcPr>
            <w:tcW w:w="28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24,979</w:t>
            </w:r>
          </w:p>
        </w:tc>
        <w:tc>
          <w:tcPr>
            <w:tcW w:w="0" w:type="dxa"/>
            <w:vAlign w:val="bottom"/>
          </w:tcPr>
          <w:p>
            <w:pPr>
              <w:spacing w:after="0"/>
              <w:rPr>
                <w:sz w:val="1"/>
                <w:szCs w:val="1"/>
                <w:color w:val="auto"/>
              </w:rPr>
            </w:pPr>
          </w:p>
        </w:tc>
      </w:tr>
      <w:tr>
        <w:trPr>
          <w:trHeight w:val="254"/>
        </w:trPr>
        <w:tc>
          <w:tcPr>
            <w:tcW w:w="37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Total current liabilities before client fund obligations</w:t>
            </w:r>
          </w:p>
        </w:tc>
        <w:tc>
          <w:tcPr>
            <w:tcW w:w="6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18,268</w:t>
            </w: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26,600</w:t>
            </w:r>
          </w:p>
        </w:tc>
        <w:tc>
          <w:tcPr>
            <w:tcW w:w="0" w:type="dxa"/>
            <w:vAlign w:val="bottom"/>
          </w:tcPr>
          <w:p>
            <w:pPr>
              <w:spacing w:after="0"/>
              <w:rPr>
                <w:sz w:val="1"/>
                <w:szCs w:val="1"/>
                <w:color w:val="auto"/>
              </w:rPr>
            </w:pPr>
          </w:p>
        </w:tc>
      </w:tr>
      <w:tr>
        <w:trPr>
          <w:trHeight w:val="171"/>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Client fund obligations</w:t>
            </w:r>
          </w:p>
        </w:tc>
        <w:tc>
          <w:tcPr>
            <w:tcW w:w="504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591,219</w:t>
            </w:r>
          </w:p>
        </w:tc>
        <w:tc>
          <w:tcPr>
            <w:tcW w:w="28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1,239,622</w:t>
            </w:r>
          </w:p>
        </w:tc>
        <w:tc>
          <w:tcPr>
            <w:tcW w:w="0" w:type="dxa"/>
            <w:vAlign w:val="bottom"/>
          </w:tcPr>
          <w:p>
            <w:pPr>
              <w:spacing w:after="0"/>
              <w:rPr>
                <w:sz w:val="1"/>
                <w:szCs w:val="1"/>
                <w:color w:val="auto"/>
              </w:rPr>
            </w:pPr>
          </w:p>
        </w:tc>
      </w:tr>
    </w:tbl>
    <w:p>
      <w:pPr>
        <w:sectPr>
          <w:pgSz w:w="11900" w:h="16857" w:orient="portrait"/>
          <w:cols w:equalWidth="0" w:num="1">
            <w:col w:w="11420"/>
          </w:cols>
          <w:pgMar w:left="240" w:top="118" w:right="239" w:bottom="0" w:gutter="0" w:footer="0" w:header="0"/>
        </w:sectPr>
      </w:pPr>
    </w:p>
    <w:bookmarkStart w:id="40" w:name="page41"/>
    <w:bookmarkEnd w:id="40"/>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609,487</w:t>
            </w:r>
          </w:p>
        </w:tc>
        <w:tc>
          <w:tcPr>
            <w:tcW w:w="2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1,266,222</w:t>
            </w:r>
          </w:p>
        </w:tc>
        <w:tc>
          <w:tcPr>
            <w:tcW w:w="0" w:type="dxa"/>
            <w:vAlign w:val="bottom"/>
          </w:tcPr>
          <w:p>
            <w:pPr>
              <w:spacing w:after="0"/>
              <w:rPr>
                <w:sz w:val="1"/>
                <w:szCs w:val="1"/>
                <w:color w:val="auto"/>
              </w:rPr>
            </w:pPr>
          </w:p>
        </w:tc>
      </w:tr>
      <w:tr>
        <w:trPr>
          <w:trHeight w:val="149"/>
        </w:trPr>
        <w:tc>
          <w:tcPr>
            <w:tcW w:w="8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rent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2,607</w:t>
            </w:r>
          </w:p>
        </w:tc>
        <w:tc>
          <w:tcPr>
            <w:tcW w:w="2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4,646</w:t>
            </w:r>
          </w:p>
        </w:tc>
        <w:tc>
          <w:tcPr>
            <w:tcW w:w="0" w:type="dxa"/>
            <w:vAlign w:val="bottom"/>
          </w:tcPr>
          <w:p>
            <w:pPr>
              <w:spacing w:after="0"/>
              <w:rPr>
                <w:sz w:val="1"/>
                <w:szCs w:val="1"/>
                <w:color w:val="auto"/>
              </w:rPr>
            </w:pPr>
          </w:p>
        </w:tc>
      </w:tr>
      <w:tr>
        <w:trPr>
          <w:trHeight w:val="171"/>
        </w:trPr>
        <w:tc>
          <w:tcPr>
            <w:tcW w:w="876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 liabilities, net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28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277"/>
        </w:trPr>
        <w:tc>
          <w:tcPr>
            <w:tcW w:w="8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liabilities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$612,968</w:t>
            </w:r>
          </w:p>
        </w:tc>
        <w:tc>
          <w:tcPr>
            <w:tcW w:w="28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$1,271,117</w:t>
            </w:r>
          </w:p>
        </w:tc>
        <w:tc>
          <w:tcPr>
            <w:tcW w:w="0" w:type="dxa"/>
            <w:vAlign w:val="bottom"/>
          </w:tcPr>
          <w:p>
            <w:pPr>
              <w:spacing w:after="0"/>
              <w:rPr>
                <w:sz w:val="1"/>
                <w:szCs w:val="1"/>
                <w:color w:val="auto"/>
              </w:rPr>
            </w:pPr>
          </w:p>
        </w:tc>
      </w:tr>
      <w:tr>
        <w:trPr>
          <w:trHeight w:val="254"/>
        </w:trPr>
        <w:tc>
          <w:tcPr>
            <w:tcW w:w="876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4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8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Preferred stock, $0.001 par value, 5,000 authorized, no shares issued and outstanding at June 30, 2015 and 2016</w:t>
            </w:r>
          </w:p>
        </w:tc>
        <w:tc>
          <w:tcPr>
            <w:tcW w:w="142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Common stock, $0.001 par value, 155,000 shares authorized at June 30, 2015 and 2016, 50,703 and 51,132 shares issued and outstanding at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49"/>
        </w:trPr>
        <w:tc>
          <w:tcPr>
            <w:tcW w:w="876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June 30, 2015 and 2016, respectively</w:t>
            </w: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155,672</w:t>
            </w:r>
          </w:p>
        </w:tc>
        <w:tc>
          <w:tcPr>
            <w:tcW w:w="2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171,515</w:t>
            </w:r>
          </w:p>
        </w:tc>
        <w:tc>
          <w:tcPr>
            <w:tcW w:w="0" w:type="dxa"/>
            <w:vAlign w:val="bottom"/>
          </w:tcPr>
          <w:p>
            <w:pPr>
              <w:spacing w:after="0"/>
              <w:rPr>
                <w:sz w:val="1"/>
                <w:szCs w:val="1"/>
                <w:color w:val="auto"/>
              </w:rPr>
            </w:pPr>
          </w:p>
        </w:tc>
      </w:tr>
      <w:tr>
        <w:trPr>
          <w:trHeight w:val="149"/>
        </w:trPr>
        <w:tc>
          <w:tcPr>
            <w:tcW w:w="8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(48,143)</w:t>
            </w:r>
          </w:p>
        </w:tc>
        <w:tc>
          <w:tcPr>
            <w:tcW w:w="28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(51,994)</w:t>
            </w:r>
          </w:p>
        </w:tc>
        <w:tc>
          <w:tcPr>
            <w:tcW w:w="0" w:type="dxa"/>
            <w:vAlign w:val="bottom"/>
          </w:tcPr>
          <w:p>
            <w:pPr>
              <w:spacing w:after="0"/>
              <w:rPr>
                <w:sz w:val="1"/>
                <w:szCs w:val="1"/>
                <w:color w:val="auto"/>
              </w:rPr>
            </w:pPr>
          </w:p>
        </w:tc>
      </w:tr>
      <w:tr>
        <w:trPr>
          <w:trHeight w:val="23"/>
        </w:trPr>
        <w:tc>
          <w:tcPr>
            <w:tcW w:w="87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8760" w:type="dxa"/>
            <w:vAlign w:val="bottom"/>
            <w:vMerge w:val="continue"/>
          </w:tcPr>
          <w:p>
            <w:pPr>
              <w:spacing w:after="0"/>
              <w:rPr>
                <w:sz w:val="10"/>
                <w:szCs w:val="10"/>
                <w:color w:val="auto"/>
              </w:rPr>
            </w:pPr>
          </w:p>
        </w:tc>
        <w:tc>
          <w:tcPr>
            <w:tcW w:w="11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$107,580</w:t>
            </w:r>
          </w:p>
        </w:tc>
        <w:tc>
          <w:tcPr>
            <w:tcW w:w="280" w:type="dxa"/>
            <w:vAlign w:val="bottom"/>
          </w:tcPr>
          <w:p>
            <w:pPr>
              <w:spacing w:after="0"/>
              <w:rPr>
                <w:sz w:val="10"/>
                <w:szCs w:val="10"/>
                <w:color w:val="auto"/>
              </w:rPr>
            </w:pPr>
          </w:p>
        </w:tc>
        <w:tc>
          <w:tcPr>
            <w:tcW w:w="11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$119,572</w:t>
            </w:r>
          </w:p>
        </w:tc>
        <w:tc>
          <w:tcPr>
            <w:tcW w:w="0" w:type="dxa"/>
            <w:vAlign w:val="bottom"/>
          </w:tcPr>
          <w:p>
            <w:pPr>
              <w:spacing w:after="0"/>
              <w:rPr>
                <w:sz w:val="1"/>
                <w:szCs w:val="1"/>
                <w:color w:val="auto"/>
              </w:rPr>
            </w:pPr>
          </w:p>
        </w:tc>
      </w:tr>
      <w:tr>
        <w:trPr>
          <w:trHeight w:val="23"/>
        </w:trPr>
        <w:tc>
          <w:tcPr>
            <w:tcW w:w="876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8760" w:type="dxa"/>
            <w:vAlign w:val="bottom"/>
            <w:vMerge w:val="continue"/>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$720,548</w:t>
            </w:r>
          </w:p>
        </w:tc>
        <w:tc>
          <w:tcPr>
            <w:tcW w:w="280" w:type="dxa"/>
            <w:vAlign w:val="bottom"/>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$1,390,689</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60" w:type="dxa"/>
            <w:vAlign w:val="bottom"/>
          </w:tcPr>
          <w:p>
            <w:pPr>
              <w:spacing w:after="0"/>
              <w:rPr>
                <w:sz w:val="15"/>
                <w:szCs w:val="15"/>
                <w:color w:val="auto"/>
              </w:rPr>
            </w:pPr>
          </w:p>
        </w:tc>
        <w:tc>
          <w:tcPr>
            <w:tcW w:w="284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Pr>
          <w:p>
            <w:pPr>
              <w:spacing w:after="0"/>
              <w:rPr>
                <w:sz w:val="12"/>
                <w:szCs w:val="12"/>
                <w:color w:val="auto"/>
              </w:rPr>
            </w:pPr>
          </w:p>
        </w:tc>
        <w:tc>
          <w:tcPr>
            <w:tcW w:w="102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78"/>
        </w:trPr>
        <w:tc>
          <w:tcPr>
            <w:tcW w:w="766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Recurring fees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$100,362</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$142,168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$217,416</w:t>
            </w:r>
          </w:p>
        </w:tc>
        <w:tc>
          <w:tcPr>
            <w:tcW w:w="0" w:type="dxa"/>
            <w:vAlign w:val="bottom"/>
          </w:tcPr>
          <w:p>
            <w:pPr>
              <w:spacing w:after="0"/>
              <w:rPr>
                <w:sz w:val="1"/>
                <w:szCs w:val="1"/>
                <w:color w:val="auto"/>
              </w:rPr>
            </w:pPr>
          </w:p>
        </w:tc>
      </w:tr>
      <w:tr>
        <w:trPr>
          <w:trHeight w:val="234"/>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0" w:type="dxa"/>
            <w:vAlign w:val="bottom"/>
          </w:tcPr>
          <w:p>
            <w:pPr>
              <w:spacing w:after="0"/>
              <w:rPr>
                <w:sz w:val="1"/>
                <w:szCs w:val="1"/>
                <w:color w:val="auto"/>
              </w:rPr>
            </w:pPr>
          </w:p>
        </w:tc>
      </w:tr>
      <w:tr>
        <w:trPr>
          <w:trHeight w:val="407"/>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recurring revenues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101,944</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144,069</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220,104</w:t>
            </w:r>
          </w:p>
        </w:tc>
        <w:tc>
          <w:tcPr>
            <w:tcW w:w="0" w:type="dxa"/>
            <w:vAlign w:val="bottom"/>
          </w:tcPr>
          <w:p>
            <w:pPr>
              <w:spacing w:after="0"/>
              <w:rPr>
                <w:sz w:val="1"/>
                <w:szCs w:val="1"/>
                <w:color w:val="auto"/>
              </w:rPr>
            </w:pPr>
          </w:p>
        </w:tc>
      </w:tr>
      <w:tr>
        <w:trPr>
          <w:trHeight w:val="234"/>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8,629</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10,597</w:t>
            </w:r>
          </w:p>
        </w:tc>
        <w:tc>
          <w:tcPr>
            <w:tcW w:w="0" w:type="dxa"/>
            <w:vAlign w:val="bottom"/>
          </w:tcPr>
          <w:p>
            <w:pPr>
              <w:spacing w:after="0"/>
              <w:rPr>
                <w:sz w:val="1"/>
                <w:szCs w:val="1"/>
                <w:color w:val="auto"/>
              </w:rPr>
            </w:pPr>
          </w:p>
        </w:tc>
      </w:tr>
      <w:tr>
        <w:trPr>
          <w:trHeight w:val="407"/>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108,687</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152,698</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230,701</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Recurring revenues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37,319</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66,131</w:t>
            </w:r>
          </w:p>
        </w:tc>
        <w:tc>
          <w:tcPr>
            <w:tcW w:w="0" w:type="dxa"/>
            <w:vAlign w:val="bottom"/>
          </w:tcPr>
          <w:p>
            <w:pPr>
              <w:spacing w:after="0"/>
              <w:rPr>
                <w:sz w:val="1"/>
                <w:szCs w:val="1"/>
                <w:color w:val="auto"/>
              </w:rPr>
            </w:pPr>
          </w:p>
        </w:tc>
      </w:tr>
      <w:tr>
        <w:trPr>
          <w:trHeight w:val="234"/>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17,775</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24,530</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31,954</w:t>
            </w:r>
          </w:p>
        </w:tc>
        <w:tc>
          <w:tcPr>
            <w:tcW w:w="0" w:type="dxa"/>
            <w:vAlign w:val="bottom"/>
          </w:tcPr>
          <w:p>
            <w:pPr>
              <w:spacing w:after="0"/>
              <w:rPr>
                <w:sz w:val="1"/>
                <w:szCs w:val="1"/>
                <w:color w:val="auto"/>
              </w:rPr>
            </w:pPr>
          </w:p>
        </w:tc>
      </w:tr>
      <w:tr>
        <w:trPr>
          <w:trHeight w:val="42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55,094</w:t>
            </w:r>
          </w:p>
        </w:tc>
        <w:tc>
          <w:tcPr>
            <w:tcW w:w="28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70,896</w:t>
            </w: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98,085</w:t>
            </w:r>
          </w:p>
        </w:tc>
        <w:tc>
          <w:tcPr>
            <w:tcW w:w="0" w:type="dxa"/>
            <w:vAlign w:val="bottom"/>
          </w:tcPr>
          <w:p>
            <w:pPr>
              <w:spacing w:after="0"/>
              <w:rPr>
                <w:sz w:val="1"/>
                <w:szCs w:val="1"/>
                <w:color w:val="auto"/>
              </w:rPr>
            </w:pPr>
          </w:p>
        </w:tc>
      </w:tr>
      <w:tr>
        <w:trPr>
          <w:trHeight w:val="42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53,593</w:t>
            </w:r>
          </w:p>
        </w:tc>
        <w:tc>
          <w:tcPr>
            <w:tcW w:w="28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81,802</w:t>
            </w: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132,616</w:t>
            </w:r>
          </w:p>
        </w:tc>
        <w:tc>
          <w:tcPr>
            <w:tcW w:w="0" w:type="dxa"/>
            <w:vAlign w:val="bottom"/>
          </w:tcPr>
          <w:p>
            <w:pPr>
              <w:spacing w:after="0"/>
              <w:rPr>
                <w:sz w:val="1"/>
                <w:szCs w:val="1"/>
                <w:color w:val="auto"/>
              </w:rPr>
            </w:pPr>
          </w:p>
        </w:tc>
      </w:tr>
      <w:tr>
        <w:trPr>
          <w:trHeight w:val="178"/>
        </w:trPr>
        <w:tc>
          <w:tcPr>
            <w:tcW w:w="766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28,276</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61,832</w:t>
            </w: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10,355</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26,736</w:t>
            </w:r>
          </w:p>
        </w:tc>
        <w:tc>
          <w:tcPr>
            <w:tcW w:w="0" w:type="dxa"/>
            <w:vAlign w:val="bottom"/>
          </w:tcPr>
          <w:p>
            <w:pPr>
              <w:spacing w:after="0"/>
              <w:rPr>
                <w:sz w:val="1"/>
                <w:szCs w:val="1"/>
                <w:color w:val="auto"/>
              </w:rPr>
            </w:pPr>
          </w:p>
        </w:tc>
      </w:tr>
      <w:tr>
        <w:trPr>
          <w:trHeight w:val="234"/>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21,980</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32,824</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47,598</w:t>
            </w:r>
          </w:p>
        </w:tc>
        <w:tc>
          <w:tcPr>
            <w:tcW w:w="0" w:type="dxa"/>
            <w:vAlign w:val="bottom"/>
          </w:tcPr>
          <w:p>
            <w:pPr>
              <w:spacing w:after="0"/>
              <w:rPr>
                <w:sz w:val="1"/>
                <w:szCs w:val="1"/>
                <w:color w:val="auto"/>
              </w:rPr>
            </w:pPr>
          </w:p>
        </w:tc>
      </w:tr>
      <w:tr>
        <w:trPr>
          <w:trHeight w:val="42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60,611</w:t>
            </w:r>
          </w:p>
        </w:tc>
        <w:tc>
          <w:tcPr>
            <w:tcW w:w="28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95,723</w:t>
            </w: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136,166</w:t>
            </w:r>
          </w:p>
        </w:tc>
        <w:tc>
          <w:tcPr>
            <w:tcW w:w="0" w:type="dxa"/>
            <w:vAlign w:val="bottom"/>
          </w:tcPr>
          <w:p>
            <w:pPr>
              <w:spacing w:after="0"/>
              <w:rPr>
                <w:sz w:val="1"/>
                <w:szCs w:val="1"/>
                <w:color w:val="auto"/>
              </w:rPr>
            </w:pPr>
          </w:p>
        </w:tc>
      </w:tr>
      <w:tr>
        <w:trPr>
          <w:trHeight w:val="407"/>
        </w:trPr>
        <w:tc>
          <w:tcPr>
            <w:tcW w:w="7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Operating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(7,018)</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407"/>
        </w:trPr>
        <w:tc>
          <w:tcPr>
            <w:tcW w:w="7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(13,867)</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42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28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$(13,972)</w:t>
            </w: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$(9,392)</w:t>
            </w:r>
          </w:p>
        </w:tc>
        <w:tc>
          <w:tcPr>
            <w:tcW w:w="28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$(13,972)</w:t>
            </w: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76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$(0.26)</w:t>
            </w: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common stockholders:</w:t>
            </w: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76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36,707</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50,127</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50,913</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36,707</w:t>
            </w: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50,127</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50,913</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Convertible Preferred Stock and Stockholders’ Equity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ectPr>
          <w:pgSz w:w="11900" w:h="16861" w:orient="portrait"/>
          <w:cols w:equalWidth="0" w:num="1">
            <w:col w:w="11320"/>
          </w:cols>
          <w:pgMar w:left="240" w:top="239" w:right="339" w:bottom="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2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Stockholders’ Equity (Deficit)</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vMerge w:val="continue"/>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60" w:type="dxa"/>
            <w:vAlign w:val="bottom"/>
          </w:tcPr>
          <w:p>
            <w:pPr>
              <w:spacing w:after="0"/>
              <w:rPr>
                <w:sz w:val="10"/>
                <w:szCs w:val="10"/>
                <w:color w:val="auto"/>
              </w:rPr>
            </w:pPr>
          </w:p>
        </w:tc>
        <w:tc>
          <w:tcPr>
            <w:tcW w:w="1740" w:type="dxa"/>
            <w:vAlign w:val="bottom"/>
            <w:gridSpan w:val="4"/>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720" w:type="dxa"/>
            <w:vAlign w:val="bottom"/>
            <w:gridSpan w:val="4"/>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740" w:type="dxa"/>
            <w:vAlign w:val="bottom"/>
            <w:gridSpan w:val="4"/>
            <w:vMerge w:val="continue"/>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1540" w:type="dxa"/>
            <w:vAlign w:val="bottom"/>
            <w:gridSpan w:val="3"/>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1560" w:type="dxa"/>
            <w:vAlign w:val="bottom"/>
            <w:tcBorders>
              <w:bottom w:val="single" w:sz="8" w:color="auto"/>
            </w:tcBorders>
            <w:gridSpan w:val="3"/>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80" w:type="dxa"/>
            <w:vAlign w:val="bottom"/>
          </w:tcPr>
          <w:p>
            <w:pPr>
              <w:spacing w:after="0"/>
              <w:rPr>
                <w:sz w:val="15"/>
                <w:szCs w:val="15"/>
                <w:color w:val="auto"/>
              </w:rPr>
            </w:pPr>
          </w:p>
        </w:tc>
        <w:tc>
          <w:tcPr>
            <w:tcW w:w="1540" w:type="dxa"/>
            <w:vAlign w:val="bottom"/>
            <w:tcBorders>
              <w:bottom w:val="single" w:sz="8" w:color="auto"/>
            </w:tcBorders>
            <w:gridSpan w:val="3"/>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80" w:type="dxa"/>
            <w:vAlign w:val="bottom"/>
          </w:tcPr>
          <w:p>
            <w:pPr>
              <w:spacing w:after="0"/>
              <w:rPr>
                <w:sz w:val="15"/>
                <w:szCs w:val="15"/>
                <w:color w:val="auto"/>
              </w:rPr>
            </w:pPr>
          </w:p>
        </w:tc>
        <w:tc>
          <w:tcPr>
            <w:tcW w:w="1540" w:type="dxa"/>
            <w:vAlign w:val="bottom"/>
            <w:tcBorders>
              <w:bottom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2"/>
            <w:vMerge w:val="continue"/>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Balances at June 30, 2013</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19"/>
        </w:trPr>
        <w:tc>
          <w:tcPr>
            <w:tcW w:w="2760" w:type="dxa"/>
            <w:vAlign w:val="bottom"/>
            <w:vMerge w:val="continue"/>
          </w:tcPr>
          <w:p>
            <w:pPr>
              <w:spacing w:after="0"/>
              <w:rPr>
                <w:sz w:val="10"/>
                <w:szCs w:val="10"/>
                <w:color w:val="auto"/>
              </w:rPr>
            </w:pPr>
          </w:p>
        </w:tc>
        <w:tc>
          <w:tcPr>
            <w:tcW w:w="7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9,500</w:t>
            </w:r>
          </w:p>
        </w:tc>
        <w:tc>
          <w:tcPr>
            <w:tcW w:w="160" w:type="dxa"/>
            <w:vAlign w:val="bottom"/>
          </w:tcPr>
          <w:p>
            <w:pPr>
              <w:spacing w:after="0"/>
              <w:rPr>
                <w:sz w:val="10"/>
                <w:szCs w:val="10"/>
                <w:color w:val="auto"/>
              </w:rPr>
            </w:pPr>
          </w:p>
        </w:tc>
        <w:tc>
          <w:tcPr>
            <w:tcW w:w="7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$9,339</w:t>
            </w:r>
          </w:p>
        </w:tc>
        <w:tc>
          <w:tcPr>
            <w:tcW w:w="180" w:type="dxa"/>
            <w:vAlign w:val="bottom"/>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8,400</w:t>
            </w:r>
          </w:p>
        </w:tc>
        <w:tc>
          <w:tcPr>
            <w:tcW w:w="180" w:type="dxa"/>
            <w:vAlign w:val="bottom"/>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$27,234</w:t>
            </w:r>
          </w:p>
        </w:tc>
        <w:tc>
          <w:tcPr>
            <w:tcW w:w="180" w:type="dxa"/>
            <w:vAlign w:val="bottom"/>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31,988</w:t>
            </w:r>
          </w:p>
        </w:tc>
        <w:tc>
          <w:tcPr>
            <w:tcW w:w="180" w:type="dxa"/>
            <w:vAlign w:val="bottom"/>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$32</w:t>
            </w:r>
          </w:p>
        </w:tc>
        <w:tc>
          <w:tcPr>
            <w:tcW w:w="160" w:type="dxa"/>
            <w:vAlign w:val="bottom"/>
          </w:tcPr>
          <w:p>
            <w:pPr>
              <w:spacing w:after="0"/>
              <w:rPr>
                <w:sz w:val="10"/>
                <w:szCs w:val="10"/>
                <w:color w:val="auto"/>
              </w:rPr>
            </w:pPr>
          </w:p>
        </w:tc>
        <w:tc>
          <w:tcPr>
            <w:tcW w:w="9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$437</w:t>
            </w:r>
          </w:p>
        </w:tc>
        <w:tc>
          <w:tcPr>
            <w:tcW w:w="160" w:type="dxa"/>
            <w:vAlign w:val="bottom"/>
          </w:tcPr>
          <w:p>
            <w:pPr>
              <w:spacing w:after="0"/>
              <w:rPr>
                <w:sz w:val="10"/>
                <w:szCs w:val="10"/>
                <w:color w:val="auto"/>
              </w:rPr>
            </w:pPr>
          </w:p>
        </w:tc>
        <w:tc>
          <w:tcPr>
            <w:tcW w:w="10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$(27,061)</w:t>
            </w:r>
          </w:p>
        </w:tc>
        <w:tc>
          <w:tcPr>
            <w:tcW w:w="160" w:type="dxa"/>
            <w:vAlign w:val="bottom"/>
          </w:tcPr>
          <w:p>
            <w:pPr>
              <w:spacing w:after="0"/>
              <w:rPr>
                <w:sz w:val="10"/>
                <w:szCs w:val="10"/>
                <w:color w:val="auto"/>
              </w:rPr>
            </w:pPr>
          </w:p>
        </w:tc>
        <w:tc>
          <w:tcPr>
            <w:tcW w:w="11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$(26,592)</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Initial public offering, net of issuance costs</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5,367</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81,921</w:t>
            </w:r>
          </w:p>
        </w:tc>
        <w:tc>
          <w:tcPr>
            <w:tcW w:w="16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81,927</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Conversion of redeemable convertible</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(9,500)</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(9,339)</w:t>
            </w: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(8,400)</w:t>
            </w: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(27,234)</w:t>
            </w: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11,933</w:t>
            </w: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36,561</w:t>
            </w:r>
          </w:p>
        </w:tc>
        <w:tc>
          <w:tcPr>
            <w:tcW w:w="160" w:type="dxa"/>
            <w:vAlign w:val="bottom"/>
          </w:tcPr>
          <w:p>
            <w:pPr>
              <w:spacing w:after="0"/>
              <w:rPr>
                <w:sz w:val="12"/>
                <w:szCs w:val="12"/>
                <w:color w:val="auto"/>
              </w:rPr>
            </w:pP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36,573</w:t>
            </w:r>
          </w:p>
        </w:tc>
        <w:tc>
          <w:tcPr>
            <w:tcW w:w="0" w:type="dxa"/>
            <w:vAlign w:val="bottom"/>
          </w:tcPr>
          <w:p>
            <w:pPr>
              <w:spacing w:after="0"/>
              <w:rPr>
                <w:sz w:val="1"/>
                <w:szCs w:val="1"/>
                <w:color w:val="auto"/>
              </w:rPr>
            </w:pPr>
          </w:p>
        </w:tc>
      </w:tr>
      <w:tr>
        <w:trPr>
          <w:trHeight w:val="149"/>
        </w:trPr>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preferred stock</w:t>
            </w: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contribution</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1,052</w:t>
            </w:r>
          </w:p>
        </w:tc>
        <w:tc>
          <w:tcPr>
            <w:tcW w:w="16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1,052</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shares</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5,284</w:t>
            </w:r>
          </w:p>
        </w:tc>
        <w:tc>
          <w:tcPr>
            <w:tcW w:w="16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5,284</w:t>
            </w:r>
          </w:p>
        </w:tc>
        <w:tc>
          <w:tcPr>
            <w:tcW w:w="0" w:type="dxa"/>
            <w:vAlign w:val="bottom"/>
          </w:tcPr>
          <w:p>
            <w:pPr>
              <w:spacing w:after="0"/>
              <w:rPr>
                <w:sz w:val="1"/>
                <w:szCs w:val="1"/>
                <w:color w:val="auto"/>
              </w:rPr>
            </w:pPr>
          </w:p>
        </w:tc>
      </w:tr>
      <w:tr>
        <w:trPr>
          <w:trHeight w:val="147"/>
        </w:trPr>
        <w:tc>
          <w:tcPr>
            <w:tcW w:w="27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Net loss</w:t>
            </w:r>
          </w:p>
        </w:tc>
        <w:tc>
          <w:tcPr>
            <w:tcW w:w="86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(7,110)</w:t>
            </w:r>
          </w:p>
        </w:tc>
        <w:tc>
          <w:tcPr>
            <w:tcW w:w="160" w:type="dxa"/>
            <w:vAlign w:val="bottom"/>
          </w:tcPr>
          <w:p>
            <w:pPr>
              <w:spacing w:after="0"/>
              <w:rPr>
                <w:sz w:val="12"/>
                <w:szCs w:val="12"/>
                <w:color w:val="auto"/>
              </w:rPr>
            </w:pPr>
          </w:p>
        </w:tc>
        <w:tc>
          <w:tcPr>
            <w:tcW w:w="11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(7,110)</w:t>
            </w:r>
          </w:p>
        </w:tc>
        <w:tc>
          <w:tcPr>
            <w:tcW w:w="0" w:type="dxa"/>
            <w:vAlign w:val="bottom"/>
          </w:tcPr>
          <w:p>
            <w:pPr>
              <w:spacing w:after="0"/>
              <w:rPr>
                <w:sz w:val="1"/>
                <w:szCs w:val="1"/>
                <w:color w:val="auto"/>
              </w:rPr>
            </w:pPr>
          </w:p>
        </w:tc>
      </w:tr>
      <w:tr>
        <w:trPr>
          <w:trHeight w:val="25"/>
        </w:trPr>
        <w:tc>
          <w:tcPr>
            <w:tcW w:w="2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Balances at June 30, 2014</w:t>
            </w:r>
          </w:p>
        </w:tc>
        <w:tc>
          <w:tcPr>
            <w:tcW w:w="7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760" w:type="dxa"/>
            <w:vAlign w:val="bottom"/>
            <w:vMerge w:val="continue"/>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continue"/>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continue"/>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continue"/>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continue"/>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49,564</w:t>
            </w:r>
          </w:p>
        </w:tc>
        <w:tc>
          <w:tcPr>
            <w:tcW w:w="18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$50</w:t>
            </w:r>
          </w:p>
        </w:tc>
        <w:tc>
          <w:tcPr>
            <w:tcW w:w="160" w:type="dxa"/>
            <w:vAlign w:val="bottom"/>
            <w:vMerge w:val="continue"/>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$125,255</w:t>
            </w:r>
          </w:p>
        </w:tc>
        <w:tc>
          <w:tcPr>
            <w:tcW w:w="16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$(34, 171)</w:t>
            </w:r>
          </w:p>
        </w:tc>
        <w:tc>
          <w:tcPr>
            <w:tcW w:w="160" w:type="dxa"/>
            <w:vAlign w:val="bottom"/>
          </w:tcPr>
          <w:p>
            <w:pPr>
              <w:spacing w:after="0"/>
              <w:rPr>
                <w:sz w:val="10"/>
                <w:szCs w:val="10"/>
                <w:color w:val="auto"/>
              </w:rPr>
            </w:pPr>
          </w:p>
        </w:tc>
        <w:tc>
          <w:tcPr>
            <w:tcW w:w="11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$91,134</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Follow-on offering, net of issuance costs</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18,366</w:t>
            </w:r>
          </w:p>
        </w:tc>
        <w:tc>
          <w:tcPr>
            <w:tcW w:w="16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18,367</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13,824</w:t>
            </w:r>
          </w:p>
        </w:tc>
        <w:tc>
          <w:tcPr>
            <w:tcW w:w="16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13,824</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options exercised</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452</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4,335</w:t>
            </w:r>
          </w:p>
        </w:tc>
        <w:tc>
          <w:tcPr>
            <w:tcW w:w="16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4,335</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upon vesting of</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stock units</w:t>
            </w:r>
          </w:p>
        </w:tc>
        <w:tc>
          <w:tcPr>
            <w:tcW w:w="8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employee</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160" w:type="dxa"/>
            <w:vAlign w:val="bottom"/>
          </w:tcPr>
          <w:p>
            <w:pPr>
              <w:spacing w:after="0"/>
              <w:rPr>
                <w:sz w:val="12"/>
                <w:szCs w:val="12"/>
                <w:color w:val="auto"/>
              </w:rPr>
            </w:pP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0" w:type="dxa"/>
            <w:vAlign w:val="bottom"/>
          </w:tcPr>
          <w:p>
            <w:pPr>
              <w:spacing w:after="0"/>
              <w:rPr>
                <w:sz w:val="1"/>
                <w:szCs w:val="1"/>
                <w:color w:val="auto"/>
              </w:rPr>
            </w:pPr>
          </w:p>
        </w:tc>
      </w:tr>
      <w:tr>
        <w:trPr>
          <w:trHeight w:val="149"/>
        </w:trPr>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 purchase plan</w:t>
            </w:r>
          </w:p>
        </w:tc>
        <w:tc>
          <w:tcPr>
            <w:tcW w:w="8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settlement for taxes and/or exercise</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(7,881)</w:t>
            </w:r>
          </w:p>
        </w:tc>
        <w:tc>
          <w:tcPr>
            <w:tcW w:w="160" w:type="dxa"/>
            <w:vAlign w:val="bottom"/>
          </w:tcPr>
          <w:p>
            <w:pPr>
              <w:spacing w:after="0"/>
              <w:rPr>
                <w:sz w:val="12"/>
                <w:szCs w:val="12"/>
                <w:color w:val="auto"/>
              </w:rPr>
            </w:pP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(7,881)</w:t>
            </w:r>
          </w:p>
        </w:tc>
        <w:tc>
          <w:tcPr>
            <w:tcW w:w="0" w:type="dxa"/>
            <w:vAlign w:val="bottom"/>
          </w:tcPr>
          <w:p>
            <w:pPr>
              <w:spacing w:after="0"/>
              <w:rPr>
                <w:sz w:val="1"/>
                <w:szCs w:val="1"/>
                <w:color w:val="auto"/>
              </w:rPr>
            </w:pPr>
          </w:p>
        </w:tc>
      </w:tr>
      <w:tr>
        <w:trPr>
          <w:trHeight w:val="149"/>
        </w:trPr>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price related to equity awards</w:t>
            </w:r>
          </w:p>
        </w:tc>
        <w:tc>
          <w:tcPr>
            <w:tcW w:w="8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Net loss</w:t>
            </w:r>
          </w:p>
        </w:tc>
        <w:tc>
          <w:tcPr>
            <w:tcW w:w="86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(13,972)</w:t>
            </w:r>
          </w:p>
        </w:tc>
        <w:tc>
          <w:tcPr>
            <w:tcW w:w="160" w:type="dxa"/>
            <w:vAlign w:val="bottom"/>
          </w:tcPr>
          <w:p>
            <w:pPr>
              <w:spacing w:after="0"/>
              <w:rPr>
                <w:sz w:val="12"/>
                <w:szCs w:val="12"/>
                <w:color w:val="auto"/>
              </w:rPr>
            </w:pPr>
          </w:p>
        </w:tc>
        <w:tc>
          <w:tcPr>
            <w:tcW w:w="11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(13,972)</w:t>
            </w:r>
          </w:p>
        </w:tc>
        <w:tc>
          <w:tcPr>
            <w:tcW w:w="0" w:type="dxa"/>
            <w:vAlign w:val="bottom"/>
          </w:tcPr>
          <w:p>
            <w:pPr>
              <w:spacing w:after="0"/>
              <w:rPr>
                <w:sz w:val="1"/>
                <w:szCs w:val="1"/>
                <w:color w:val="auto"/>
              </w:rPr>
            </w:pPr>
          </w:p>
        </w:tc>
      </w:tr>
      <w:tr>
        <w:trPr>
          <w:trHeight w:val="25"/>
        </w:trPr>
        <w:tc>
          <w:tcPr>
            <w:tcW w:w="2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Balances at June 30, 2015</w:t>
            </w:r>
          </w:p>
        </w:tc>
        <w:tc>
          <w:tcPr>
            <w:tcW w:w="7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760" w:type="dxa"/>
            <w:vAlign w:val="bottom"/>
            <w:vMerge w:val="continue"/>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continue"/>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continue"/>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continue"/>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continue"/>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50,703</w:t>
            </w:r>
          </w:p>
        </w:tc>
        <w:tc>
          <w:tcPr>
            <w:tcW w:w="18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$51</w:t>
            </w:r>
          </w:p>
        </w:tc>
        <w:tc>
          <w:tcPr>
            <w:tcW w:w="160" w:type="dxa"/>
            <w:vAlign w:val="bottom"/>
            <w:vMerge w:val="continue"/>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$155,672</w:t>
            </w:r>
          </w:p>
        </w:tc>
        <w:tc>
          <w:tcPr>
            <w:tcW w:w="16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$(48,143)</w:t>
            </w:r>
          </w:p>
        </w:tc>
        <w:tc>
          <w:tcPr>
            <w:tcW w:w="160" w:type="dxa"/>
            <w:vAlign w:val="bottom"/>
          </w:tcPr>
          <w:p>
            <w:pPr>
              <w:spacing w:after="0"/>
              <w:rPr>
                <w:sz w:val="10"/>
                <w:szCs w:val="10"/>
                <w:color w:val="auto"/>
              </w:rPr>
            </w:pPr>
          </w:p>
        </w:tc>
        <w:tc>
          <w:tcPr>
            <w:tcW w:w="11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$107,580</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18,641</w:t>
            </w:r>
          </w:p>
        </w:tc>
        <w:tc>
          <w:tcPr>
            <w:tcW w:w="16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18,641</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options exercised</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536</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6,197</w:t>
            </w:r>
          </w:p>
        </w:tc>
        <w:tc>
          <w:tcPr>
            <w:tcW w:w="16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6,197</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upon vesting of</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restricted stock units</w:t>
            </w:r>
          </w:p>
        </w:tc>
        <w:tc>
          <w:tcPr>
            <w:tcW w:w="8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employee</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2,991</w:t>
            </w:r>
          </w:p>
        </w:tc>
        <w:tc>
          <w:tcPr>
            <w:tcW w:w="160" w:type="dxa"/>
            <w:vAlign w:val="bottom"/>
          </w:tcPr>
          <w:p>
            <w:pPr>
              <w:spacing w:after="0"/>
              <w:rPr>
                <w:sz w:val="12"/>
                <w:szCs w:val="12"/>
                <w:color w:val="auto"/>
              </w:rPr>
            </w:pP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2,991</w:t>
            </w:r>
          </w:p>
        </w:tc>
        <w:tc>
          <w:tcPr>
            <w:tcW w:w="0" w:type="dxa"/>
            <w:vAlign w:val="bottom"/>
          </w:tcPr>
          <w:p>
            <w:pPr>
              <w:spacing w:after="0"/>
              <w:rPr>
                <w:sz w:val="1"/>
                <w:szCs w:val="1"/>
                <w:color w:val="auto"/>
              </w:rPr>
            </w:pPr>
          </w:p>
        </w:tc>
      </w:tr>
      <w:tr>
        <w:trPr>
          <w:trHeight w:val="149"/>
        </w:trPr>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 purchase plan</w:t>
            </w:r>
          </w:p>
        </w:tc>
        <w:tc>
          <w:tcPr>
            <w:tcW w:w="8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settlement for taxes and/or exercise</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(11,986)</w:t>
            </w:r>
          </w:p>
        </w:tc>
        <w:tc>
          <w:tcPr>
            <w:tcW w:w="160" w:type="dxa"/>
            <w:vAlign w:val="bottom"/>
          </w:tcPr>
          <w:p>
            <w:pPr>
              <w:spacing w:after="0"/>
              <w:rPr>
                <w:sz w:val="12"/>
                <w:szCs w:val="12"/>
                <w:color w:val="auto"/>
              </w:rPr>
            </w:pP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(11,986)</w:t>
            </w:r>
          </w:p>
        </w:tc>
        <w:tc>
          <w:tcPr>
            <w:tcW w:w="0" w:type="dxa"/>
            <w:vAlign w:val="bottom"/>
          </w:tcPr>
          <w:p>
            <w:pPr>
              <w:spacing w:after="0"/>
              <w:rPr>
                <w:sz w:val="1"/>
                <w:szCs w:val="1"/>
                <w:color w:val="auto"/>
              </w:rPr>
            </w:pPr>
          </w:p>
        </w:tc>
      </w:tr>
      <w:tr>
        <w:trPr>
          <w:trHeight w:val="149"/>
        </w:trPr>
        <w:tc>
          <w:tcPr>
            <w:tcW w:w="2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price related to equity awards</w:t>
            </w:r>
          </w:p>
        </w:tc>
        <w:tc>
          <w:tcPr>
            <w:tcW w:w="8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Net loss</w:t>
            </w:r>
          </w:p>
        </w:tc>
        <w:tc>
          <w:tcPr>
            <w:tcW w:w="86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(3,851)</w:t>
            </w:r>
          </w:p>
        </w:tc>
        <w:tc>
          <w:tcPr>
            <w:tcW w:w="160" w:type="dxa"/>
            <w:vAlign w:val="bottom"/>
          </w:tcPr>
          <w:p>
            <w:pPr>
              <w:spacing w:after="0"/>
              <w:rPr>
                <w:sz w:val="12"/>
                <w:szCs w:val="12"/>
                <w:color w:val="auto"/>
              </w:rPr>
            </w:pPr>
          </w:p>
        </w:tc>
        <w:tc>
          <w:tcPr>
            <w:tcW w:w="11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(3,851)</w:t>
            </w:r>
          </w:p>
        </w:tc>
        <w:tc>
          <w:tcPr>
            <w:tcW w:w="0" w:type="dxa"/>
            <w:vAlign w:val="bottom"/>
          </w:tcPr>
          <w:p>
            <w:pPr>
              <w:spacing w:after="0"/>
              <w:rPr>
                <w:sz w:val="1"/>
                <w:szCs w:val="1"/>
                <w:color w:val="auto"/>
              </w:rPr>
            </w:pPr>
          </w:p>
        </w:tc>
      </w:tr>
      <w:tr>
        <w:trPr>
          <w:trHeight w:val="25"/>
        </w:trPr>
        <w:tc>
          <w:tcPr>
            <w:tcW w:w="2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Balances at June 30, 2016</w:t>
            </w:r>
          </w:p>
        </w:tc>
        <w:tc>
          <w:tcPr>
            <w:tcW w:w="7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760" w:type="dxa"/>
            <w:vAlign w:val="bottom"/>
            <w:vMerge w:val="continue"/>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continue"/>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continue"/>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continue"/>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continue"/>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51,132</w:t>
            </w:r>
          </w:p>
        </w:tc>
        <w:tc>
          <w:tcPr>
            <w:tcW w:w="18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w:t>
            </w:r>
          </w:p>
        </w:tc>
        <w:tc>
          <w:tcPr>
            <w:tcW w:w="160" w:type="dxa"/>
            <w:vAlign w:val="bottom"/>
            <w:vMerge w:val="continue"/>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$171,515</w:t>
            </w:r>
          </w:p>
        </w:tc>
        <w:tc>
          <w:tcPr>
            <w:tcW w:w="16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$(51,994)</w:t>
            </w:r>
          </w:p>
        </w:tc>
        <w:tc>
          <w:tcPr>
            <w:tcW w:w="160" w:type="dxa"/>
            <w:vAlign w:val="bottom"/>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$119,572</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60" w:type="dxa"/>
            <w:vAlign w:val="bottom"/>
          </w:tcPr>
          <w:p>
            <w:pPr>
              <w:spacing w:after="0"/>
              <w:rPr>
                <w:sz w:val="15"/>
                <w:szCs w:val="15"/>
                <w:color w:val="auto"/>
              </w:rPr>
            </w:pPr>
          </w:p>
        </w:tc>
        <w:tc>
          <w:tcPr>
            <w:tcW w:w="282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Pr>
          <w:p>
            <w:pPr>
              <w:spacing w:after="0"/>
              <w:rPr>
                <w:sz w:val="15"/>
                <w:szCs w:val="15"/>
                <w:color w:val="auto"/>
              </w:rPr>
            </w:pP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6"/>
        </w:trPr>
        <w:tc>
          <w:tcPr>
            <w:tcW w:w="766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4"/>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$(13,972)</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17,563</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13,873</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disposal of equipment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16"/>
        </w:trPr>
        <w:tc>
          <w:tcPr>
            <w:tcW w:w="7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Prepaid expenses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0" w:type="dxa"/>
            <w:vAlign w:val="bottom"/>
          </w:tcPr>
          <w:p>
            <w:pPr>
              <w:spacing w:after="0"/>
              <w:rPr>
                <w:sz w:val="1"/>
                <w:szCs w:val="1"/>
                <w:color w:val="auto"/>
              </w:rPr>
            </w:pPr>
          </w:p>
        </w:tc>
      </w:tr>
      <w:tr>
        <w:trPr>
          <w:trHeight w:val="216"/>
        </w:trPr>
        <w:tc>
          <w:tcPr>
            <w:tcW w:w="7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Trade accounts payable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4"/>
        </w:trPr>
        <w:tc>
          <w:tcPr>
            <w:tcW w:w="7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expenses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0" w:type="dxa"/>
            <w:vAlign w:val="bottom"/>
          </w:tcPr>
          <w:p>
            <w:pPr>
              <w:spacing w:after="0"/>
              <w:rPr>
                <w:sz w:val="1"/>
                <w:szCs w:val="1"/>
                <w:color w:val="auto"/>
              </w:rPr>
            </w:pPr>
          </w:p>
        </w:tc>
      </w:tr>
      <w:tr>
        <w:trPr>
          <w:trHeight w:val="228"/>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32,993</w:t>
            </w:r>
          </w:p>
        </w:tc>
        <w:tc>
          <w:tcPr>
            <w:tcW w:w="0" w:type="dxa"/>
            <w:vAlign w:val="bottom"/>
          </w:tcPr>
          <w:p>
            <w:pPr>
              <w:spacing w:after="0"/>
              <w:rPr>
                <w:sz w:val="1"/>
                <w:szCs w:val="1"/>
                <w:color w:val="auto"/>
              </w:rPr>
            </w:pPr>
          </w:p>
        </w:tc>
      </w:tr>
      <w:tr>
        <w:trPr>
          <w:trHeight w:val="39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(16,083)</w:t>
            </w: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for acquisitions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34"/>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funds held for clients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(61,356)</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(173,958)</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(648,403)</w:t>
            </w:r>
          </w:p>
        </w:tc>
        <w:tc>
          <w:tcPr>
            <w:tcW w:w="0" w:type="dxa"/>
            <w:vAlign w:val="bottom"/>
          </w:tcPr>
          <w:p>
            <w:pPr>
              <w:spacing w:after="0"/>
              <w:rPr>
                <w:sz w:val="1"/>
                <w:szCs w:val="1"/>
                <w:color w:val="auto"/>
              </w:rPr>
            </w:pPr>
          </w:p>
        </w:tc>
      </w:tr>
      <w:tr>
        <w:trPr>
          <w:trHeight w:val="228"/>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(78,822)</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(199,172)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(673,360)</w:t>
            </w:r>
          </w:p>
        </w:tc>
        <w:tc>
          <w:tcPr>
            <w:tcW w:w="0" w:type="dxa"/>
            <w:vAlign w:val="bottom"/>
          </w:tcPr>
          <w:p>
            <w:pPr>
              <w:spacing w:after="0"/>
              <w:rPr>
                <w:sz w:val="1"/>
                <w:szCs w:val="1"/>
                <w:color w:val="auto"/>
              </w:rPr>
            </w:pPr>
          </w:p>
        </w:tc>
      </w:tr>
      <w:tr>
        <w:trPr>
          <w:trHeight w:val="39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client funds obligation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61,356</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173,958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648,403</w:t>
            </w: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280" w:type="dxa"/>
            <w:vAlign w:val="bottom"/>
          </w:tcPr>
          <w:p>
            <w:pPr>
              <w:spacing w:after="0"/>
              <w:rPr>
                <w:sz w:val="18"/>
                <w:szCs w:val="18"/>
                <w:color w:val="auto"/>
              </w:rPr>
            </w:pPr>
          </w:p>
        </w:tc>
        <w:tc>
          <w:tcPr>
            <w:tcW w:w="15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initial public offering, net of issuance costs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82,032</w:t>
            </w:r>
          </w:p>
        </w:tc>
        <w:tc>
          <w:tcPr>
            <w:tcW w:w="280" w:type="dxa"/>
            <w:vAlign w:val="bottom"/>
          </w:tcPr>
          <w:p>
            <w:pPr>
              <w:spacing w:after="0"/>
              <w:rPr>
                <w:sz w:val="18"/>
                <w:szCs w:val="18"/>
                <w:color w:val="auto"/>
              </w:rPr>
            </w:pPr>
          </w:p>
        </w:tc>
        <w:tc>
          <w:tcPr>
            <w:tcW w:w="15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follow-on offering, net of issuance costs</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initial public offering costs</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contribution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80" w:type="dxa"/>
            <w:vAlign w:val="bottom"/>
          </w:tcPr>
          <w:p>
            <w:pPr>
              <w:spacing w:after="0"/>
              <w:rPr>
                <w:sz w:val="18"/>
                <w:szCs w:val="18"/>
                <w:color w:val="auto"/>
              </w:rPr>
            </w:pPr>
          </w:p>
        </w:tc>
        <w:tc>
          <w:tcPr>
            <w:tcW w:w="15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0" w:type="dxa"/>
            <w:vAlign w:val="bottom"/>
          </w:tcPr>
          <w:p>
            <w:pPr>
              <w:spacing w:after="0"/>
              <w:rPr>
                <w:sz w:val="1"/>
                <w:szCs w:val="1"/>
                <w:color w:val="auto"/>
              </w:rPr>
            </w:pPr>
          </w:p>
        </w:tc>
      </w:tr>
      <w:tr>
        <w:trPr>
          <w:trHeight w:val="234"/>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0" w:type="dxa"/>
            <w:vAlign w:val="bottom"/>
          </w:tcPr>
          <w:p>
            <w:pPr>
              <w:spacing w:after="0"/>
              <w:rPr>
                <w:sz w:val="1"/>
                <w:szCs w:val="1"/>
                <w:color w:val="auto"/>
              </w:rPr>
            </w:pPr>
          </w:p>
        </w:tc>
      </w:tr>
      <w:tr>
        <w:trPr>
          <w:trHeight w:val="210"/>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142,877</w:t>
            </w:r>
          </w:p>
        </w:tc>
        <w:tc>
          <w:tcPr>
            <w:tcW w:w="2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190,477</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645,605</w:t>
            </w:r>
          </w:p>
        </w:tc>
        <w:tc>
          <w:tcPr>
            <w:tcW w:w="0" w:type="dxa"/>
            <w:vAlign w:val="bottom"/>
          </w:tcPr>
          <w:p>
            <w:pPr>
              <w:spacing w:after="0"/>
              <w:rPr>
                <w:sz w:val="1"/>
                <w:szCs w:val="1"/>
                <w:color w:val="auto"/>
              </w:rPr>
            </w:pPr>
          </w:p>
        </w:tc>
      </w:tr>
      <w:tr>
        <w:trPr>
          <w:trHeight w:val="228"/>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71,254</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0" w:type="dxa"/>
            <w:vAlign w:val="bottom"/>
          </w:tcPr>
          <w:p>
            <w:pPr>
              <w:spacing w:after="0"/>
              <w:rPr>
                <w:sz w:val="1"/>
                <w:szCs w:val="1"/>
                <w:color w:val="auto"/>
              </w:rPr>
            </w:pPr>
          </w:p>
        </w:tc>
      </w:tr>
    </w:tbl>
    <w:p>
      <w:pPr>
        <w:sectPr>
          <w:pgSz w:w="11900" w:h="16838" w:orient="portrait"/>
          <w:cols w:equalWidth="0" w:num="1">
            <w:col w:w="11320"/>
          </w:cols>
          <w:pgMar w:left="240" w:top="318" w:right="339"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Equivalents—Beginning of Year</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78,848</w:t>
            </w:r>
          </w:p>
        </w:tc>
        <w:tc>
          <w:tcPr>
            <w:tcW w:w="28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81,258</w:t>
            </w:r>
          </w:p>
        </w:tc>
        <w:tc>
          <w:tcPr>
            <w:tcW w:w="0" w:type="dxa"/>
            <w:vAlign w:val="bottom"/>
          </w:tcPr>
          <w:p>
            <w:pPr>
              <w:spacing w:after="0"/>
              <w:rPr>
                <w:sz w:val="1"/>
                <w:szCs w:val="1"/>
                <w:color w:val="auto"/>
              </w:rPr>
            </w:pPr>
          </w:p>
        </w:tc>
      </w:tr>
      <w:tr>
        <w:trPr>
          <w:trHeight w:val="21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Equivalents—End of Year</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$78,848</w:t>
            </w:r>
          </w:p>
        </w:tc>
        <w:tc>
          <w:tcPr>
            <w:tcW w:w="2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$81,258</w:t>
            </w:r>
          </w:p>
        </w:tc>
        <w:tc>
          <w:tcPr>
            <w:tcW w:w="2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$86,496</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66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Build-out allowances received from landlords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28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 and internal-use software, accrued but not paid</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$896</w:t>
            </w: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$210</w:t>
            </w:r>
          </w:p>
        </w:tc>
        <w:tc>
          <w:tcPr>
            <w:tcW w:w="28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Unpaid initial offering costs</w:t>
            </w: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continue"/>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66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continue"/>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(all amounts in thousands, except per share data)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3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Paylocity Holding Corporation (the “Company”), through its wholly owned subsidiary, Paylocity Corporation, is a cloud-based provider of payroll and human capital management software solutions for medium-sized organizations. Services are provided in a Software-as-a-Service (“SaaS”) delivery model utilizing the Company’s cloud-based platform. Payroll services include collection, remittance and reporting of payroll liabilities to the appropriate federal, state and local authorities.</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Secondary Offering</w:t>
      </w:r>
    </w:p>
    <w:p>
      <w:pPr>
        <w:spacing w:after="0" w:line="13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 September 2015, the Company completed a secondary offering in which its existing shareholders sold 3,740 shares of common stock at a public offering price of $29.75 per share. The Company did not receive any proceeds from the sale of common stock by the existing shareholders.</w:t>
      </w:r>
    </w:p>
    <w:p>
      <w:pPr>
        <w:spacing w:after="0" w:line="6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October 2015, the underwriters for the Company’s secondary offering exercised their option to purchase 561 additional shares from certain shareholders of the Company as described in the final prospectus filed with the Securities and Exchange Commission (“SEC”) on September 25, 2015. The Company did not receive any proceeds from the sale of common stock by the existing shareholders.</w:t>
      </w:r>
    </w:p>
    <w:p>
      <w:pPr>
        <w:spacing w:after="0" w:line="51" w:lineRule="exact"/>
        <w:rPr>
          <w:sz w:val="20"/>
          <w:szCs w:val="20"/>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03"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Basis of Presentation, Consolidation, and Use of Estimates</w:t>
      </w:r>
    </w:p>
    <w:p>
      <w:pPr>
        <w:spacing w:after="0" w:line="10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pursuant to the rules and regulations of the United States Securities and Exchange Commission (the “SEC”).</w:t>
      </w:r>
    </w:p>
    <w:p>
      <w:pPr>
        <w:spacing w:after="0" w:line="4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Significant items subject to such estimates and assumptions include the allowance for doubtful accounts, internal-use software, valuation and useful lives of long-lived assets, definite-lived intangibles, goodwill, stock-based compensation, valuation of net deferred income tax assets and the best estimate of selling price for revenue recognition purposes. Future events and their effects cannot be predicted with certainty; accordingly, accounting estimates require the exercise of judgment. Accounting estimates used in the preparation of these consolidated financial statements change as new events occur, as more experience is acquired, as additional information is obtained and as the operating environment changes.</w:t>
      </w:r>
    </w:p>
    <w:p>
      <w:pPr>
        <w:spacing w:after="0" w:line="6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reflect the financial position and operating results of Paylocity Holding Corporation and include its wholly-owned subsidiary Paylocity Corporation. Intercompany accounts and transactions have been eliminated in consolidation.</w:t>
      </w:r>
    </w:p>
    <w:p>
      <w:pPr>
        <w:spacing w:after="0" w:line="36" w:lineRule="exact"/>
        <w:rPr>
          <w:sz w:val="20"/>
          <w:szCs w:val="20"/>
          <w:color w:val="auto"/>
        </w:rPr>
      </w:pPr>
    </w:p>
    <w:p>
      <w:pPr>
        <w:ind w:left="920" w:hanging="264"/>
        <w:spacing w:after="0"/>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Concentrations of Risk</w:t>
      </w:r>
    </w:p>
    <w:p>
      <w:pPr>
        <w:spacing w:after="0" w:line="10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Company regularly maintains cash balances that exceed Federal Depository Insurance Corporation limits. No individual client represents 10% or more of total revenues. For all periods presented, 100% of total revenues were generated by clients in the United States.</w:t>
      </w:r>
    </w:p>
    <w:p>
      <w:pPr>
        <w:spacing w:after="0" w:line="36" w:lineRule="exact"/>
        <w:rPr>
          <w:sz w:val="20"/>
          <w:szCs w:val="20"/>
          <w:color w:val="auto"/>
        </w:rPr>
      </w:pPr>
    </w:p>
    <w:p>
      <w:pPr>
        <w:ind w:left="900" w:hanging="244"/>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purchased to be cash equivalents.</w:t>
      </w:r>
    </w:p>
    <w:p>
      <w:pPr>
        <w:spacing w:after="0" w:line="100" w:lineRule="exact"/>
        <w:rPr>
          <w:sz w:val="20"/>
          <w:szCs w:val="20"/>
          <w:color w:val="auto"/>
        </w:rPr>
      </w:pPr>
    </w:p>
    <w:p>
      <w:pPr>
        <w:ind w:left="900" w:hanging="244"/>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Accounts Receivable</w:t>
      </w:r>
    </w:p>
    <w:p>
      <w:pPr>
        <w:spacing w:after="0" w:line="10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Accounts receivable are recorded at the invoiced amount and do not bear interest. Amounts collected on trade accounts receivable are included in net cash provided by operating activities in the statements of cash flows. The Company maintains an allowance for doubtful accounts reflecting estimated potential losses in its accounts receivable portfolio. In establishing the required allowance, management considers historical losses adjusted to take into account current market conditions and our clients’ financial conditions, the amount of receivables in dispute, the current receivables aging and current payment patterns. The Company reviews its allowance for doubtful accounts quarterly. Past due balances over 60 days and over a specified amount are reviewed individually for collectability. All other balances are reviewed on a pooled basis. Account balances are charged off against the allowance after all</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commercially reasonable means of collection have been exhausted and the potential for recovery is considered remote. The Company does not have any off-balance-sheet credit exposure related to its clients.</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Activity in the allowance for doubtful accounts was as follows:</w:t>
      </w:r>
    </w:p>
    <w:p>
      <w:pPr>
        <w:sectPr>
          <w:pgSz w:w="11900" w:h="16838" w:orient="portrait"/>
          <w:cols w:equalWidth="0" w:num="1">
            <w:col w:w="11400"/>
          </w:cols>
          <w:pgMar w:left="240" w:top="121" w:right="259" w:bottom="0" w:gutter="0" w:footer="0" w:header="0"/>
        </w:sectPr>
      </w:pPr>
    </w:p>
    <w:bookmarkStart w:id="43" w:name="page44"/>
    <w:bookmarkEnd w:id="43"/>
    <w:tbl>
      <w:tblPr>
        <w:tblLayout w:type="fixed"/>
        <w:tblInd w:w="920" w:type="dxa"/>
        <w:tblCellMar>
          <w:top w:w="0" w:type="dxa"/>
          <w:left w:w="0" w:type="dxa"/>
          <w:bottom w:w="0" w:type="dxa"/>
          <w:right w:w="0" w:type="dxa"/>
        </w:tblCellMar>
      </w:tblPr>
      <w:tr>
        <w:trPr>
          <w:trHeight w:val="175"/>
        </w:trPr>
        <w:tc>
          <w:tcPr>
            <w:tcW w:w="6360" w:type="dxa"/>
            <w:vAlign w:val="bottom"/>
          </w:tcPr>
          <w:p>
            <w:pPr>
              <w:spacing w:after="0"/>
              <w:rPr>
                <w:sz w:val="15"/>
                <w:szCs w:val="15"/>
                <w:color w:val="auto"/>
              </w:rPr>
            </w:pPr>
          </w:p>
        </w:tc>
        <w:tc>
          <w:tcPr>
            <w:tcW w:w="2760" w:type="dxa"/>
            <w:vAlign w:val="bottom"/>
            <w:tcBorders>
              <w:bottom w:val="single" w:sz="8" w:color="auto"/>
            </w:tcBorders>
            <w:gridSpan w:val="5"/>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0" w:type="dxa"/>
            <w:vAlign w:val="bottom"/>
          </w:tcPr>
          <w:p>
            <w:pPr>
              <w:spacing w:after="0"/>
              <w:rPr>
                <w:sz w:val="1"/>
                <w:szCs w:val="1"/>
                <w:color w:val="auto"/>
              </w:rPr>
            </w:pPr>
          </w:p>
        </w:tc>
      </w:tr>
      <w:tr>
        <w:trPr>
          <w:trHeight w:val="142"/>
        </w:trPr>
        <w:tc>
          <w:tcPr>
            <w:tcW w:w="6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80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12"/>
                <w:szCs w:val="12"/>
                <w:color w:val="auto"/>
              </w:rPr>
            </w:pPr>
          </w:p>
        </w:tc>
        <w:tc>
          <w:tcPr>
            <w:tcW w:w="80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Pr>
          <w:p>
            <w:pPr>
              <w:spacing w:after="0"/>
              <w:rPr>
                <w:sz w:val="12"/>
                <w:szCs w:val="12"/>
                <w:color w:val="auto"/>
              </w:rPr>
            </w:pPr>
          </w:p>
        </w:tc>
        <w:tc>
          <w:tcPr>
            <w:tcW w:w="78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1"/>
        </w:trPr>
        <w:tc>
          <w:tcPr>
            <w:tcW w:w="6360" w:type="dxa"/>
            <w:vAlign w:val="bottom"/>
            <w:vMerge w:val="continue"/>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$126</w:t>
            </w:r>
          </w:p>
        </w:tc>
        <w:tc>
          <w:tcPr>
            <w:tcW w:w="18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Charged to expense</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4"/>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Write-offs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0"/>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900" w:hanging="244"/>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Prepaid Expenses and Other Assets</w:t>
      </w:r>
    </w:p>
    <w:p>
      <w:pPr>
        <w:spacing w:after="0" w:line="13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consist primarily of prepaid licensing fees, prepaid insurance premiums, deposits with vendors and time clocks available for sale or lease.</w:t>
      </w:r>
    </w:p>
    <w:p>
      <w:pPr>
        <w:spacing w:after="0" w:line="63" w:lineRule="exact"/>
        <w:rPr>
          <w:sz w:val="20"/>
          <w:szCs w:val="20"/>
          <w:color w:val="auto"/>
        </w:rPr>
      </w:pPr>
    </w:p>
    <w:p>
      <w:pPr>
        <w:ind w:left="880" w:hanging="224"/>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Capitalized Internal-Use Software</w:t>
      </w:r>
    </w:p>
    <w:p>
      <w:pPr>
        <w:spacing w:after="0" w:line="13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applies Financial Accounting Standards Board (FASB) Accounting Standards Codification (ASC) 350-40, </w:t>
      </w:r>
      <w:r>
        <w:rPr>
          <w:rFonts w:ascii="Times New Roman" w:cs="Times New Roman" w:eastAsia="Times New Roman" w:hAnsi="Times New Roman"/>
          <w:sz w:val="18"/>
          <w:szCs w:val="18"/>
          <w:i w:val="1"/>
          <w:iCs w:val="1"/>
          <w:color w:val="auto"/>
        </w:rPr>
        <w:t>Intangibles—Goodwill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Other—Internal-Use Software</w:t>
      </w:r>
      <w:r>
        <w:rPr>
          <w:rFonts w:ascii="Times New Roman" w:cs="Times New Roman" w:eastAsia="Times New Roman" w:hAnsi="Times New Roman"/>
          <w:sz w:val="18"/>
          <w:szCs w:val="18"/>
          <w:color w:val="auto"/>
        </w:rPr>
        <w:t>, to the accounting for costs of internal-use software. Internal-use software costs are capitalized when application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begins, it is probable that the project will be completed, and the software will be used as intended. Costs associated with preliminary project stage activities, training, maintenance and all other post implementation stage activities are expensed as incurred. The Company also capitalizes certain costs related to specific upgrades and enhancements when it is probable the expenditures will result in significant additional functionality. The capitalization policy provides for the capitalization of certain payroll costs for employees who are directly associated with developing internal-use software as well as certain external direct costs, such as consulting fees. Capitalized employee costs are limited to the time directly spent on such projects.</w:t>
      </w:r>
    </w:p>
    <w:p>
      <w:pPr>
        <w:spacing w:after="0" w:line="185"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Capitalized internal-use software costs are amortized on a straight-line basis over the estimated useful lives, generally 18 to 24 months. Management evaluates the useful lives of these assets on an annual basis and tests for impairment whenever events or changes in circumstances occur that could impact the recoverability of these assets.</w:t>
      </w:r>
    </w:p>
    <w:p>
      <w:pPr>
        <w:spacing w:after="0" w:line="172" w:lineRule="exact"/>
        <w:rPr>
          <w:sz w:val="20"/>
          <w:szCs w:val="20"/>
          <w:color w:val="auto"/>
        </w:rPr>
      </w:pPr>
    </w:p>
    <w:p>
      <w:pPr>
        <w:ind w:left="920" w:hanging="264"/>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Property and Equipment and Long-Lived Assets</w:t>
      </w:r>
    </w:p>
    <w:p>
      <w:pPr>
        <w:spacing w:after="0" w:line="13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Depreciation on property and equipment is calculated on the straight-line method over the estimated useful lives of the assets, generally three to seven years for most classes of assets, or over the term of the related lease for leasehold improvements.</w:t>
      </w:r>
    </w:p>
    <w:p>
      <w:pPr>
        <w:spacing w:after="0" w:line="6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Long-lived assets, such as property and equipment, are reviewed for impairment whenever events or changes in circumstances indicate that the carrying amount of an asset may not be recoverable. If circumstances require a long-lived asset or asset group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184" w:lineRule="exact"/>
        <w:rPr>
          <w:sz w:val="20"/>
          <w:szCs w:val="20"/>
          <w:color w:val="auto"/>
        </w:rPr>
      </w:pPr>
    </w:p>
    <w:p>
      <w:pPr>
        <w:ind w:left="920" w:hanging="264"/>
        <w:spacing w:after="0"/>
        <w:tabs>
          <w:tab w:leader="none" w:pos="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Intangible Assets, Net of Accumulated Amortization</w:t>
      </w:r>
    </w:p>
    <w:p>
      <w:pPr>
        <w:spacing w:after="0" w:line="13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Intangible assets are comprised primarily of client list acquisitions and are reported net of accumulated amortization on the consolidated balance sheets. Client relationships use the straight-line method of amortization over a nine-year time frame from the date of acquisition, while non-solicitation agreements use the straight-line method of amortization over the lives of the related agreements. The Company tests intangible assets for potential impairment when events or changes in circumstances indicate that the carrying value of such assets may not be recoverable.</w:t>
      </w:r>
    </w:p>
    <w:p>
      <w:pPr>
        <w:spacing w:after="0" w:line="176" w:lineRule="exact"/>
        <w:rPr>
          <w:sz w:val="20"/>
          <w:szCs w:val="20"/>
          <w:color w:val="auto"/>
        </w:rPr>
      </w:pPr>
    </w:p>
    <w:p>
      <w:pPr>
        <w:ind w:left="880" w:hanging="224"/>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Goodwill is an asset representing the future economic benefits arising from other assets acquired in a business combination that are not individually identified and separately recognized. As described in Note 5, the Company has recorded goodwill in connection with the acquisitions of certain assets of BFKMS, Inc. and Synergy Payroll, LLC. Goodwill is not amortized, but instead is tested for impairment at least annually in the fourth quarter. ASU 2011-08, </w:t>
      </w:r>
      <w:r>
        <w:rPr>
          <w:rFonts w:ascii="Times New Roman" w:cs="Times New Roman" w:eastAsia="Times New Roman" w:hAnsi="Times New Roman"/>
          <w:sz w:val="18"/>
          <w:szCs w:val="18"/>
          <w:i w:val="1"/>
          <w:iCs w:val="1"/>
          <w:color w:val="auto"/>
        </w:rPr>
        <w:t xml:space="preserve">Testing Goodwill for Impairment </w:t>
      </w:r>
      <w:r>
        <w:rPr>
          <w:rFonts w:ascii="Times New Roman" w:cs="Times New Roman" w:eastAsia="Times New Roman" w:hAnsi="Times New Roman"/>
          <w:sz w:val="18"/>
          <w:szCs w:val="18"/>
          <w:color w:val="auto"/>
        </w:rPr>
        <w:t>provides an entity the option to perform a qualitative assessment to determine whether it is more-likely-than-not that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a reporting unit is less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than its carrying amount prior to performing the two-step impairment test. If the estimated fair value of a reporting unit, including goodwill, is less than its carrying amount, the two-step goodwill impairment test is required. Otherwise no further analysis is required.</w:t>
      </w:r>
    </w:p>
    <w:p>
      <w:pPr>
        <w:spacing w:after="0" w:line="6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If the two-step goodwill impairment test is required, the fair value of the reporting unit is compared with its carrying amount, including goodwill. If the fair value of the reporting unit is less than its carrying amount, an indication of goodwill impairment exists for the reporting unit. In the second step, an impairment loss is recognized for any excess of the carrying amount of the reporting unit’s goodwill over the implied fair value of the goodwill. The implied fair value of goodwill is determined by allocating the fair value of the reporting unit in a manner similar to a purchase price allocation and the residual fair value after this allocation is the implied fair value of the reporting unit goodwill. Fair value of the reporting unit is determined using a discounted cash flow analysis. In the event the fair value of the reporting unit exceeds its carrying amount, step two is not performed.</w:t>
      </w:r>
    </w:p>
    <w:p>
      <w:pPr>
        <w:spacing w:after="0" w:line="93"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performs its annual impairment review of goodwill in its fiscal fourth quarter or when a triggering event occurs between annual impairment tests. No impairment was recorded in fiscal 2015 or fiscal 2016 as a result of the Company’s impairment tests. Given that the Company did not have recorded goodwill until its fiscal fourth quarter of 2014, no impairment tests were required to be completed for fiscal 2014.</w:t>
      </w:r>
    </w:p>
    <w:p>
      <w:pPr>
        <w:spacing w:after="0" w:line="78" w:lineRule="exact"/>
        <w:rPr>
          <w:sz w:val="20"/>
          <w:szCs w:val="20"/>
          <w:color w:val="auto"/>
        </w:rPr>
      </w:pPr>
    </w:p>
    <w:p>
      <w:pPr>
        <w:ind w:left="880" w:hanging="224"/>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Deferred Rent</w:t>
      </w:r>
    </w:p>
    <w:p>
      <w:pPr>
        <w:spacing w:after="0" w:line="135"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Company has operating lease agreements for its office space, which contain provisions for future rent increases, periods of rent abatement and build-out allowances. The Company records monthly rent expense for each lease equal to the total payments due over the lease term, divided by the number of months of the lease term. Build-out allowances are recorded as part of leasehold improvements and the incentive is amortized over the lease term against depreciation. The difference between recorded rent expense and the amount paid is included in “Accrued expenses” and as “Deferred rent” in the accompanying consolidated balance sheets.</w:t>
      </w:r>
    </w:p>
    <w:p>
      <w:pPr>
        <w:spacing w:after="0" w:line="85" w:lineRule="exact"/>
        <w:rPr>
          <w:sz w:val="20"/>
          <w:szCs w:val="20"/>
          <w:color w:val="auto"/>
        </w:rPr>
      </w:pPr>
    </w:p>
    <w:p>
      <w:pPr>
        <w:ind w:left="920" w:hanging="264"/>
        <w:spacing w:after="0"/>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Taxes</w:t>
      </w:r>
    </w:p>
    <w:p>
      <w:pPr>
        <w:sectPr>
          <w:pgSz w:w="11900" w:h="16838" w:orient="portrait"/>
          <w:cols w:equalWidth="0" w:num="1">
            <w:col w:w="11420"/>
          </w:cols>
          <w:pgMar w:left="240" w:top="114" w:right="239" w:bottom="0" w:gutter="0" w:footer="0" w:header="0"/>
        </w:sectPr>
      </w:pPr>
    </w:p>
    <w:bookmarkStart w:id="44" w:name="page45"/>
    <w:bookmarkEnd w:id="44"/>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w:t>
      </w:r>
    </w:p>
    <w:p>
      <w:pPr>
        <w:spacing w:after="0" w:line="84"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2015, the FASB issued ASU 2015-17,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xml:space="preserve"> (Topic 740) (“ASU 2015-17”), which requires all deferred income tax assets and liabilities to be classified as non-current in a classified balance sheet. As allowed by ASU 2015-17, the Company adopted the new requirements as of June 30, 2016, on a prospective basis. The adoption of this standard resulted in a reclassification of deferred tax assets and liabilities to the non-current deferred tax liability in the Company’s consolidated balance sheet as of June 30, 2016. ASU 2015-17 did not have a material impact on the Company’s consolidated balance sheet and had no impact on the Company’s consolidated results of operations or cash flows. No prior periods were retrospectively adjusted.</w:t>
      </w:r>
    </w:p>
    <w:p>
      <w:pPr>
        <w:spacing w:after="0" w:line="9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Valuation allowances are provided when necessary to reduce deferred tax assets to the amount more likely than not to be realized. Significant management judgment is required in determining the period in which the reversal of a valuation allowance should occur. The Company is required to consider all available evidence, both positive and negative, such as historical levels of income and future forecasts of taxable income among other items, in determining whether a full or partial release of its valuation allowance is required. The Company is also required to schedule future taxable income in accordance with accounting standards that address income taxes to assess the appropriateness of a valuation allowance, which further requires the exercise of significant management judgment.</w:t>
      </w:r>
    </w:p>
    <w:p>
      <w:pPr>
        <w:spacing w:after="0" w:line="93"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records interest and penalties as an element of income tax expense.</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11 for additional information on income taxes.</w:t>
      </w:r>
    </w:p>
    <w:p>
      <w:pPr>
        <w:spacing w:after="0" w:line="127" w:lineRule="exact"/>
        <w:rPr>
          <w:sz w:val="20"/>
          <w:szCs w:val="20"/>
          <w:color w:val="auto"/>
        </w:rPr>
      </w:pPr>
    </w:p>
    <w:p>
      <w:pPr>
        <w:ind w:left="880" w:hanging="224"/>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Revenue Recognition</w:t>
      </w:r>
    </w:p>
    <w:p>
      <w:pPr>
        <w:spacing w:after="0" w:line="13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605-25, </w:t>
      </w:r>
      <w:r>
        <w:rPr>
          <w:rFonts w:ascii="Times New Roman" w:cs="Times New Roman" w:eastAsia="Times New Roman" w:hAnsi="Times New Roman"/>
          <w:sz w:val="18"/>
          <w:szCs w:val="18"/>
          <w:i w:val="1"/>
          <w:iCs w:val="1"/>
          <w:color w:val="auto"/>
        </w:rPr>
        <w:t>Revenue Recognition—Multiple Element Arrangements</w:t>
      </w:r>
      <w:r>
        <w:rPr>
          <w:rFonts w:ascii="Times New Roman" w:cs="Times New Roman" w:eastAsia="Times New Roman" w:hAnsi="Times New Roman"/>
          <w:sz w:val="18"/>
          <w:szCs w:val="18"/>
          <w:color w:val="auto"/>
        </w:rPr>
        <w:t xml:space="preserve">, Accounting Standards Update No. 2009-13, </w:t>
      </w:r>
      <w:r>
        <w:rPr>
          <w:rFonts w:ascii="Times New Roman" w:cs="Times New Roman" w:eastAsia="Times New Roman" w:hAnsi="Times New Roman"/>
          <w:sz w:val="18"/>
          <w:szCs w:val="18"/>
          <w:i w:val="1"/>
          <w:iCs w:val="1"/>
          <w:color w:val="auto"/>
        </w:rPr>
        <w:t>Multiple-Deliverable Revenue Arrangements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ASU 2009-13</w:t>
      </w:r>
      <w:r>
        <w:rPr>
          <w:rFonts w:ascii="Times New Roman" w:cs="Times New Roman" w:eastAsia="Times New Roman" w:hAnsi="Times New Roman"/>
          <w:sz w:val="18"/>
          <w:szCs w:val="18"/>
          <w:color w:val="auto"/>
        </w:rPr>
        <w:t xml:space="preserve">”), and Staff Accounting Bulletin 104,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Revenue is recognized when there is persuasive evidence that an arrangement exists, delivery has occurred, the fee is fixed or determinable and collection of the revenue is probable.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derives its revenue predominantly from recurring fees and non-recurring service fees. Recurring fees are collected under agreements for payroll, timekeeping, HR-related cloud-based computing services and monthly time clock rentals, all of which are generally cancellable by the client on</w:t>
      </w:r>
    </w:p>
    <w:p>
      <w:pPr>
        <w:jc w:val="both"/>
        <w:spacing w:after="0" w:line="255" w:lineRule="auto"/>
        <w:rPr>
          <w:sz w:val="20"/>
          <w:szCs w:val="20"/>
          <w:color w:val="auto"/>
        </w:rPr>
      </w:pPr>
      <w:r>
        <w:rPr>
          <w:rFonts w:ascii="Times New Roman" w:cs="Times New Roman" w:eastAsia="Times New Roman" w:hAnsi="Times New Roman"/>
          <w:sz w:val="18"/>
          <w:szCs w:val="18"/>
          <w:color w:val="auto"/>
        </w:rPr>
        <w:t>60 days’ notice or less. Non-recurring service fees consist mainly of implementation and custom reporting services. Such fees are billed to clients and revenue is recorded upon completion of the service. The Company’s agreements do not include general rights of return and do not provide clients with the right to take possession of the software supporting the services being provided. As such, the agreements are accounted for as service contracts.</w:t>
      </w:r>
    </w:p>
    <w:p>
      <w:pPr>
        <w:spacing w:after="0" w:line="9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Interest income collected on funds held for clients is recognized in recurring revenues when earned as the collection, holding and remittance of these funds are critical components of providing these services.</w:t>
      </w:r>
    </w:p>
    <w:p>
      <w:pPr>
        <w:spacing w:after="0" w:line="67"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Most multiple-element arrangements include a short implementation services phase which involves establishing the client within and loading data into the Company’s cloud-based applications. Such activities are performed by either the Company or a third party vendor. Major recurring fees included in multiple-element arrangements include:</w:t>
      </w:r>
    </w:p>
    <w:p>
      <w:pPr>
        <w:spacing w:after="0" w:line="82" w:lineRule="exact"/>
        <w:rPr>
          <w:sz w:val="20"/>
          <w:szCs w:val="20"/>
          <w:color w:val="auto"/>
        </w:rPr>
      </w:pPr>
    </w:p>
    <w:p>
      <w:pPr>
        <w:ind w:left="980" w:right="340" w:hanging="324"/>
        <w:spacing w:after="0" w:line="266" w:lineRule="auto"/>
        <w:tabs>
          <w:tab w:leader="none" w:pos="948"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Payroll processing and related services, including payroll reporting and tax filing services delivered on a weekly, biweekly, semi-monthly, or monthly basis depending upon the payroll frequency of the client and on an annual basis if a client selects W-2 preparation and processing services,</w:t>
      </w:r>
    </w:p>
    <w:p>
      <w:pPr>
        <w:spacing w:after="0" w:line="81" w:lineRule="exact"/>
        <w:rPr>
          <w:rFonts w:ascii="Times New Roman" w:cs="Times New Roman" w:eastAsia="Times New Roman" w:hAnsi="Times New Roman"/>
          <w:sz w:val="14"/>
          <w:szCs w:val="14"/>
          <w:color w:val="auto"/>
        </w:rPr>
      </w:pPr>
    </w:p>
    <w:p>
      <w:pPr>
        <w:ind w:left="940" w:hanging="284"/>
        <w:spacing w:after="0"/>
        <w:tabs>
          <w:tab w:leader="none" w:pos="9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Time and attendance reporting services, including time clock rentals, delivered on a monthly basis, and</w:t>
      </w:r>
    </w:p>
    <w:p>
      <w:pPr>
        <w:spacing w:after="0" w:line="130" w:lineRule="exact"/>
        <w:rPr>
          <w:rFonts w:ascii="Times New Roman" w:cs="Times New Roman" w:eastAsia="Times New Roman" w:hAnsi="Times New Roman"/>
          <w:sz w:val="14"/>
          <w:szCs w:val="14"/>
          <w:color w:val="auto"/>
        </w:rPr>
      </w:pPr>
    </w:p>
    <w:p>
      <w:pPr>
        <w:ind w:left="980" w:right="420" w:hanging="324"/>
        <w:spacing w:after="0" w:line="282" w:lineRule="auto"/>
        <w:tabs>
          <w:tab w:leader="none" w:pos="948"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Cloud-based HR software solutions, including employee administration and benefits enrollment and administration, delivered on a monthly basis.</w:t>
      </w:r>
    </w:p>
    <w:p>
      <w:pPr>
        <w:spacing w:after="0" w:line="67"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17"/>
          <w:szCs w:val="17"/>
          <w:color w:val="auto"/>
        </w:rPr>
        <w:t>For each agreement, the Company evaluates whether the individual deliverables qualify as separate units of accounting. If one or more of the deliverables does not have standalone value upon delivery, which is typical of the payroll and human capital management (“HCM”) services our customers contract for, the deliverables that do not have standalone value are generally combined and treated as a single unit of accounting by frequency of occurrence for the product category involved such as biweekly payroll or monthly timekeeping services. Revenues for arrangements treated as a single unit of accounting are generally recognized within the same month that the services are rendered given that the agreements are cancellable with 60 days’ or less notice.</w:t>
      </w:r>
    </w:p>
    <w:p>
      <w:pPr>
        <w:spacing w:after="0" w:line="7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determining whether implementation services can be accounted for separately from recurring revenues, the Company considers the nature of the implementation services and the availability of the implementation services from other vendors. The Company was able to establish standalone value for implementation activities based on the activity of third-party vendors that perform these services and accounts for such implementation services separate from the recurring revenues.</w:t>
      </w:r>
    </w:p>
    <w:p>
      <w:pPr>
        <w:spacing w:after="0" w:line="86"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If the recurring services have standalone value upon delivery, the Company accounts for each separately and revenues are recognized as services are delivered with allocation of consideration based on the relative selling price method as established in ASU 2009-13. That method requires the selling price of each element in a multiple-deliverable arrangement to be based on, in descending order: (i) vendor specific objective evidence of fair value (“VSOE”), (ii) third-party evidence of fair value (“TPE”) or (iii) management’s best estimate of the selling price (“BESP”).</w:t>
      </w:r>
    </w:p>
    <w:p>
      <w:pPr>
        <w:spacing w:after="0" w:line="8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 is not able to establish VSOE because the deliverables are sold across an insufficiently narrow range of prices on a stand-alone basis and is also not able to establish TPE because no third-party offerings are reasonably comparable to the Company’s offerings. The Company thus established its BESP by service offering, requiring the use of significant estimates and judgment. The Company considers numerous factors, including the nature of the deliverables themselves; the geography of the sale; and pricing and discounting practices utilized by the Company’s sales force. Arrangement consideration is allocated to each deliverable based on the established BESP and subject to the limitation that because the arrangements are cancellable with 60 days’ or less notice, recurring revenue is not allocated to any deliverable until the consideration has been earned, typically with each payroll cycle or monthly, depending on the service.</w:t>
      </w:r>
    </w:p>
    <w:p>
      <w:pPr>
        <w:sectPr>
          <w:pgSz w:w="11900" w:h="16838" w:orient="portrait"/>
          <w:cols w:equalWidth="0" w:num="1">
            <w:col w:w="11420"/>
          </w:cols>
          <w:pgMar w:left="240" w:top="121" w:right="239" w:bottom="0" w:gutter="0" w:footer="0" w:header="0"/>
        </w:sectPr>
      </w:pPr>
    </w:p>
    <w:bookmarkStart w:id="45" w:name="page46"/>
    <w:bookmarkEnd w:id="45"/>
    <w:p>
      <w:pPr>
        <w:spacing w:after="0" w:line="1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Revenues generated from sales through partners or utilizing partner services are recognized in accordance with the appropriate accounting guidance of ASC 605-45, </w:t>
      </w:r>
      <w:r>
        <w:rPr>
          <w:rFonts w:ascii="Times New Roman" w:cs="Times New Roman" w:eastAsia="Times New Roman" w:hAnsi="Times New Roman"/>
          <w:sz w:val="18"/>
          <w:szCs w:val="18"/>
          <w:i w:val="1"/>
          <w:iCs w:val="1"/>
          <w:color w:val="auto"/>
        </w:rPr>
        <w:t>Principal Agent Considerations</w:t>
      </w:r>
      <w:r>
        <w:rPr>
          <w:rFonts w:ascii="Times New Roman" w:cs="Times New Roman" w:eastAsia="Times New Roman" w:hAnsi="Times New Roman"/>
          <w:sz w:val="18"/>
          <w:szCs w:val="18"/>
          <w:color w:val="auto"/>
        </w:rPr>
        <w:t>. The Company reports revenue generated through partners or utilizing partner services at the gross amount billed to clients when (i) the Company is the primary obligor, (ii) the Company has latitude to establish the price charged and (iii) the Company bears the credit risk in the transaction.</w:t>
      </w:r>
    </w:p>
    <w:p>
      <w:pPr>
        <w:spacing w:after="0" w:line="8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Sales taxes collected from clients and remitted to governmental authorities where applicable are accounted for on a net basis and therefore are excluded from revenues in the statements of operations.</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960" w:hanging="304"/>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 of Revenues</w:t>
      </w:r>
    </w:p>
    <w:p>
      <w:pPr>
        <w:spacing w:after="0" w:line="13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Cost of revenues consists primarily of the cost of recurring revenues and implementation services which are expensed when incurred. Cost of revenues for recurring revenues consists primarily of costs to provide recurring services and support to our clients, and includes amortization of capitalized internal-use software. Cost of revenues for implementation services and other consists primarily of costs to provide implementation and other services.</w:t>
      </w:r>
    </w:p>
    <w:p>
      <w:pPr>
        <w:spacing w:after="0" w:line="78" w:lineRule="exact"/>
        <w:rPr>
          <w:sz w:val="20"/>
          <w:szCs w:val="20"/>
          <w:color w:val="auto"/>
        </w:rPr>
      </w:pPr>
    </w:p>
    <w:p>
      <w:pPr>
        <w:ind w:left="900" w:hanging="244"/>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Advertising</w:t>
      </w:r>
    </w:p>
    <w:p>
      <w:pPr>
        <w:spacing w:after="0" w:line="13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costs amounted to $24, $187 and $219 for the years ended June 30, 2014, 2015 and 2016, respectively.</w:t>
      </w:r>
    </w:p>
    <w:p>
      <w:pPr>
        <w:spacing w:after="0" w:line="63" w:lineRule="exact"/>
        <w:rPr>
          <w:sz w:val="20"/>
          <w:szCs w:val="20"/>
          <w:color w:val="auto"/>
        </w:rPr>
      </w:pPr>
    </w:p>
    <w:p>
      <w:pPr>
        <w:ind w:left="920" w:hanging="264"/>
        <w:spacing w:after="0"/>
        <w:tabs>
          <w:tab w:leader="none" w:pos="9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3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all employee stock-based compensation as a cost in the financial statements. Equity-classified awards, including those under the 2014 Employee Stock Purchase Plan (“ESPP”), are measured at the grant date fair value of the award and expense is recognized, net of assumed forfeitures, on a straight-line basis over the requisite service period for each separately vesting portion of the award. The Company estimates grant date fair value using the Black-Scholes option-pricing model and periodically updates the assumed forfeiture rates for actual experience over their vesting term or the term of the ESPP purchase period.</w:t>
      </w:r>
    </w:p>
    <w:p>
      <w:pPr>
        <w:spacing w:after="0" w:line="85" w:lineRule="exact"/>
        <w:rPr>
          <w:sz w:val="20"/>
          <w:szCs w:val="20"/>
          <w:color w:val="auto"/>
        </w:rPr>
      </w:pPr>
    </w:p>
    <w:p>
      <w:pPr>
        <w:ind w:left="920" w:hanging="264"/>
        <w:spacing w:after="0"/>
        <w:tabs>
          <w:tab w:leader="none" w:pos="9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3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78" w:lineRule="exact"/>
        <w:rPr>
          <w:sz w:val="20"/>
          <w:szCs w:val="20"/>
          <w:color w:val="auto"/>
        </w:rPr>
      </w:pPr>
    </w:p>
    <w:p>
      <w:pPr>
        <w:ind w:left="920" w:hanging="264"/>
        <w:spacing w:after="0"/>
        <w:tabs>
          <w:tab w:leader="none" w:pos="9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Segment Information</w:t>
      </w:r>
    </w:p>
    <w:p>
      <w:pPr>
        <w:spacing w:after="0" w:line="13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 maker reviews the financial results of the Company in total when evaluating financial performance and for purposes of allocating resources. The Company has thus determined that it operates in a single cloud-based software solution reporting segment.</w:t>
      </w:r>
    </w:p>
    <w:p>
      <w:pPr>
        <w:spacing w:after="0" w:line="63" w:lineRule="exact"/>
        <w:rPr>
          <w:sz w:val="20"/>
          <w:szCs w:val="20"/>
          <w:color w:val="auto"/>
        </w:rPr>
      </w:pPr>
    </w:p>
    <w:p>
      <w:pPr>
        <w:ind w:left="880" w:hanging="224"/>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(“ASU 2014-09”). ASU 2014-09 supersedes a majority of existing revenue recognition guidance under US GAAP, and requires companies to recognize revenue when it transfers goods or services to a customer in an amount that reflects the consideration to which a company expects to be entitled. Companies may need to apply more judgment and estimation techniques or methods while recognizing revenue, which could result in additional disclosures to the financial statements. In addition, in March 2016, April 2016 and May 2016, the FASB issued ASU 2016-08,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Principal versus Agent Considerations (Reporting Revenue Gross versus Net) </w:t>
      </w:r>
      <w:r>
        <w:rPr>
          <w:rFonts w:ascii="Times New Roman" w:cs="Times New Roman" w:eastAsia="Times New Roman" w:hAnsi="Times New Roman"/>
          <w:sz w:val="18"/>
          <w:szCs w:val="18"/>
          <w:color w:val="auto"/>
        </w:rPr>
        <w:t>(“ASU 2016-08”), ASU 2016-10,</w:t>
      </w:r>
      <w:r>
        <w:rPr>
          <w:rFonts w:ascii="Times New Roman" w:cs="Times New Roman" w:eastAsia="Times New Roman" w:hAnsi="Times New Roman"/>
          <w:sz w:val="18"/>
          <w:szCs w:val="18"/>
          <w:i w:val="1"/>
          <w:iCs w:val="1"/>
          <w:color w:val="auto"/>
        </w:rPr>
        <w:t xml:space="preserve"> Revenue from Contracts with Customers (Topic 606): Identifying Performance Obligations and Licensing </w:t>
      </w:r>
      <w:r>
        <w:rPr>
          <w:rFonts w:ascii="Times New Roman" w:cs="Times New Roman" w:eastAsia="Times New Roman" w:hAnsi="Times New Roman"/>
          <w:sz w:val="18"/>
          <w:szCs w:val="18"/>
          <w:color w:val="auto"/>
        </w:rPr>
        <w:t>(“ASU 2016-10”) and ASU 2016-12,</w:t>
      </w:r>
      <w:r>
        <w:rPr>
          <w:rFonts w:ascii="Times New Roman" w:cs="Times New Roman" w:eastAsia="Times New Roman" w:hAnsi="Times New Roman"/>
          <w:sz w:val="18"/>
          <w:szCs w:val="18"/>
          <w:i w:val="1"/>
          <w:iCs w:val="1"/>
          <w:color w:val="auto"/>
        </w:rPr>
        <w:t xml:space="preserve"> Revenue from Contracts with Customers (Topic 606): Narrow-Scope Improvements and Practical Expedients </w:t>
      </w:r>
      <w:r>
        <w:rPr>
          <w:rFonts w:ascii="Times New Roman" w:cs="Times New Roman" w:eastAsia="Times New Roman" w:hAnsi="Times New Roman"/>
          <w:sz w:val="18"/>
          <w:szCs w:val="18"/>
          <w:color w:val="auto"/>
        </w:rPr>
        <w:t>(“ASU 2016-12”), respectively, to amend certain guidance in ASU 2014-09. Topic 606 allows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a retrospective or cumulative effect transition method. ASU 2014-09 was originally effective for fiscal years beginning after December 15, 2016. In July 2015, the FASB approved a one-year deferral of ASU 2014-09 and all amendments to it, with a new effective date for fiscal years beginning after December 15, 2017 with early adoption permitted as of the original effective date. The Company is currently assessing the potential effects of these changes to its consolidated financial statements and is evaluating the adoption method and timing.</w:t>
      </w:r>
    </w:p>
    <w:p>
      <w:pPr>
        <w:spacing w:after="0" w:line="96"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(“ASU 2016-02”) which amends various aspects of existing guidance for leases. ASU 2016-02 requires an entity to recognize assets and liabilities arising from a lease with terms greater than twelve months, along with additional qualitative and quantitative disclosures. ASU 2016-02 also requires the use of the modified retrospective method, which will require adjustment to all comparative periods presented. ASU 2016-02 is effective for fiscal years beginning after December 15, 2018, with early adoption permitted. The Company is currently assessing the potential effects of these changes to its consolidated financial statements and is evaluating the timing of adoption.</w:t>
      </w:r>
    </w:p>
    <w:p>
      <w:pPr>
        <w:spacing w:after="0" w:line="8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(Topic 718) (“ASU 2016-09”) which modifies accounting for excess tax benefits and tax deficiencies, forfeitures, and employer tax withholding requirements. ASU 2016-09 also clarifies certain classifications on the statement of cash flows. ASU 2016-09 is effective for fiscal years beginning after December 15, 2016, with early adoption permitted. The Company is currently assessing the potential effects of these changes to its consolidated financial statements and is evaluating the timing of adoption.</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which requires measurement and recognition of expected credit losses for financial assets held. ASU 2016-13 is effective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years beginning after December 15, 2019, with early adoption permitted as of fiscal years beginning after December 15, 2018. The Company is currently assessing the potential effects of these changes to its consolidated financial statements and is evaluating the timing of adoption.</w:t>
      </w:r>
    </w:p>
    <w:p>
      <w:pPr>
        <w:spacing w:after="0" w:line="88"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ectPr>
          <w:pgSz w:w="11900" w:h="16852" w:orient="portrait"/>
          <w:cols w:equalWidth="0" w:num="1">
            <w:col w:w="11380"/>
          </w:cols>
          <w:pgMar w:left="240" w:top="121" w:right="279" w:bottom="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b w:val="1"/>
          <w:bCs w:val="1"/>
          <w:color w:val="auto"/>
        </w:rPr>
        <w:t>(3) Funds Held for Clients and Client Fund Obligations</w:t>
      </w:r>
    </w:p>
    <w:p>
      <w:pPr>
        <w:spacing w:after="0" w:line="135"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obtains funds from clients in advance of performing payroll and payroll tax filing services on behalf of those clients. Funds held for clients represent assets that are used solely for the purposes of satisfying the obligations to remit funds relating to payroll and payroll tax filing services. Funds held for clients are held in demand deposit and money market accounts at major financial institutions. The Company has classified funds held for clients as a current asset since these funds are held solely for the purposes of satisfying the client fund obligations.</w:t>
      </w:r>
    </w:p>
    <w:p>
      <w:pPr>
        <w:spacing w:after="0" w:line="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Client fund obligations represent the Company’s contractual obligations to remit funds to satisfy clients’ payroll and tax payment obligations and are recorded in the accompanying balance sheets at the time that the Company obtains funds from clients. The client fund obligations represent liabilities that will be repaid within one year of the balance sheet date.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33"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The Company applies the fair value measurement and disclosure provisions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and ASU 2011-04, </w:t>
      </w:r>
      <w:r>
        <w:rPr>
          <w:rFonts w:ascii="Times New Roman" w:cs="Times New Roman" w:eastAsia="Times New Roman" w:hAnsi="Times New Roman"/>
          <w:sz w:val="18"/>
          <w:szCs w:val="18"/>
          <w:i w:val="1"/>
          <w:iCs w:val="1"/>
          <w:color w:val="auto"/>
        </w:rPr>
        <w:t>Fair Value Measurement (Topic 820): Amendments to Achieve Common Fair Value Measurement and Disclosure Requirements in U.S. GAAP and IFRS</w:t>
      </w:r>
      <w:r>
        <w:rPr>
          <w:rFonts w:ascii="Times New Roman" w:cs="Times New Roman" w:eastAsia="Times New Roman" w:hAnsi="Times New Roman"/>
          <w:sz w:val="18"/>
          <w:szCs w:val="18"/>
          <w:color w:val="auto"/>
        </w:rPr>
        <w:t>.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87" w:lineRule="exact"/>
        <w:rPr>
          <w:sz w:val="20"/>
          <w:szCs w:val="20"/>
          <w:color w:val="auto"/>
        </w:rPr>
      </w:pPr>
    </w:p>
    <w:p>
      <w:pPr>
        <w:ind w:left="940" w:hanging="284"/>
        <w:spacing w:after="0"/>
        <w:tabs>
          <w:tab w:leader="none" w:pos="9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30" w:lineRule="exact"/>
        <w:rPr>
          <w:rFonts w:ascii="Times New Roman" w:cs="Times New Roman" w:eastAsia="Times New Roman" w:hAnsi="Times New Roman"/>
          <w:sz w:val="14"/>
          <w:szCs w:val="14"/>
          <w:color w:val="auto"/>
        </w:rPr>
      </w:pPr>
    </w:p>
    <w:p>
      <w:pPr>
        <w:ind w:left="980" w:right="420" w:hanging="324"/>
        <w:spacing w:after="0" w:line="282" w:lineRule="auto"/>
        <w:tabs>
          <w:tab w:leader="none" w:pos="948"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67" w:lineRule="exact"/>
        <w:rPr>
          <w:rFonts w:ascii="Times New Roman" w:cs="Times New Roman" w:eastAsia="Times New Roman" w:hAnsi="Times New Roman"/>
          <w:sz w:val="14"/>
          <w:szCs w:val="14"/>
          <w:color w:val="auto"/>
        </w:rPr>
      </w:pPr>
    </w:p>
    <w:p>
      <w:pPr>
        <w:ind w:left="980" w:right="260" w:hanging="324"/>
        <w:spacing w:after="0" w:line="266" w:lineRule="auto"/>
        <w:tabs>
          <w:tab w:leader="none" w:pos="948"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8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assets that are measured at fair value on a recurring basis are measured using Level 1 inputs. The Company considers the recorded value of its financial assets and liabilities, which consist primarily of cash and cash equivalents, accounts receivable, funds held for clients, accounts payable and client fund obligations to approximate the fair value of the respective assets and liabilities at June 30, 2015 and 2016 based upon the short-term nature of the assets and liabilities.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Business Combinations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had agreements with two resellers. The Company, under the revenue sharing provisions of the terminated reseller agreements, paid $2,495 to BFKMS Inc. during fiscal year 2014, and $2,081 and $2,361 to Synergy Payroll, LLC during fiscal years 2014 and 2015, respectively. The reseller agreements provided that the Company was required to acquire the assets of the resellers upon termination of the agreements. T</w:t>
      </w:r>
      <w:r>
        <w:rPr>
          <w:rFonts w:ascii="Times New Roman" w:cs="Times New Roman" w:eastAsia="Times New Roman" w:hAnsi="Times New Roman"/>
          <w:sz w:val="17"/>
          <w:szCs w:val="17"/>
          <w:color w:val="auto"/>
        </w:rPr>
        <w:t>he following acquisitions were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 xml:space="preserve">accounted for as a business combination in accordance with </w:t>
      </w:r>
      <w:r>
        <w:rPr>
          <w:rFonts w:ascii="Times New Roman" w:cs="Times New Roman" w:eastAsia="Times New Roman" w:hAnsi="Times New Roman"/>
          <w:sz w:val="17"/>
          <w:szCs w:val="17"/>
          <w:i w:val="1"/>
          <w:iCs w:val="1"/>
          <w:color w:val="auto"/>
        </w:rPr>
        <w:t>ASC 805, Business Combinations</w:t>
      </w:r>
      <w:r>
        <w:rPr>
          <w:rFonts w:ascii="Times New Roman" w:cs="Times New Roman" w:eastAsia="Times New Roman" w:hAnsi="Times New Roman"/>
          <w:sz w:val="18"/>
          <w:szCs w:val="18"/>
          <w:color w:val="auto"/>
        </w:rPr>
        <w:t>. The Company recorded the acquisitions using the acquisition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8"/>
          <w:szCs w:val="18"/>
          <w:color w:val="auto"/>
        </w:rPr>
        <w:t>method of accounting and recognized assets at their fair value as of the date of acquisition.</w:t>
      </w:r>
    </w:p>
    <w:p>
      <w:pPr>
        <w:spacing w:after="0" w:line="18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May 2014, the Company acquired certain assets sufficient to sell the Company’s products in the Southern California marketplace upon the termination of its reseller agreement with BFKMS Inc. The total consideration paid for the acquisition was $9,435, of which $6,450 and $2,985 was paid during the years ended June 30, 2014 and 2015, respectively. The following table summarizes the fair value of the assets acquired at the date of acquisition:</w:t>
      </w:r>
    </w:p>
    <w:p>
      <w:pPr>
        <w:sectPr>
          <w:pgSz w:w="11900" w:h="16838" w:orient="portrait"/>
          <w:cols w:equalWidth="0" w:num="1">
            <w:col w:w="11400"/>
          </w:cols>
          <w:pgMar w:left="240" w:top="239" w:right="259" w:bottom="0" w:gutter="0" w:footer="0" w:header="0"/>
        </w:sectPr>
      </w:pPr>
    </w:p>
    <w:p>
      <w:pPr>
        <w:spacing w:after="0" w:line="33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Goodwill</w:t>
      </w:r>
    </w:p>
    <w:p>
      <w:pPr>
        <w:spacing w:after="0" w:line="1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Total purchase price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 May 23,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7620</wp:posOffset>
            </wp:positionV>
            <wp:extent cx="9347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7"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8"/>
          <w:szCs w:val="18"/>
          <w:color w:val="auto"/>
        </w:rPr>
        <w:t>$6,400</w:t>
      </w:r>
    </w:p>
    <w:p>
      <w:pPr>
        <w:spacing w:after="0" w:line="7"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8"/>
          <w:szCs w:val="18"/>
          <w:color w:val="auto"/>
        </w:rPr>
        <w:t>3,035</w:t>
      </w:r>
    </w:p>
    <w:p>
      <w:pPr>
        <w:spacing w:after="0" w:line="9"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8"/>
          <w:szCs w:val="18"/>
          <w:color w:val="auto"/>
        </w:rPr>
        <w:t>$9,435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14605</wp:posOffset>
            </wp:positionV>
            <wp:extent cx="9347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wp:posOffset>
            </wp:positionH>
            <wp:positionV relativeFrom="paragraph">
              <wp:posOffset>31750</wp:posOffset>
            </wp:positionV>
            <wp:extent cx="9347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wp:posOffset>
            </wp:positionH>
            <wp:positionV relativeFrom="paragraph">
              <wp:posOffset>-130810</wp:posOffset>
            </wp:positionV>
            <wp:extent cx="9347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720"/>
            <w:col w:w="2820"/>
          </w:cols>
          <w:pgMar w:left="240" w:top="239" w:right="259" w:bottom="0" w:gutter="0" w:footer="0" w:header="0"/>
          <w:type w:val="continuous"/>
        </w:sectPr>
      </w:pPr>
    </w:p>
    <w:p>
      <w:pPr>
        <w:spacing w:after="0" w:line="61"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$6,400 of amortizable intangible assets consists of $6,180 in client relationships and $220 in a non-solicitation agreement. Goodwill will be amortized over a period of 15 years for income tax purposes.</w:t>
      </w:r>
    </w:p>
    <w:p>
      <w:pPr>
        <w:spacing w:after="0" w:line="162" w:lineRule="exact"/>
        <w:rPr>
          <w:sz w:val="20"/>
          <w:szCs w:val="20"/>
          <w:color w:val="auto"/>
        </w:rPr>
      </w:pPr>
    </w:p>
    <w:p>
      <w:pPr>
        <w:ind w:right="180" w:firstLine="648"/>
        <w:spacing w:after="0" w:line="281" w:lineRule="auto"/>
        <w:rPr>
          <w:sz w:val="20"/>
          <w:szCs w:val="20"/>
          <w:color w:val="auto"/>
        </w:rPr>
      </w:pPr>
      <w:r>
        <w:rPr>
          <w:rFonts w:ascii="Times New Roman" w:cs="Times New Roman" w:eastAsia="Times New Roman" w:hAnsi="Times New Roman"/>
          <w:sz w:val="17"/>
          <w:szCs w:val="17"/>
          <w:color w:val="auto"/>
        </w:rPr>
        <w:t>In April 2015, the Company acquired certain assets sufficient to sell the Company’s products in the State of New Jersey marketplace upon the termination of its reseller agreement with Synergy Payroll, LLC, as part of the Company’s strategy of simplifying its sales channels. The total consideration for the acquisition was $9,508, of which $8,994 was paid at closing. The Company paid $483 during fiscal year 2016, which was net of adjustments in accordance with the asset purchase agreement. The following table summarizes the fair value of the assets acquired at the date of acquisition:</w:t>
      </w:r>
    </w:p>
    <w:p>
      <w:pPr>
        <w:sectPr>
          <w:pgSz w:w="11900" w:h="16838" w:orient="portrait"/>
          <w:cols w:equalWidth="0" w:num="1">
            <w:col w:w="11400"/>
          </w:cols>
          <w:pgMar w:left="240" w:top="239" w:right="259" w:bottom="0" w:gutter="0" w:footer="0" w:header="0"/>
          <w:type w:val="continuous"/>
        </w:sectPr>
      </w:pPr>
    </w:p>
    <w:p>
      <w:pPr>
        <w:spacing w:after="0" w:line="3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Goodwill</w:t>
      </w:r>
    </w:p>
    <w:p>
      <w:pPr>
        <w:spacing w:after="0" w:line="1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Total purchase price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 April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7620</wp:posOffset>
            </wp:positionV>
            <wp:extent cx="9347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7"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8"/>
          <w:szCs w:val="18"/>
          <w:color w:val="auto"/>
        </w:rPr>
        <w:t>$6,540</w:t>
      </w:r>
    </w:p>
    <w:p>
      <w:pPr>
        <w:spacing w:after="0" w:line="7"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8"/>
          <w:szCs w:val="18"/>
          <w:color w:val="auto"/>
        </w:rPr>
        <w:t>2,968</w:t>
      </w:r>
    </w:p>
    <w:p>
      <w:pPr>
        <w:spacing w:after="0" w:line="9"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8"/>
          <w:szCs w:val="18"/>
          <w:color w:val="auto"/>
        </w:rPr>
        <w:t>$9,508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14605</wp:posOffset>
            </wp:positionV>
            <wp:extent cx="9347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-130175</wp:posOffset>
            </wp:positionH>
            <wp:positionV relativeFrom="paragraph">
              <wp:posOffset>31750</wp:posOffset>
            </wp:positionV>
            <wp:extent cx="9347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-130175</wp:posOffset>
            </wp:positionH>
            <wp:positionV relativeFrom="paragraph">
              <wp:posOffset>-130810</wp:posOffset>
            </wp:positionV>
            <wp:extent cx="9347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40" w:space="720"/>
            <w:col w:w="2840"/>
          </w:cols>
          <w:pgMar w:left="240" w:top="239" w:right="259" w:bottom="0" w:gutter="0" w:footer="0" w:header="0"/>
          <w:type w:val="continuous"/>
        </w:sectPr>
      </w:pPr>
    </w:p>
    <w:p>
      <w:pPr>
        <w:spacing w:after="0" w:line="61"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$6,540 of amortizable intangible assets consists of $6,400 in client relationships and $140 in non-solicitation agreements. Goodwill will be amortized over a period of 15 years for income tax purposes.</w:t>
      </w:r>
    </w:p>
    <w:p>
      <w:pPr>
        <w:spacing w:after="0" w:line="162"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balance of the acquired intangibles, net of amortization, is stated separately on the consolidated balance sheet. Direct costs related to the acquisition were recorded as general and administrative expense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Capitalized Internal-Use Software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internal-use software and accumulated amortization were as follows:</w:t>
      </w:r>
    </w:p>
    <w:p>
      <w:pPr>
        <w:spacing w:after="0" w:line="219"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7620</wp:posOffset>
            </wp:positionV>
            <wp:extent cx="16033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11400"/>
          </w:cols>
          <w:pgMar w:left="240" w:top="239" w:right="259" w:bottom="0" w:gutter="0" w:footer="0" w:header="0"/>
          <w:type w:val="continuous"/>
        </w:sectPr>
      </w:pPr>
    </w:p>
    <w:bookmarkStart w:id="47" w:name="page48"/>
    <w:bookmarkEnd w:id="47"/>
    <w:p>
      <w:pPr>
        <w:spacing w:after="0" w:line="62" w:lineRule="exact"/>
        <w:rPr>
          <w:sz w:val="20"/>
          <w:szCs w:val="20"/>
          <w:color w:val="auto"/>
        </w:rPr>
      </w:pPr>
    </w:p>
    <w:tbl>
      <w:tblPr>
        <w:tblLayout w:type="fixed"/>
        <w:tblInd w:w="1620" w:type="dxa"/>
        <w:tblCellMar>
          <w:top w:w="0" w:type="dxa"/>
          <w:left w:w="0" w:type="dxa"/>
          <w:bottom w:w="0" w:type="dxa"/>
          <w:right w:w="0" w:type="dxa"/>
        </w:tblCellMar>
      </w:tblPr>
      <w:tr>
        <w:trPr>
          <w:trHeight w:val="175"/>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11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5"/>
                <w:szCs w:val="15"/>
                <w:color w:val="auto"/>
              </w:rPr>
            </w:pPr>
          </w:p>
        </w:tc>
        <w:tc>
          <w:tcPr>
            <w:tcW w:w="11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1"/>
        </w:trPr>
        <w:tc>
          <w:tcPr>
            <w:tcW w:w="5700" w:type="dxa"/>
            <w:vAlign w:val="bottom"/>
            <w:vMerge w:val="continue"/>
          </w:tcPr>
          <w:p>
            <w:pPr>
              <w:spacing w:after="0"/>
              <w:rPr>
                <w:sz w:val="16"/>
                <w:szCs w:val="16"/>
                <w:color w:val="auto"/>
              </w:rPr>
            </w:pP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$24,733</w:t>
            </w:r>
          </w:p>
        </w:tc>
        <w:tc>
          <w:tcPr>
            <w:tcW w:w="200" w:type="dxa"/>
            <w:vAlign w:val="bottom"/>
          </w:tcPr>
          <w:p>
            <w:pPr>
              <w:spacing w:after="0"/>
              <w:rPr>
                <w:sz w:val="16"/>
                <w:szCs w:val="16"/>
                <w:color w:val="auto"/>
              </w:rPr>
            </w:pP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$34,249</w:t>
            </w:r>
          </w:p>
        </w:tc>
        <w:tc>
          <w:tcPr>
            <w:tcW w:w="0" w:type="dxa"/>
            <w:vAlign w:val="bottom"/>
          </w:tcPr>
          <w:p>
            <w:pPr>
              <w:spacing w:after="0"/>
              <w:rPr>
                <w:sz w:val="1"/>
                <w:szCs w:val="1"/>
                <w:color w:val="auto"/>
              </w:rPr>
            </w:pPr>
          </w:p>
        </w:tc>
      </w:t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(17,376)</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(22,822)</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2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$11,427</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Amortization of capitalized internal-use software amounted to $2,195, $2,606 and $5,446 for the years ended June 30, 2014, 2015 and 2016, respectively and is included in Cost of Revenues—Recurring Revenues.</w:t>
      </w:r>
    </w:p>
    <w:p>
      <w:pPr>
        <w:spacing w:after="0" w:line="15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major classes of property and equipment are as follows as of June 30:</w:t>
      </w:r>
    </w:p>
    <w:p>
      <w:pPr>
        <w:spacing w:after="0" w:line="219" w:lineRule="exact"/>
        <w:rPr>
          <w:sz w:val="20"/>
          <w:szCs w:val="20"/>
          <w:color w:val="auto"/>
        </w:rPr>
      </w:pPr>
    </w:p>
    <w:tbl>
      <w:tblPr>
        <w:tblLayout w:type="fixed"/>
        <w:tblInd w:w="130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2440" w:type="dxa"/>
            <w:vAlign w:val="bottom"/>
            <w:tcBorders>
              <w:bottom w:val="single" w:sz="8" w:color="auto"/>
            </w:tcBorders>
            <w:gridSpan w:val="3"/>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0" w:type="dxa"/>
            <w:vAlign w:val="bottom"/>
          </w:tcPr>
          <w:p>
            <w:pPr>
              <w:spacing w:after="0"/>
              <w:rPr>
                <w:sz w:val="1"/>
                <w:szCs w:val="1"/>
                <w:color w:val="auto"/>
              </w:rPr>
            </w:pPr>
          </w:p>
        </w:tc>
      </w:tr>
      <w:tr>
        <w:trPr>
          <w:trHeight w:val="142"/>
        </w:trPr>
        <w:tc>
          <w:tcPr>
            <w:tcW w:w="6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14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Pr>
          <w:p>
            <w:pPr>
              <w:spacing w:after="0"/>
              <w:rPr>
                <w:sz w:val="12"/>
                <w:szCs w:val="12"/>
                <w:color w:val="auto"/>
              </w:rPr>
            </w:pPr>
          </w:p>
        </w:tc>
        <w:tc>
          <w:tcPr>
            <w:tcW w:w="112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1"/>
        </w:trPr>
        <w:tc>
          <w:tcPr>
            <w:tcW w:w="6120" w:type="dxa"/>
            <w:vAlign w:val="bottom"/>
            <w:vMerge w:val="continue"/>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$1,875</w:t>
            </w:r>
          </w:p>
        </w:tc>
        <w:tc>
          <w:tcPr>
            <w:tcW w:w="180" w:type="dxa"/>
            <w:vAlign w:val="bottom"/>
          </w:tcPr>
          <w:p>
            <w:pPr>
              <w:spacing w:after="0"/>
              <w:rPr>
                <w:sz w:val="16"/>
                <w:szCs w:val="16"/>
                <w:color w:val="auto"/>
              </w:rPr>
            </w:pPr>
          </w:p>
        </w:tc>
        <w:tc>
          <w:tcPr>
            <w:tcW w:w="1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$2,528</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11,783</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18,139</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11,164</w:t>
            </w:r>
          </w:p>
        </w:tc>
        <w:tc>
          <w:tcPr>
            <w:tcW w:w="0" w:type="dxa"/>
            <w:vAlign w:val="bottom"/>
          </w:tcPr>
          <w:p>
            <w:pPr>
              <w:spacing w:after="0"/>
              <w:rPr>
                <w:sz w:val="1"/>
                <w:szCs w:val="1"/>
                <w:color w:val="auto"/>
              </w:rPr>
            </w:pP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Time clocks rented by clients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0" w:type="dxa"/>
            <w:vAlign w:val="bottom"/>
          </w:tcPr>
          <w:p>
            <w:pPr>
              <w:spacing w:after="0"/>
              <w:rPr>
                <w:sz w:val="1"/>
                <w:szCs w:val="1"/>
                <w:color w:val="auto"/>
              </w:rPr>
            </w:pPr>
          </w:p>
        </w:tc>
      </w:tr>
      <w:tr>
        <w:trPr>
          <w:trHeight w:val="191"/>
        </w:trPr>
        <w:tc>
          <w:tcPr>
            <w:tcW w:w="612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31,155</w:t>
            </w:r>
          </w:p>
        </w:tc>
        <w:tc>
          <w:tcPr>
            <w:tcW w:w="180" w:type="dxa"/>
            <w:vAlign w:val="bottom"/>
          </w:tcPr>
          <w:p>
            <w:pPr>
              <w:spacing w:after="0"/>
              <w:rPr>
                <w:sz w:val="16"/>
                <w:szCs w:val="16"/>
                <w:color w:val="auto"/>
              </w:rPr>
            </w:pPr>
          </w:p>
        </w:tc>
        <w:tc>
          <w:tcPr>
            <w:tcW w:w="1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45,244</w:t>
            </w:r>
          </w:p>
        </w:tc>
        <w:tc>
          <w:tcPr>
            <w:tcW w:w="0" w:type="dxa"/>
            <w:vAlign w:val="bottom"/>
          </w:tcPr>
          <w:p>
            <w:pPr>
              <w:spacing w:after="0"/>
              <w:rPr>
                <w:sz w:val="1"/>
                <w:szCs w:val="1"/>
                <w:color w:val="auto"/>
              </w:rPr>
            </w:pP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(15,094)</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(18,457)</w:t>
            </w:r>
          </w:p>
        </w:tc>
        <w:tc>
          <w:tcPr>
            <w:tcW w:w="0" w:type="dxa"/>
            <w:vAlign w:val="bottom"/>
          </w:tcPr>
          <w:p>
            <w:pPr>
              <w:spacing w:after="0"/>
              <w:rPr>
                <w:sz w:val="1"/>
                <w:szCs w:val="1"/>
                <w:color w:val="auto"/>
              </w:rPr>
            </w:pP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$26,787</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amounted to $4,061, $5,084 and $6,905 for the years ended June 30, 2014, 2015 and 2016,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Intangible Assets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cost over the net tangible and identifiable intangible assets of acquired businesses. Goodwill amounts are not amortized, but rather tested for impairment at least annually in the fourth quarter. Identifiable intangible assets acquired in business combinations are recorded based on fair value at the date of acquisition and amortized over their estimated useful lives. See Note 5 for further information regarding the acquisitions completed in 2014 and 2015.</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amortizable intangible assets, before amortization expense, have estimated useful lives as follows:</w:t>
      </w:r>
    </w:p>
    <w:p>
      <w:pPr>
        <w:spacing w:after="0" w:line="206"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As of June</w:t>
            </w:r>
          </w:p>
        </w:tc>
        <w:tc>
          <w:tcPr>
            <w:tcW w:w="102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As of June</w:t>
            </w: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Useful</w:t>
            </w:r>
          </w:p>
        </w:tc>
        <w:tc>
          <w:tcPr>
            <w:tcW w:w="0" w:type="dxa"/>
            <w:vAlign w:val="bottom"/>
          </w:tcPr>
          <w:p>
            <w:pPr>
              <w:spacing w:after="0"/>
              <w:rPr>
                <w:sz w:val="1"/>
                <w:szCs w:val="1"/>
                <w:color w:val="auto"/>
              </w:rPr>
            </w:pPr>
          </w:p>
        </w:tc>
      </w:tr>
      <w:tr>
        <w:trPr>
          <w:trHeight w:val="173"/>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Client relationships</w:t>
            </w:r>
          </w:p>
        </w:tc>
        <w:tc>
          <w:tcPr>
            <w:tcW w:w="10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30, 2015</w:t>
            </w:r>
          </w:p>
        </w:tc>
        <w:tc>
          <w:tcPr>
            <w:tcW w:w="220" w:type="dxa"/>
            <w:vAlign w:val="bottom"/>
          </w:tcPr>
          <w:p>
            <w:pPr>
              <w:spacing w:after="0"/>
              <w:rPr>
                <w:sz w:val="15"/>
                <w:szCs w:val="15"/>
                <w:color w:val="auto"/>
              </w:rPr>
            </w:pPr>
          </w:p>
        </w:tc>
        <w:tc>
          <w:tcPr>
            <w:tcW w:w="10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30, 2016</w:t>
            </w: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191"/>
        </w:trPr>
        <w:tc>
          <w:tcPr>
            <w:tcW w:w="4960" w:type="dxa"/>
            <w:vAlign w:val="bottom"/>
            <w:vMerge w:val="continue"/>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$12,580</w:t>
            </w:r>
          </w:p>
        </w:tc>
        <w:tc>
          <w:tcPr>
            <w:tcW w:w="220" w:type="dxa"/>
            <w:vAlign w:val="bottom"/>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$12,580</w:t>
            </w:r>
          </w:p>
        </w:tc>
        <w:tc>
          <w:tcPr>
            <w:tcW w:w="220" w:type="dxa"/>
            <w:vAlign w:val="bottom"/>
          </w:tcPr>
          <w:p>
            <w:pPr>
              <w:spacing w:after="0"/>
              <w:rPr>
                <w:sz w:val="16"/>
                <w:szCs w:val="16"/>
                <w:color w:val="auto"/>
              </w:rPr>
            </w:pPr>
          </w:p>
        </w:tc>
        <w:tc>
          <w:tcPr>
            <w:tcW w:w="1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9 years</w:t>
            </w: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Non-solicitation agreements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 years</w:t>
            </w:r>
          </w:p>
        </w:tc>
        <w:tc>
          <w:tcPr>
            <w:tcW w:w="0" w:type="dxa"/>
            <w:vAlign w:val="bottom"/>
          </w:tcPr>
          <w:p>
            <w:pPr>
              <w:spacing w:after="0"/>
              <w:rPr>
                <w:sz w:val="1"/>
                <w:szCs w:val="1"/>
                <w:color w:val="auto"/>
              </w:rPr>
            </w:pPr>
          </w:p>
        </w:tc>
      </w:tr>
      <w:tr>
        <w:trPr>
          <w:trHeight w:val="191"/>
        </w:trPr>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12,940</w:t>
            </w:r>
          </w:p>
        </w:tc>
        <w:tc>
          <w:tcPr>
            <w:tcW w:w="220" w:type="dxa"/>
            <w:vAlign w:val="bottom"/>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12,940</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$11,941</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$10,419</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for acquired intangible assets was $80, $919 and $1,522 for the years ended June 30, 2014, 2015 and 2016,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amortization expense for acquired intangible is as follows, as of June 30, 2016:</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June 30:</w:t>
            </w:r>
          </w:p>
        </w:tc>
        <w:tc>
          <w:tcPr>
            <w:tcW w:w="1000" w:type="dxa"/>
            <w:vAlign w:val="bottom"/>
          </w:tcPr>
          <w:p>
            <w:pPr>
              <w:spacing w:after="0"/>
              <w:rPr>
                <w:sz w:val="19"/>
                <w:szCs w:val="19"/>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w:t>
            </w:r>
          </w:p>
        </w:tc>
      </w:tr>
      <w:tr>
        <w:trPr>
          <w:trHeight w:val="210"/>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$10,419</w:t>
            </w:r>
          </w:p>
        </w:tc>
      </w:tr>
      <w:tr>
        <w:trPr>
          <w:trHeight w:val="20"/>
        </w:trPr>
        <w:tc>
          <w:tcPr>
            <w:tcW w:w="6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Accrued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accrued expenses are as follows:</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2280" w:type="dxa"/>
            <w:vAlign w:val="bottom"/>
            <w:tcBorders>
              <w:bottom w:val="single" w:sz="8" w:color="auto"/>
            </w:tcBorders>
            <w:gridSpan w:val="3"/>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0" w:type="dxa"/>
            <w:vAlign w:val="bottom"/>
          </w:tcPr>
          <w:p>
            <w:pPr>
              <w:spacing w:after="0"/>
              <w:rPr>
                <w:sz w:val="1"/>
                <w:szCs w:val="1"/>
                <w:color w:val="auto"/>
              </w:rPr>
            </w:pPr>
          </w:p>
        </w:tc>
      </w:tr>
      <w:tr>
        <w:trPr>
          <w:trHeight w:val="142"/>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Accrued payroll and personnel costs</w:t>
            </w:r>
          </w:p>
        </w:tc>
        <w:tc>
          <w:tcPr>
            <w:tcW w:w="104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1"/>
        </w:trPr>
        <w:tc>
          <w:tcPr>
            <w:tcW w:w="6740" w:type="dxa"/>
            <w:vAlign w:val="bottom"/>
            <w:vMerge w:val="continue"/>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$14,275</w:t>
            </w:r>
          </w:p>
        </w:tc>
        <w:tc>
          <w:tcPr>
            <w:tcW w:w="220" w:type="dxa"/>
            <w:vAlign w:val="bottom"/>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$21,658</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deferred rent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0" w:type="dxa"/>
            <w:vAlign w:val="bottom"/>
          </w:tcPr>
          <w:p>
            <w:pPr>
              <w:spacing w:after="0"/>
              <w:rPr>
                <w:sz w:val="1"/>
                <w:szCs w:val="1"/>
                <w:color w:val="auto"/>
              </w:rPr>
            </w:pPr>
          </w:p>
        </w:tc>
      </w:tr>
      <w:tr>
        <w:trPr>
          <w:trHeight w:val="21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$16,430</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$24,979</w:t>
            </w:r>
          </w:p>
        </w:tc>
        <w:tc>
          <w:tcPr>
            <w:tcW w:w="0" w:type="dxa"/>
            <w:vAlign w:val="bottom"/>
          </w:tcPr>
          <w:p>
            <w:pPr>
              <w:spacing w:after="0"/>
              <w:rPr>
                <w:sz w:val="1"/>
                <w:szCs w:val="1"/>
                <w:color w:val="auto"/>
              </w:rPr>
            </w:pPr>
          </w:p>
        </w:tc>
      </w:tr>
    </w:tbl>
    <w:p>
      <w:pPr>
        <w:sectPr>
          <w:pgSz w:w="11900" w:h="16900" w:orient="portrait"/>
          <w:cols w:equalWidth="0" w:num="1">
            <w:col w:w="11020"/>
          </w:cols>
          <w:pgMar w:left="240" w:top="114" w:right="639" w:bottom="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4857115</wp:posOffset>
            </wp:positionH>
            <wp:positionV relativeFrom="page">
              <wp:posOffset>88900</wp:posOffset>
            </wp:positionV>
            <wp:extent cx="14408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40815" cy="17145"/>
                    </a:xfrm>
                    <a:prstGeom prst="rect">
                      <a:avLst/>
                    </a:prstGeom>
                    <a:noFill/>
                  </pic:spPr>
                </pic:pic>
              </a:graphicData>
            </a:graphic>
          </wp:anchor>
        </w:drawing>
        <w:t>(10) Leases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primarily leases office space in Illinois, California, Florida, Idaho, New Jersey, New Hampshire and New York under non-cancellable operating leases expiring on various dates from August 2016 through March 2026. The leases provide for increasing annual base rents and oblige the Company to fund proportionate share of operating expenses and, in certain cases, real estate taxes. The Company also leases various types of office and production related equipment under non-cancellable operating leases expiring on various dates from December 2016 through July 2024.</w:t>
      </w:r>
    </w:p>
    <w:p>
      <w:pPr>
        <w:spacing w:after="0" w:line="180"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In June 2016, the Company entered into a lease for approximately 310 rentable square feet of office space located in Schaumburg, Illinois. The Company intends to use the leased premises as its headquarters upon the expiration of the lease of its current headquarters. The lease provides for phased delivery and commencement dates, with commencement expected to occur on the following approximate dates: Phase I (June 1, 2017), Phase II (Nov 1, 2017), Phase III (July 1, 2018), and Phase IV (July 1, 2019). The actual commencement dates are subject to timely delivery of the premises by the landlord. The lease provides for a term beginning on the Phase I commencement date and ending 180 full calendar months after the landlord delivers the Phase II premises to the Company, which is expected to be on or about November 1, 2017, with two subsequent five year renewal options.</w:t>
      </w:r>
    </w:p>
    <w:p>
      <w:pPr>
        <w:spacing w:after="0" w:line="18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Minimum rent payments under operating leases are recognized on a straight-line basis over the term of the lease including any periods of free rent and future rent increases. Rental expense for operating leases, including amortization of leasehold improvements, was $3,035, $4,238 and $5,596 for the years ended June 30, 2014, 2015 and 2016, respectively.</w:t>
      </w:r>
    </w:p>
    <w:p>
      <w:pPr>
        <w:spacing w:after="0" w:line="17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non-cancellable operating leases (with initial or remaining lease terms in excess of one year), including payments for the lease of the new headquarters, as of June 30, 2016 are:</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June 30:</w:t>
            </w:r>
          </w:p>
        </w:tc>
        <w:tc>
          <w:tcPr>
            <w:tcW w:w="1240" w:type="dxa"/>
            <w:vAlign w:val="bottom"/>
          </w:tcPr>
          <w:p>
            <w:pPr>
              <w:spacing w:after="0"/>
              <w:rPr>
                <w:sz w:val="19"/>
                <w:szCs w:val="19"/>
                <w:color w:val="auto"/>
              </w:rPr>
            </w:pPr>
          </w:p>
        </w:tc>
      </w:tr>
      <w:tr>
        <w:trPr>
          <w:trHeight w:val="216"/>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r>
      <w:tr>
        <w:trPr>
          <w:trHeight w:val="216"/>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w:t>
            </w:r>
          </w:p>
        </w:tc>
      </w:tr>
      <w:tr>
        <w:trPr>
          <w:trHeight w:val="216"/>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w:t>
            </w:r>
          </w:p>
        </w:tc>
      </w:tr>
      <w:tr>
        <w:trPr>
          <w:trHeight w:val="216"/>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7,584</w:t>
            </w:r>
          </w:p>
        </w:tc>
      </w:tr>
      <w:tr>
        <w:trPr>
          <w:trHeight w:val="216"/>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8,365</w:t>
            </w:r>
          </w:p>
        </w:tc>
      </w:tr>
      <w:tr>
        <w:trPr>
          <w:trHeight w:val="234"/>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Later years, through 2033</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75,727</w:t>
            </w:r>
          </w:p>
        </w:tc>
      </w:tr>
      <w:tr>
        <w:trPr>
          <w:trHeight w:val="210"/>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$111,361</w:t>
            </w:r>
          </w:p>
        </w:tc>
      </w:tr>
      <w:tr>
        <w:trPr>
          <w:trHeight w:val="20"/>
        </w:trPr>
        <w:tc>
          <w:tcPr>
            <w:tcW w:w="6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 expense for the years ended June 30, 2014, 2015 and 2016 consists of the following:</w:t>
      </w:r>
    </w:p>
    <w:p>
      <w:pPr>
        <w:spacing w:after="0" w:line="219"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taxes</w:t>
            </w:r>
          </w:p>
        </w:tc>
        <w:tc>
          <w:tcPr>
            <w:tcW w:w="114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2"/>
                <w:szCs w:val="12"/>
                <w:color w:val="auto"/>
              </w:rPr>
            </w:pPr>
          </w:p>
        </w:tc>
        <w:tc>
          <w:tcPr>
            <w:tcW w:w="1300" w:type="dxa"/>
            <w:vAlign w:val="bottom"/>
            <w:gridSpan w:val="2"/>
          </w:tcPr>
          <w:p>
            <w:pPr>
              <w:jc w:val="right"/>
              <w:ind w:right="33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2"/>
                <w:szCs w:val="12"/>
                <w:color w:val="auto"/>
              </w:rPr>
            </w:pPr>
          </w:p>
        </w:tc>
        <w:tc>
          <w:tcPr>
            <w:tcW w:w="114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78"/>
        </w:trPr>
        <w:tc>
          <w:tcPr>
            <w:tcW w:w="5040" w:type="dxa"/>
            <w:vAlign w:val="bottom"/>
            <w:vMerge w:val="continue"/>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federal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and local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federal</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4"/>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and local</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w:t>
            </w:r>
          </w:p>
        </w:tc>
        <w:tc>
          <w:tcPr>
            <w:tcW w:w="15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920" w:hanging="264"/>
        <w:spacing w:after="0"/>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Tax Rate Reconciliation</w:t>
      </w:r>
    </w:p>
    <w:p>
      <w:pPr>
        <w:spacing w:after="0" w:line="229"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Income tax expense differed from the amounts computed by applying the U.S. federal income tax rate of 34% to pretax loss from continuing operations as a result of the following:</w:t>
      </w:r>
    </w:p>
    <w:p>
      <w:pPr>
        <w:spacing w:after="0" w:line="155"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 provision at statutory federal rate</w:t>
            </w:r>
          </w:p>
        </w:tc>
        <w:tc>
          <w:tcPr>
            <w:tcW w:w="102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260" w:type="dxa"/>
            <w:vAlign w:val="bottom"/>
            <w:gridSpan w:val="2"/>
          </w:tcPr>
          <w:p>
            <w:pPr>
              <w:jc w:val="right"/>
              <w:ind w:right="29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2"/>
                <w:szCs w:val="12"/>
                <w:color w:val="auto"/>
              </w:rPr>
            </w:pPr>
          </w:p>
        </w:tc>
        <w:tc>
          <w:tcPr>
            <w:tcW w:w="102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1"/>
        </w:trPr>
        <w:tc>
          <w:tcPr>
            <w:tcW w:w="5840" w:type="dxa"/>
            <w:vAlign w:val="bottom"/>
            <w:vMerge w:val="continue"/>
          </w:tcPr>
          <w:p>
            <w:pPr>
              <w:spacing w:after="0"/>
              <w:rPr>
                <w:sz w:val="16"/>
                <w:szCs w:val="16"/>
                <w:color w:val="auto"/>
              </w:rPr>
            </w:pP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$(2,331)</w:t>
            </w:r>
          </w:p>
        </w:tc>
        <w:tc>
          <w:tcPr>
            <w:tcW w:w="240" w:type="dxa"/>
            <w:vAlign w:val="bottom"/>
          </w:tcPr>
          <w:p>
            <w:pPr>
              <w:spacing w:after="0"/>
              <w:rPr>
                <w:sz w:val="16"/>
                <w:szCs w:val="16"/>
                <w:color w:val="auto"/>
              </w:rPr>
            </w:pP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$(4,716)</w:t>
            </w:r>
          </w:p>
        </w:tc>
        <w:tc>
          <w:tcPr>
            <w:tcW w:w="220" w:type="dxa"/>
            <w:vAlign w:val="bottom"/>
          </w:tcPr>
          <w:p>
            <w:pPr>
              <w:spacing w:after="0"/>
              <w:rPr>
                <w:sz w:val="16"/>
                <w:szCs w:val="16"/>
                <w:color w:val="auto"/>
              </w:rPr>
            </w:pP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Increase (reduction) in income taxes resulting from:</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 net of federal income tax benefit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Non-deductible expenses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benefit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34"/>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900" w:hanging="244"/>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Components of Deferred Tax Assets and Liabilities</w:t>
      </w:r>
    </w:p>
    <w:p>
      <w:pPr>
        <w:spacing w:after="0" w:line="13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at June 30, 2015 and 2016 are presented below.</w:t>
      </w:r>
    </w:p>
    <w:p>
      <w:pPr>
        <w:spacing w:after="0" w:line="155"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4"/>
          <w:szCs w:val="14"/>
          <w:b w:val="1"/>
          <w:bCs w:val="1"/>
          <w:color w:val="auto"/>
        </w:rPr>
        <w:t>Year ended June 30,</w:t>
      </w:r>
    </w:p>
    <w:p>
      <w:pPr>
        <w:spacing w:after="0" w:line="12" w:lineRule="exact"/>
        <w:rPr>
          <w:sz w:val="20"/>
          <w:szCs w:val="20"/>
          <w:color w:val="auto"/>
        </w:rPr>
      </w:pPr>
    </w:p>
    <w:tbl>
      <w:tblPr>
        <w:tblLayout w:type="fixed"/>
        <w:tblInd w:w="1620" w:type="dxa"/>
        <w:tblCellMar>
          <w:top w:w="0" w:type="dxa"/>
          <w:left w:w="0" w:type="dxa"/>
          <w:bottom w:w="0" w:type="dxa"/>
          <w:right w:w="0" w:type="dxa"/>
        </w:tblCellMar>
      </w:tblPr>
      <w:tr>
        <w:trPr>
          <w:trHeight w:val="142"/>
        </w:trPr>
        <w:tc>
          <w:tcPr>
            <w:tcW w:w="5380" w:type="dxa"/>
            <w:vAlign w:val="bottom"/>
            <w:vMerge w:val="restart"/>
          </w:tcPr>
          <w:p>
            <w:pPr>
              <w:jc w:val="right"/>
              <w:ind w:right="3870"/>
              <w:spacing w:after="0"/>
              <w:rPr>
                <w:sz w:val="20"/>
                <w:szCs w:val="20"/>
                <w:color w:val="auto"/>
              </w:rPr>
            </w:pPr>
            <w:r>
              <w:rPr>
                <w:rFonts w:ascii="Times New Roman" w:cs="Times New Roman" w:eastAsia="Times New Roman" w:hAnsi="Times New Roman"/>
                <w:sz w:val="18"/>
                <w:szCs w:val="18"/>
                <w:color w:val="auto"/>
                <w:w w:val="98"/>
              </w:rPr>
              <w:t>Deferred tax assets:</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78"/>
        </w:trPr>
        <w:tc>
          <w:tcPr>
            <w:tcW w:w="538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120" w:type="dxa"/>
            <w:vAlign w:val="bottom"/>
            <w:gridSpan w:val="2"/>
          </w:tcPr>
          <w:p>
            <w:pPr>
              <w:jc w:val="right"/>
              <w:ind w:right="4888"/>
              <w:spacing w:after="0"/>
              <w:rPr>
                <w:sz w:val="20"/>
                <w:szCs w:val="20"/>
                <w:color w:val="auto"/>
              </w:rPr>
            </w:pPr>
            <w:r>
              <w:rPr>
                <w:rFonts w:ascii="Times New Roman" w:cs="Times New Roman" w:eastAsia="Times New Roman" w:hAnsi="Times New Roman"/>
                <w:sz w:val="18"/>
                <w:szCs w:val="18"/>
                <w:color w:val="auto"/>
              </w:rPr>
              <w:t>Deferred rent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$558</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0" w:gutter="0" w:footer="0" w:header="0"/>
        </w:sectPr>
      </w:pPr>
    </w:p>
    <w:bookmarkStart w:id="49" w:name="page50"/>
    <w:bookmarkEnd w:id="49"/>
    <w:p>
      <w:pPr>
        <w:spacing w:after="0" w:line="1"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r>
      <w:tr>
        <w:trPr>
          <w:trHeight w:val="21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w:t>
            </w:r>
          </w:p>
        </w:tc>
      </w:tr>
      <w:tr>
        <w:trPr>
          <w:trHeight w:val="21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r>
      <w:tr>
        <w:trPr>
          <w:trHeight w:val="21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w:t>
            </w:r>
          </w:p>
        </w:tc>
      </w:tr>
      <w:tr>
        <w:trPr>
          <w:trHeight w:val="21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AMT Credits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191"/>
        </w:trPr>
        <w:tc>
          <w:tcPr>
            <w:tcW w:w="538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rPr>
              <w:t>Total deferred tax assets</w:t>
            </w:r>
          </w:p>
        </w:tc>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12,461</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18,104</w:t>
            </w:r>
          </w:p>
        </w:tc>
      </w:tr>
      <w:tr>
        <w:trPr>
          <w:trHeight w:val="234"/>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(7,448)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(10,038)</w:t>
            </w:r>
          </w:p>
        </w:tc>
      </w:tr>
      <w:tr>
        <w:trPr>
          <w:trHeight w:val="191"/>
        </w:trPr>
        <w:tc>
          <w:tcPr>
            <w:tcW w:w="538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rPr>
              <w:t>Net deferred tax assets</w:t>
            </w:r>
          </w:p>
        </w:tc>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5,013</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8,066</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r>
      <w:tr>
        <w:trPr>
          <w:trHeight w:val="21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4"/>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w:t>
            </w:r>
          </w:p>
        </w:tc>
      </w:tr>
      <w:tr>
        <w:trPr>
          <w:trHeight w:val="210"/>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liabilities</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(8,315)</w:t>
            </w:r>
          </w:p>
        </w:tc>
      </w:tr>
      <w:tr>
        <w:trPr>
          <w:trHeight w:val="210"/>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0"/>
        </w:trPr>
        <w:tc>
          <w:tcPr>
            <w:tcW w:w="5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through the generation of future taxable income.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carryforward periods), projected future taxable income and tax-planning strategies in making this assessment. Taxable loss for the years ended June 30, 2014, 2015 and 2016 was approximately $(3,817) and $(12,424), and $(8,330) respectively, prior to utilization or establishment of net operating loss carryforwards. Based upon the same three year period pre-tax book income, the Company is in a three-year cumulative loss position. As a result of this and other assessments in the year ended June 30, 2016, management concluded that a full valuation allowance is required for all deferred tax assets and liabilities except for deferred tax liabilities associated with indefinite-lived intangible assets.</w:t>
      </w:r>
    </w:p>
    <w:p>
      <w:pPr>
        <w:spacing w:after="0" w:line="183"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November 2015, the FASB issued ASU 2015-17,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xml:space="preserve"> (Topic 740) (“ASU 2015-17”), which requires all deferred income tax assets and liabilities to be classified as non-current in a classified balance sheet. As allowed by ASU 2015-17, the Company adopted the new requirements as of June 30, 2016, on a prospective basis. The adoption of this standard resulted in a reclassification of deferred tax assets and liabilities to the non-current deferred tax liability in the Company’s consolidated balance sheet as of June 30, 2016. ASU 2015-17 did not have a material impact on the Company’s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consolidated balance sheet and had no impact on the Company’s consolidated results of operations or cash flows. No prior periods were retrospectively adjusted.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June 30, 2016, the Company has gross excess tax benefits from stock option exercises of approximately $14,969 for federal and state income tax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At June 30, 2016, the Company has net operating loss carryforwards for federal income tax purposes of approximately $12,453 and state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purposes of approximately $4,703, both excluding the excess tax benefits from stock option exercises noted above. The net tax impact of $5,089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$535 for federal and state income tax purposes, respectively, related to the excess tax benefits from stock option exercises will be credited to additional 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capital when realized. The federal NOL carryforwards expire from 2029 to 2036. The state NOL carryforwards expire from 2019 to 2036.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has gross federal and state research and development tax credit and other state credit carryforwards of approximately $3,236 which expire between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2036. In addition, the Company has alternative minimum tax credit carryforwards of approximately $11, which are available to reduce future federal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regular income taxes, if any, over an indefinite period.</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no unrecognized tax benefits as of June 30, 2014, 2015 and 2016, respectively.</w:t>
      </w:r>
    </w:p>
    <w:p>
      <w:pPr>
        <w:spacing w:after="0" w:line="22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The Company files income tax returns with the United States federal government and various state jurisdictions. Certain tax years remain open for federal and state tax reporting jurisdictions in which the Company does business due to net operating loss carryforwards and tax credits unutilized from such years or utilized in a period remaining open for audit under normal statute of limitations relating to income tax liabilities. </w:t>
      </w:r>
      <w:r>
        <w:rPr>
          <w:rFonts w:ascii="Times New Roman" w:cs="Times New Roman" w:eastAsia="Times New Roman" w:hAnsi="Times New Roman"/>
          <w:sz w:val="17"/>
          <w:szCs w:val="17"/>
          <w:color w:val="auto"/>
        </w:rPr>
        <w:t>The Company, including its domestic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subsidiary, files a consolidated federal income tax return. For years before 2012 (fiscal year ended June 30, 2013), the Company is no longer subject to U.S. federal examination; however, the Internal Revenue Service (IRS) has the ability to review years prior to 2012 to the extent the Company utilized tax attributes carried forward from those prior years. The statute of limitations on state filings is generally three to four years.</w:t>
      </w:r>
    </w:p>
    <w:p>
      <w:pPr>
        <w:spacing w:after="0" w:line="394" w:lineRule="exact"/>
        <w:rPr>
          <w:sz w:val="20"/>
          <w:szCs w:val="20"/>
          <w:color w:val="auto"/>
        </w:rPr>
      </w:pPr>
    </w:p>
    <w:p>
      <w:pPr>
        <w:ind w:left="660" w:right="9420" w:hanging="652"/>
        <w:spacing w:after="0" w:line="533" w:lineRule="auto"/>
        <w:tabs>
          <w:tab w:leader="none" w:pos="357"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w:t>
      </w:r>
      <w:r>
        <w:rPr>
          <w:rFonts w:ascii="Times New Roman" w:cs="Times New Roman" w:eastAsia="Times New Roman" w:hAnsi="Times New Roman"/>
          <w:sz w:val="17"/>
          <w:szCs w:val="17"/>
          <w:b w:val="1"/>
          <w:bCs w:val="1"/>
          <w:i w:val="1"/>
          <w:iCs w:val="1"/>
          <w:color w:val="auto"/>
        </w:rPr>
        <w:t>Common Stock</w:t>
      </w: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and to receive dividends, when declared. The holders have no preemptive or other subscription rights and there are no redemption or sinking fund provisions with respect to such shares. Common stock was subordinate to the redeemable convertible preferred stock with respect to dividend rights and rights upon liquidation, winding up and dissolution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Redeemable Convertible Preferred Stock</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Prior to its IPO, the Company had two series of Redeemable Convertible Preferred Stock: Series A and Series B.</w:t>
      </w:r>
    </w:p>
    <w:p>
      <w:pPr>
        <w:spacing w:after="0" w:line="131"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Upon the closing of the IPO, the Series A and Series B Redeemable Convertible Preferred Stock automatically converted into 11,933 shares of common stock.</w:t>
      </w:r>
    </w:p>
    <w:p>
      <w:pPr>
        <w:spacing w:after="0" w:line="63" w:lineRule="exact"/>
        <w:rPr>
          <w:sz w:val="20"/>
          <w:szCs w:val="20"/>
          <w:color w:val="auto"/>
        </w:rPr>
      </w:pPr>
    </w:p>
    <w:p>
      <w:pPr>
        <w:ind w:left="400" w:hanging="338"/>
        <w:spacing w:after="0"/>
        <w:tabs>
          <w:tab w:leader="none" w:pos="4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 Plans</w:t>
      </w:r>
    </w:p>
    <w:p>
      <w:pPr>
        <w:spacing w:after="0" w:line="130"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Equity Incentive Plans</w:t>
      </w:r>
    </w:p>
    <w:p>
      <w:pPr>
        <w:sectPr>
          <w:pgSz w:w="11900" w:h="16838" w:orient="portrait"/>
          <w:cols w:equalWidth="0" w:num="1">
            <w:col w:w="11400"/>
          </w:cols>
          <w:pgMar w:left="240" w:top="121" w:right="259" w:bottom="0" w:gutter="0" w:footer="0" w:header="0"/>
        </w:sectPr>
      </w:pPr>
    </w:p>
    <w:bookmarkStart w:id="50" w:name="page51"/>
    <w:bookmarkEnd w:id="50"/>
    <w:p>
      <w:pPr>
        <w:ind w:right="60"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The Company maintains a 2008 Equity Incentive Plan (the “2008 Plan”) and a 2014 Equity Incentive Plan (the “2014 Plan”) pursuant to which the Company has reserved shares of its common stock for issuance to its employees, directors and non-employee third parties. The 2014 Plan serves as the successor to the 2008 Plan and permits the granting of options to purchase common stock and other equity incentives at the discretion of the compensation committee of the Company’s board of directors. No new awards have been or will be issued under the 2008 Plan since the effective date of the 2014 Plan. Outstanding awards under the 2008 Plan continue to be subject to the terms and conditions of the 2008 Plan. </w:t>
      </w:r>
      <w:r>
        <w:rPr>
          <w:rFonts w:ascii="Times New Roman" w:cs="Times New Roman" w:eastAsia="Times New Roman" w:hAnsi="Times New Roman"/>
          <w:sz w:val="17"/>
          <w:szCs w:val="17"/>
          <w:color w:val="auto"/>
        </w:rPr>
        <w:t>The number of shares of common stock reserved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for issuance under the 2014 Plan will increase automatically each calendar year, continuing through and including January 1, 2024 (“Evergreen provision”). The number of shares added each year will be equal to the lesser of (a) four and five tenths percent (4.5%) of the number of shares of common stock of the Company issued and outstanding on the immediately preceding December 31, or (b) an amount determined by the Company’s board of directors. The Company’s board of directors determined that, effective January 1, 2016, it would increase the number of common shares in reserve for issuance under the 2014 Plan by 2,293 shares.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2016, the Company had 10,711 shares allocated to the plans, of which 4,467 shares were subject to outstanding options or awards.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the Company issues previously unissued shares for the exercise of stock options or vesting of awards; however, shares previously subject to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grants or awards that are forfeited or net settled at exercise or release may be reissued to satisfy future issuances.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changes during the year ended June 30, 2016 in the number of shares available for grant under our equity incentive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w:t>
      </w:r>
    </w:p>
    <w:p>
      <w:pPr>
        <w:spacing w:after="0" w:line="18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3"/>
        </w:trPr>
        <w:tc>
          <w:tcPr>
            <w:tcW w:w="5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Available for grant at July 1, 2015</w:t>
            </w:r>
          </w:p>
        </w:tc>
        <w:tc>
          <w:tcPr>
            <w:tcW w:w="11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91"/>
        </w:trPr>
        <w:tc>
          <w:tcPr>
            <w:tcW w:w="5720" w:type="dxa"/>
            <w:vAlign w:val="bottom"/>
            <w:vMerge w:val="continue"/>
          </w:tcPr>
          <w:p>
            <w:pPr>
              <w:spacing w:after="0"/>
              <w:rPr>
                <w:sz w:val="16"/>
                <w:szCs w:val="16"/>
                <w:color w:val="auto"/>
              </w:rPr>
            </w:pPr>
          </w:p>
        </w:tc>
        <w:tc>
          <w:tcPr>
            <w:tcW w:w="1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4,490</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January 1, 2016 Evergreen provision increase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Shares withheld in settlement of taxes and/or exercise price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Shares removed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Available for grant at June 30, 2016</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Shares removed represents forfeitures of shares and shares withheld in settlement of taxes and/or payment of exercise price related to grants made under the 2008 Plan. As noted above, no new awards will be issued under the 2008 Plan.</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stock options and the vesting of restricted stock awards (“RSAs”), restricted stock units (“RSUs”), and the Employee Stock Purchase Plan (as described below) is included in the following line items in the accompanying audited consolidated statements of operations:</w:t>
      </w:r>
    </w:p>
    <w:p>
      <w:pPr>
        <w:spacing w:after="0" w:line="170"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4"/>
          <w:szCs w:val="14"/>
          <w:b w:val="1"/>
          <w:bCs w:val="1"/>
          <w:color w:val="auto"/>
        </w:rPr>
        <w:t>Year ended June 30,</w:t>
      </w:r>
    </w:p>
    <w:p>
      <w:pPr>
        <w:spacing w:after="0" w:line="12" w:lineRule="exact"/>
        <w:rPr>
          <w:sz w:val="20"/>
          <w:szCs w:val="20"/>
          <w:color w:val="auto"/>
        </w:rPr>
      </w:pPr>
    </w:p>
    <w:tbl>
      <w:tblPr>
        <w:tblLayout w:type="fixed"/>
        <w:tblInd w:w="980" w:type="dxa"/>
        <w:tblCellMar>
          <w:top w:w="0" w:type="dxa"/>
          <w:left w:w="0" w:type="dxa"/>
          <w:bottom w:w="0" w:type="dxa"/>
          <w:right w:w="0" w:type="dxa"/>
        </w:tblCellMar>
      </w:tblPr>
      <w:tr>
        <w:trPr>
          <w:trHeight w:val="142"/>
        </w:trPr>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 of revenue – recurring</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56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$496</w:t>
            </w:r>
          </w:p>
        </w:tc>
        <w:tc>
          <w:tcPr>
            <w:tcW w:w="180" w:type="dxa"/>
            <w:vAlign w:val="bottom"/>
          </w:tcPr>
          <w:p>
            <w:pPr>
              <w:spacing w:after="0"/>
              <w:rPr>
                <w:sz w:val="16"/>
                <w:szCs w:val="16"/>
                <w:color w:val="auto"/>
              </w:rPr>
            </w:pPr>
          </w:p>
        </w:tc>
        <w:tc>
          <w:tcPr>
            <w:tcW w:w="1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$1,532</w:t>
            </w:r>
          </w:p>
        </w:tc>
        <w:tc>
          <w:tcPr>
            <w:tcW w:w="180" w:type="dxa"/>
            <w:vAlign w:val="bottom"/>
          </w:tcPr>
          <w:p>
            <w:pPr>
              <w:spacing w:after="0"/>
              <w:rPr>
                <w:sz w:val="16"/>
                <w:szCs w:val="16"/>
                <w:color w:val="auto"/>
              </w:rPr>
            </w:pPr>
          </w:p>
        </w:tc>
        <w:tc>
          <w:tcPr>
            <w:tcW w:w="13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 – non-recurring</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4,441</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2,789</w:t>
            </w:r>
          </w:p>
        </w:tc>
        <w:tc>
          <w:tcPr>
            <w:tcW w:w="0" w:type="dxa"/>
            <w:vAlign w:val="bottom"/>
          </w:tcPr>
          <w:p>
            <w:pPr>
              <w:spacing w:after="0"/>
              <w:rPr>
                <w:sz w:val="1"/>
                <w:szCs w:val="1"/>
                <w:color w:val="auto"/>
              </w:rPr>
            </w:pPr>
          </w:p>
        </w:tc>
      </w:tr>
      <w:tr>
        <w:trPr>
          <w:trHeight w:val="234"/>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18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7,558</w:t>
            </w:r>
          </w:p>
        </w:tc>
        <w:tc>
          <w:tcPr>
            <w:tcW w:w="0" w:type="dxa"/>
            <w:vAlign w:val="bottom"/>
          </w:tcPr>
          <w:p>
            <w:pPr>
              <w:spacing w:after="0"/>
              <w:rPr>
                <w:sz w:val="1"/>
                <w:szCs w:val="1"/>
                <w:color w:val="auto"/>
              </w:rPr>
            </w:pPr>
          </w:p>
        </w:tc>
      </w:tr>
      <w:tr>
        <w:trPr>
          <w:trHeight w:val="228"/>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$4,929</w:t>
            </w:r>
          </w:p>
        </w:tc>
        <w:tc>
          <w:tcPr>
            <w:tcW w:w="18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180" w:type="dxa"/>
            <w:vAlign w:val="bottom"/>
          </w:tcPr>
          <w:p>
            <w:pPr>
              <w:spacing w:after="0"/>
              <w:rPr>
                <w:sz w:val="19"/>
                <w:szCs w:val="19"/>
                <w:color w:val="auto"/>
              </w:rPr>
            </w:pPr>
          </w:p>
        </w:tc>
        <w:tc>
          <w:tcPr>
            <w:tcW w:w="14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$17,563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 capitalized $325, $655 and $1,078 of stock-based compensation costs in its internal-use software in the years ended June 30, 2014, 2015 and 2016, respectively.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2008 and 2014 Plans, the exercise price of each option cannot be less than the fair value of a share of common stock on the grant date. The options typically vest ratably over a three or four year period and expire 10 years from the grant date. Stock-based compensation expense for the fair value of the options at their grant date is recognized ratably over the vesting schedule for each separately vesting portion of the award.</w:t>
      </w:r>
    </w:p>
    <w:p>
      <w:pPr>
        <w:spacing w:after="0" w:line="17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Company values stock options using the Black-Scholes option-pricing model, which requires the input of subjective assumptions, including the risk-free rate, expected life, expected stock price volatility and dividend yield. The risk-free interest rate assumption is based upon observed interest rates for U.S. Treasury securities consistent with the expected term of the Company’s employee stock options. The expected life represents the period of time the stock options are expected to be outstanding and is based on the simplified method. Under the simplified method, the expected life of an option is presumed to be the mid-point between the vesting date and the end of the contractual term. As the Company has a limited history of trading as a public company, the Company utilizes the simplified method due to the lack of sufficient historical exercise data to provide a reasonable basis upon which to otherwise estimate the expected life of the stock options. Therefore, the expected volatility is based on historical volatilities for publicly traded stock of comparable companies over the estimated expected life of the stock options. The Company assumed no dividend yield because it does not expect to pay dividends in the near future, which is consistent with the Company’s history of not paying dividends.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assumptions used for estimating the fair value of stock options granted for the years ended June 30:</w:t>
      </w:r>
    </w:p>
    <w:p>
      <w:pPr>
        <w:spacing w:after="0" w:line="219"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7620</wp:posOffset>
            </wp:positionV>
            <wp:extent cx="28727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2" w:lineRule="exact"/>
        <w:rPr>
          <w:sz w:val="20"/>
          <w:szCs w:val="20"/>
          <w:color w:val="auto"/>
        </w:rPr>
      </w:pPr>
    </w:p>
    <w:p>
      <w:pPr>
        <w:ind w:left="6560"/>
        <w:spacing w:after="0"/>
        <w:tabs>
          <w:tab w:leader="none" w:pos="8140" w:val="left"/>
          <w:tab w:leader="none" w:pos="9700" w:val="left"/>
        </w:tabs>
        <w:rPr>
          <w:sz w:val="20"/>
          <w:szCs w:val="20"/>
          <w:color w:val="auto"/>
        </w:rPr>
      </w:pPr>
      <w:r>
        <w:rPr>
          <w:rFonts w:ascii="Times New Roman" w:cs="Times New Roman" w:eastAsia="Times New Roman" w:hAnsi="Times New Roman"/>
          <w:sz w:val="14"/>
          <w:szCs w:val="14"/>
          <w:b w:val="1"/>
          <w:bCs w:val="1"/>
          <w:color w:val="auto"/>
        </w:rPr>
        <w:t>2014</w:t>
      </w:r>
      <w:r>
        <w:rPr>
          <w:sz w:val="20"/>
          <w:szCs w:val="20"/>
          <w:color w:val="auto"/>
        </w:rPr>
        <w:tab/>
      </w:r>
      <w:r>
        <w:rPr>
          <w:rFonts w:ascii="Times New Roman" w:cs="Times New Roman" w:eastAsia="Times New Roman" w:hAnsi="Times New Roman"/>
          <w:sz w:val="14"/>
          <w:szCs w:val="14"/>
          <w:b w:val="1"/>
          <w:bCs w:val="1"/>
          <w:color w:val="auto"/>
        </w:rPr>
        <w:t>2015</w:t>
      </w:r>
      <w:r>
        <w:rPr>
          <w:sz w:val="20"/>
          <w:szCs w:val="20"/>
          <w:color w:val="auto"/>
        </w:rPr>
        <w:tab/>
      </w:r>
      <w:r>
        <w:rPr>
          <w:rFonts w:ascii="Times New Roman" w:cs="Times New Roman" w:eastAsia="Times New Roman" w:hAnsi="Times New Roman"/>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7620</wp:posOffset>
            </wp:positionV>
            <wp:extent cx="28727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ectPr>
          <w:pgSz w:w="11900" w:h="16838" w:orient="portrait"/>
          <w:cols w:equalWidth="0" w:num="1">
            <w:col w:w="11400"/>
          </w:cols>
          <w:pgMar w:left="240" w:top="121" w:right="259" w:bottom="0" w:gutter="0" w:footer="0" w:header="0"/>
        </w:sectPr>
      </w:pPr>
    </w:p>
    <w:p>
      <w:pPr>
        <w:spacing w:after="0" w:line="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Valuation assumptions:</w:t>
      </w:r>
    </w:p>
    <w:p>
      <w:pPr>
        <w:sectPr>
          <w:pgSz w:w="11900" w:h="16838" w:orient="portrait"/>
          <w:cols w:equalWidth="0" w:num="1">
            <w:col w:w="11400"/>
          </w:cols>
          <w:pgMar w:left="240" w:top="121" w:right="259" w:bottom="0" w:gutter="0" w:footer="0" w:header="0"/>
          <w:type w:val="continuous"/>
        </w:sectPr>
      </w:pPr>
    </w:p>
    <w:bookmarkStart w:id="51" w:name="page52"/>
    <w:bookmarkEnd w:id="51"/>
    <w:p>
      <w:pPr>
        <w:spacing w:after="0" w:line="67"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140" w:type="dxa"/>
            <w:vAlign w:val="bottom"/>
          </w:tcPr>
          <w:p>
            <w:pPr>
              <w:spacing w:after="0"/>
              <w:rPr>
                <w:sz w:val="18"/>
                <w:szCs w:val="18"/>
                <w:color w:val="auto"/>
              </w:rPr>
            </w:pPr>
          </w:p>
        </w:tc>
        <w:tc>
          <w:tcPr>
            <w:tcW w:w="1360" w:type="dxa"/>
            <w:vAlign w:val="bottom"/>
            <w:gridSpan w:val="2"/>
          </w:tcPr>
          <w:p>
            <w:pPr>
              <w:jc w:val="right"/>
              <w:ind w:right="605"/>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14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Expected volatility</w:t>
            </w:r>
          </w:p>
        </w:tc>
        <w:tc>
          <w:tcPr>
            <w:tcW w:w="2500" w:type="dxa"/>
            <w:vAlign w:val="bottom"/>
            <w:gridSpan w:val="3"/>
          </w:tcPr>
          <w:p>
            <w:pPr>
              <w:jc w:val="right"/>
              <w:ind w:right="605"/>
              <w:spacing w:after="0"/>
              <w:rPr>
                <w:sz w:val="20"/>
                <w:szCs w:val="20"/>
                <w:color w:val="auto"/>
              </w:rPr>
            </w:pPr>
            <w:r>
              <w:rPr>
                <w:rFonts w:ascii="Times New Roman" w:cs="Times New Roman" w:eastAsia="Times New Roman" w:hAnsi="Times New Roman"/>
                <w:sz w:val="18"/>
                <w:szCs w:val="18"/>
                <w:color w:val="auto"/>
              </w:rPr>
              <w:t>29.5% - 44.5%</w:t>
            </w:r>
          </w:p>
        </w:tc>
        <w:tc>
          <w:tcPr>
            <w:tcW w:w="220" w:type="dxa"/>
            <w:vAlign w:val="bottom"/>
          </w:tcPr>
          <w:p>
            <w:pPr>
              <w:spacing w:after="0"/>
              <w:rPr>
                <w:sz w:val="18"/>
                <w:szCs w:val="18"/>
                <w:color w:val="auto"/>
              </w:rPr>
            </w:pPr>
          </w:p>
        </w:tc>
        <w:tc>
          <w:tcPr>
            <w:tcW w:w="114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43.9%</w:t>
            </w:r>
          </w:p>
        </w:tc>
        <w:tc>
          <w:tcPr>
            <w:tcW w:w="220" w:type="dxa"/>
            <w:vAlign w:val="bottom"/>
          </w:tcPr>
          <w:p>
            <w:pPr>
              <w:spacing w:after="0"/>
              <w:rPr>
                <w:sz w:val="18"/>
                <w:szCs w:val="18"/>
                <w:color w:val="auto"/>
              </w:rPr>
            </w:pP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Expected term (years)</w:t>
            </w:r>
          </w:p>
        </w:tc>
        <w:tc>
          <w:tcPr>
            <w:tcW w:w="1140" w:type="dxa"/>
            <w:vAlign w:val="bottom"/>
          </w:tcPr>
          <w:p>
            <w:pPr>
              <w:spacing w:after="0"/>
              <w:rPr>
                <w:sz w:val="18"/>
                <w:szCs w:val="18"/>
                <w:color w:val="auto"/>
              </w:rPr>
            </w:pPr>
          </w:p>
        </w:tc>
        <w:tc>
          <w:tcPr>
            <w:tcW w:w="1360" w:type="dxa"/>
            <w:vAlign w:val="bottom"/>
            <w:gridSpan w:val="2"/>
          </w:tcPr>
          <w:p>
            <w:pPr>
              <w:jc w:val="right"/>
              <w:ind w:right="605"/>
              <w:spacing w:after="0"/>
              <w:rPr>
                <w:sz w:val="20"/>
                <w:szCs w:val="20"/>
                <w:color w:val="auto"/>
              </w:rPr>
            </w:pPr>
            <w:r>
              <w:rPr>
                <w:rFonts w:ascii="Times New Roman" w:cs="Times New Roman" w:eastAsia="Times New Roman" w:hAnsi="Times New Roman"/>
                <w:sz w:val="18"/>
                <w:szCs w:val="18"/>
                <w:color w:val="auto"/>
              </w:rPr>
              <w:t>4.0 - 6.0</w:t>
            </w:r>
          </w:p>
        </w:tc>
        <w:tc>
          <w:tcPr>
            <w:tcW w:w="220" w:type="dxa"/>
            <w:vAlign w:val="bottom"/>
          </w:tcPr>
          <w:p>
            <w:pPr>
              <w:spacing w:after="0"/>
              <w:rPr>
                <w:sz w:val="18"/>
                <w:szCs w:val="18"/>
                <w:color w:val="auto"/>
              </w:rPr>
            </w:pPr>
          </w:p>
        </w:tc>
        <w:tc>
          <w:tcPr>
            <w:tcW w:w="114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6.25</w:t>
            </w:r>
          </w:p>
        </w:tc>
        <w:tc>
          <w:tcPr>
            <w:tcW w:w="220" w:type="dxa"/>
            <w:vAlign w:val="bottom"/>
          </w:tcPr>
          <w:p>
            <w:pPr>
              <w:spacing w:after="0"/>
              <w:rPr>
                <w:sz w:val="18"/>
                <w:szCs w:val="18"/>
                <w:color w:val="auto"/>
              </w:rPr>
            </w:pP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34"/>
        </w:trPr>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Risk-free interest rate</w:t>
            </w:r>
          </w:p>
        </w:tc>
        <w:tc>
          <w:tcPr>
            <w:tcW w:w="2500" w:type="dxa"/>
            <w:vAlign w:val="bottom"/>
            <w:gridSpan w:val="3"/>
          </w:tcPr>
          <w:p>
            <w:pPr>
              <w:jc w:val="right"/>
              <w:ind w:right="605"/>
              <w:spacing w:after="0"/>
              <w:rPr>
                <w:sz w:val="20"/>
                <w:szCs w:val="20"/>
                <w:color w:val="auto"/>
              </w:rPr>
            </w:pPr>
            <w:r>
              <w:rPr>
                <w:rFonts w:ascii="Times New Roman" w:cs="Times New Roman" w:eastAsia="Times New Roman" w:hAnsi="Times New Roman"/>
                <w:sz w:val="18"/>
                <w:szCs w:val="18"/>
                <w:color w:val="auto"/>
              </w:rPr>
              <w:t>0.52% - 1.94%</w:t>
            </w:r>
          </w:p>
        </w:tc>
        <w:tc>
          <w:tcPr>
            <w:tcW w:w="220" w:type="dxa"/>
            <w:vAlign w:val="bottom"/>
          </w:tcPr>
          <w:p>
            <w:pPr>
              <w:spacing w:after="0"/>
              <w:rPr>
                <w:sz w:val="20"/>
                <w:szCs w:val="20"/>
                <w:color w:val="auto"/>
              </w:rPr>
            </w:pPr>
          </w:p>
        </w:tc>
        <w:tc>
          <w:tcPr>
            <w:tcW w:w="114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tcPr>
          <w:p>
            <w:pPr>
              <w:spacing w:after="0"/>
              <w:rPr>
                <w:sz w:val="20"/>
                <w:szCs w:val="20"/>
                <w:color w:val="auto"/>
              </w:rPr>
            </w:pP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432"/>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option activity during the periods indicated is as follows:</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0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1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July 1, 2015</w:t>
            </w: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5"/>
                <w:szCs w:val="15"/>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1"/>
        </w:trPr>
        <w:tc>
          <w:tcPr>
            <w:tcW w:w="5040" w:type="dxa"/>
            <w:vAlign w:val="bottom"/>
            <w:vMerge w:val="continue"/>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3,956</w:t>
            </w:r>
          </w:p>
        </w:tc>
        <w:tc>
          <w:tcPr>
            <w:tcW w:w="200" w:type="dxa"/>
            <w:vAlign w:val="bottom"/>
          </w:tcPr>
          <w:p>
            <w:pPr>
              <w:spacing w:after="0"/>
              <w:rPr>
                <w:sz w:val="16"/>
                <w:szCs w:val="16"/>
                <w:color w:val="auto"/>
              </w:rPr>
            </w:pP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$10.96</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7.63</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$98,434</w:t>
            </w: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forfeited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2016</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$108,944</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June 30, 2016</w:t>
            </w:r>
          </w:p>
        </w:tc>
        <w:tc>
          <w:tcPr>
            <w:tcW w:w="1140" w:type="dxa"/>
            <w:vAlign w:val="bottom"/>
            <w:tcBorders>
              <w:bottom w:val="single" w:sz="8" w:color="auto"/>
            </w:tcBorders>
          </w:tcPr>
          <w:p>
            <w:pPr>
              <w:spacing w:after="0" w:line="20" w:lineRule="exact"/>
              <w:rPr>
                <w:sz w:val="1"/>
                <w:szCs w:val="1"/>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20" w:type="dxa"/>
            <w:vAlign w:val="bottom"/>
            <w:vMerge w:val="restart"/>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20" w:type="dxa"/>
            <w:vAlign w:val="bottom"/>
            <w:vMerge w:val="restart"/>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$73,530</w:t>
            </w: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2,115</w:t>
            </w:r>
          </w:p>
        </w:tc>
        <w:tc>
          <w:tcPr>
            <w:tcW w:w="136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expected to vest at June 30, 2016</w:t>
            </w:r>
          </w:p>
        </w:tc>
        <w:tc>
          <w:tcPr>
            <w:tcW w:w="1140" w:type="dxa"/>
            <w:vAlign w:val="bottom"/>
            <w:tcBorders>
              <w:bottom w:val="single" w:sz="8" w:color="auto"/>
            </w:tcBorders>
          </w:tcPr>
          <w:p>
            <w:pPr>
              <w:spacing w:after="0" w:line="20" w:lineRule="exact"/>
              <w:rPr>
                <w:sz w:val="1"/>
                <w:szCs w:val="1"/>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220" w:type="dxa"/>
            <w:vAlign w:val="bottom"/>
            <w:vMerge w:val="restart"/>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20" w:type="dxa"/>
            <w:vAlign w:val="bottom"/>
            <w:vMerge w:val="restart"/>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$107,764</w:t>
            </w: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3,409</w:t>
            </w:r>
          </w:p>
        </w:tc>
        <w:tc>
          <w:tcPr>
            <w:tcW w:w="136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weighted average grant date fair value of options granted during the years ended June 30, 2014, 2015 and 2016 was $6.39, $11.14 and $12.92, respectively. The total intrinsic value of options exercised during the years ended June 30, 2015 and 2016 was $8,802 and $13,362, respectively. There were no options exercised during the year ended June 30, 2014. </w:t>
      </w:r>
      <w:r>
        <w:rPr>
          <w:rFonts w:ascii="Times New Roman" w:cs="Times New Roman" w:eastAsia="Times New Roman" w:hAnsi="Times New Roman"/>
          <w:sz w:val="17"/>
          <w:szCs w:val="17"/>
          <w:color w:val="auto"/>
        </w:rPr>
        <w:t>At June 30, 2016, there was $</w:t>
      </w:r>
      <w:r>
        <w:rPr>
          <w:rFonts w:ascii="Times New Roman" w:cs="Times New Roman" w:eastAsia="Times New Roman" w:hAnsi="Times New Roman"/>
          <w:sz w:val="18"/>
          <w:szCs w:val="18"/>
          <w:color w:val="auto"/>
        </w:rPr>
        <w:t>2,802 of total unrecognized compensation cost, net of estimated forfeitures, related to unvested stock options granted. That cost is expected to be recognized over a weighted average period of 1.48 years.</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and stock options exercisable at June 30, 2016:</w:t>
      </w:r>
    </w:p>
    <w:p>
      <w:pPr>
        <w:spacing w:after="0" w:line="219"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1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tcBorders>
              <w:bottom w:val="single" w:sz="8" w:color="auto"/>
            </w:tcBorders>
            <w:gridSpan w:val="3"/>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17"/>
        </w:trPr>
        <w:tc>
          <w:tcPr>
            <w:tcW w:w="4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8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14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3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4360" w:type="dxa"/>
            <w:vAlign w:val="bottom"/>
            <w:vMerge w:val="continue"/>
          </w:tcPr>
          <w:p>
            <w:pPr>
              <w:spacing w:after="0"/>
              <w:rPr>
                <w:sz w:val="15"/>
                <w:szCs w:val="15"/>
                <w:color w:val="auto"/>
              </w:rPr>
            </w:pPr>
          </w:p>
        </w:tc>
        <w:tc>
          <w:tcPr>
            <w:tcW w:w="11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4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91"/>
        </w:trPr>
        <w:tc>
          <w:tcPr>
            <w:tcW w:w="4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$1.31 to $3.58</w:t>
            </w: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662</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4.21</w:t>
            </w:r>
          </w:p>
        </w:tc>
        <w:tc>
          <w:tcPr>
            <w:tcW w:w="200" w:type="dxa"/>
            <w:vAlign w:val="bottom"/>
          </w:tcPr>
          <w:p>
            <w:pPr>
              <w:spacing w:after="0"/>
              <w:rPr>
                <w:sz w:val="16"/>
                <w:szCs w:val="16"/>
                <w:color w:val="auto"/>
              </w:rPr>
            </w:pP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$1.55</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662</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$3.59 to $5.96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$5.97 to $12.02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$12.03 to $20.90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$20.91 to $35.28</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may also grant RSUs under the 2014 Plan with terms determined at the discretion of the Compensation Committee of the Company’s board of directors. RSUs generally vest over three or four years following the grant date. Certain RSU awards have time-based vesting conditions while other RSU awards are based on attainment of certain performance benchmarks. The following table represents restricted stock unit activity during the year ended June 30, 2016:</w:t>
      </w:r>
    </w:p>
    <w:p>
      <w:pPr>
        <w:spacing w:after="0" w:line="6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116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RSU balance at July 1, 2015</w:t>
            </w:r>
          </w:p>
        </w:tc>
        <w:tc>
          <w:tcPr>
            <w:tcW w:w="11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6500" w:type="dxa"/>
            <w:vAlign w:val="bottom"/>
            <w:vMerge w:val="continue"/>
          </w:tcPr>
          <w:p>
            <w:pPr>
              <w:spacing w:after="0"/>
              <w:rPr>
                <w:sz w:val="16"/>
                <w:szCs w:val="16"/>
                <w:color w:val="auto"/>
              </w:rPr>
            </w:pP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386</w:t>
            </w:r>
          </w:p>
        </w:tc>
        <w:tc>
          <w:tcPr>
            <w:tcW w:w="22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$24.98</w:t>
            </w: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RSUs 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RSUs vested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0" w:type="dxa"/>
            <w:vAlign w:val="bottom"/>
          </w:tcPr>
          <w:p>
            <w:pPr>
              <w:spacing w:after="0"/>
              <w:rPr>
                <w:sz w:val="1"/>
                <w:szCs w:val="1"/>
                <w:color w:val="auto"/>
              </w:rPr>
            </w:pPr>
          </w:p>
        </w:tc>
      </w:tr>
      <w:tr>
        <w:trPr>
          <w:trHeight w:val="234"/>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RSUs cancelled/forfeited</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RSU balance at June 30, 2016</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RSUs expected to vest at June 30, 2016</w:t>
            </w:r>
          </w:p>
        </w:tc>
        <w:tc>
          <w:tcPr>
            <w:tcW w:w="1160" w:type="dxa"/>
            <w:vAlign w:val="bottom"/>
            <w:tcBorders>
              <w:bottom w:val="single" w:sz="8" w:color="auto"/>
            </w:tcBorders>
          </w:tcPr>
          <w:p>
            <w:pPr>
              <w:spacing w:after="0" w:line="20" w:lineRule="exact"/>
              <w:rPr>
                <w:sz w:val="1"/>
                <w:szCs w:val="1"/>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0" w:type="dxa"/>
            <w:vAlign w:val="bottom"/>
          </w:tcPr>
          <w:p>
            <w:pPr>
              <w:spacing w:after="0" w:line="20" w:lineRule="exact"/>
              <w:rPr>
                <w:sz w:val="1"/>
                <w:szCs w:val="1"/>
                <w:color w:val="auto"/>
              </w:rPr>
            </w:pPr>
          </w:p>
        </w:tc>
      </w:tr>
      <w:tr>
        <w:trPr>
          <w:trHeight w:val="197"/>
        </w:trPr>
        <w:tc>
          <w:tcPr>
            <w:tcW w:w="6500" w:type="dxa"/>
            <w:vAlign w:val="bottom"/>
            <w:vMerge w:val="continue"/>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899</w:t>
            </w:r>
          </w:p>
        </w:tc>
        <w:tc>
          <w:tcPr>
            <w:tcW w:w="13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At June 30, 2016, there was $15,818 of total unrecognized compensation cost, net of estimated forfeitures, related to unvested restricted stock units granted. That cost is expected to be recognized over a weighted average period of 2.14 years.</w:t>
      </w:r>
    </w:p>
    <w:p>
      <w:pPr>
        <w:spacing w:after="0" w:line="6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total excess income tax benefits for stock-based compensation arrangements was $703, $5,562 and $8,228 for the years ended June 30, 2014, 2015 and 2016, respectively. The tax impact of these amounts will be recognized as a credit to additional paid-in capital when realized.</w:t>
      </w:r>
    </w:p>
    <w:p>
      <w:pPr>
        <w:spacing w:after="0" w:line="63" w:lineRule="exact"/>
        <w:rPr>
          <w:sz w:val="20"/>
          <w:szCs w:val="20"/>
          <w:color w:val="auto"/>
        </w:rPr>
      </w:pPr>
    </w:p>
    <w:p>
      <w:pPr>
        <w:ind w:left="920" w:hanging="264"/>
        <w:spacing w:after="0"/>
        <w:tabs>
          <w:tab w:leader="none" w:pos="9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3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Company’s 2014 Employee Stock Purchase Plan (“ESPP”) was adopted by the Company’s board of directors and approved by the stockholders on February 6, 2014 and was effective upon completion of the Company’s initial public offering.</w:t>
      </w:r>
    </w:p>
    <w:p>
      <w:pPr>
        <w:spacing w:after="0" w:line="6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Under the Company’s ESPP, the Company can grant stock purchase rights to all eligible employees during specific offering periods not to exceed twenty-seven months. Each offering period will begin on the trading day closest to May 16 and November 16 of each year. Shares are purchased through employees’ payroll deductions, up to a maximum of 10% of employees’ compensation for each purchase period, at a purchase price equal to 85% of the lesser of the fair market value of the Company’s common stock at the first trading day of the applicable offering period or the purchase date. Participants may purchase up to $25 worth of common stock or 2 shares of common stock in any one year. The ESPP is considered compensatory and results in compensation expense.</w:t>
      </w:r>
    </w:p>
    <w:p>
      <w:pPr>
        <w:spacing w:after="0" w:line="9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June 30, 2016, a total of 951 shares of common stock were reserved for future issuances under the ESPP. The number of shares of common stock reserved for issuance under the ESPP will increase automatically each calendar year, continuing through and including January 1, 2024. The number of shares added each year will be equal to the lesser of (a) 400, (b) seventy-five one hundredths percent (0.75%) of the number of shares of common stock of the</w:t>
      </w:r>
    </w:p>
    <w:p>
      <w:pPr>
        <w:sectPr>
          <w:pgSz w:w="11900" w:h="16906" w:orient="portrait"/>
          <w:cols w:equalWidth="0" w:num="1">
            <w:col w:w="11420"/>
          </w:cols>
          <w:pgMar w:left="240" w:top="121" w:right="239" w:bottom="0" w:gutter="0" w:footer="0" w:header="0"/>
        </w:sectPr>
      </w:pPr>
    </w:p>
    <w:bookmarkStart w:id="52" w:name="page53"/>
    <w:bookmarkEnd w:id="52"/>
    <w:p>
      <w:pPr>
        <w:spacing w:after="0" w:line="78" w:lineRule="exact"/>
        <w:rPr>
          <w:sz w:val="20"/>
          <w:szCs w:val="20"/>
          <w:color w:val="auto"/>
        </w:rPr>
      </w:pPr>
    </w:p>
    <w:p>
      <w:pPr>
        <w:ind w:right="240"/>
        <w:spacing w:after="0" w:line="313" w:lineRule="auto"/>
        <w:rPr>
          <w:sz w:val="20"/>
          <w:szCs w:val="20"/>
          <w:color w:val="auto"/>
        </w:rPr>
      </w:pPr>
      <w:r>
        <w:rPr>
          <w:rFonts w:ascii="Times New Roman" w:cs="Times New Roman" w:eastAsia="Times New Roman" w:hAnsi="Times New Roman"/>
          <w:sz w:val="17"/>
          <w:szCs w:val="17"/>
          <w:color w:val="auto"/>
        </w:rPr>
        <w:t>Company issued and outstanding on the immediately preceding December 31, or (c) an amount determined by the Company’s board of directors. For fiscal year 2016, the Company’s board of directors determined that it would not increase the number of common shares reserved for issuance under the ESPP.</w:t>
      </w:r>
    </w:p>
    <w:p>
      <w:pPr>
        <w:spacing w:after="0" w:line="44"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Company issued 50 and 52 shares upon the completion of its six-month offering periods ending November 15, 2015 and May 16, 2016, respectively. The Company recorded compensation expense attributable to the ESPP of $656 and $1,069 for the years ended June 30, 2015 and 2016, respectively, which is included in the summary of stock-based compensation expense above. No such compensation expense was recorded during the year ended June 30, 2014. The grant date fair value of the ESPP offering periods was estimated using the following weighted average assumptions:</w:t>
      </w:r>
    </w:p>
    <w:p>
      <w:pPr>
        <w:spacing w:after="0" w:line="174"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Valuation assumptions:</w:t>
            </w:r>
          </w:p>
        </w:tc>
        <w:tc>
          <w:tcPr>
            <w:tcW w:w="92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Borders>
              <w:bottom w:val="single" w:sz="8" w:color="auto"/>
            </w:tcBorders>
          </w:tcPr>
          <w:p>
            <w:pPr>
              <w:jc w:val="right"/>
              <w:ind w:right="456"/>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3"/>
                <w:szCs w:val="13"/>
                <w:color w:val="auto"/>
              </w:rPr>
            </w:pPr>
          </w:p>
        </w:tc>
        <w:tc>
          <w:tcPr>
            <w:tcW w:w="1460" w:type="dxa"/>
            <w:vAlign w:val="bottom"/>
            <w:tcBorders>
              <w:bottom w:val="single" w:sz="8" w:color="auto"/>
            </w:tcBorders>
          </w:tcPr>
          <w:p>
            <w:pPr>
              <w:jc w:val="right"/>
              <w:ind w:right="49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78"/>
        </w:trPr>
        <w:tc>
          <w:tcPr>
            <w:tcW w:w="644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35.5 – 48.4%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 – 53.4%</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0.3 – 0.5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4"/>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0.04 – 0.11%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 – 0.31%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960" w:hanging="250"/>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401(k) Plan</w:t>
      </w:r>
    </w:p>
    <w:p>
      <w:pPr>
        <w:spacing w:after="0" w:line="135"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Company maintains a 401(k) plan with a safe harbor matching provision that covers all eligible employees. Up to December 31, 2015, the Company matched 50% of the employees’ contributions up to 6% of their gross pay. Effective January 1,</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2016, the Company increased its match to 50% of employees’ contributions up to 8% of their gross pay. Contributions were $1,122, $1,656 and $2,717 for the years ended June 30, 2014, 2015 and 2016, respectively.</w:t>
      </w:r>
    </w:p>
    <w:p>
      <w:pPr>
        <w:spacing w:after="0" w:line="63" w:lineRule="exact"/>
        <w:rPr>
          <w:sz w:val="20"/>
          <w:szCs w:val="20"/>
          <w:color w:val="auto"/>
        </w:rPr>
      </w:pPr>
    </w:p>
    <w:p>
      <w:pPr>
        <w:ind w:left="360" w:hanging="352"/>
        <w:spacing w:after="0"/>
        <w:tabs>
          <w:tab w:leader="none" w:pos="3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30"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Employment Agreements</w:t>
      </w:r>
    </w:p>
    <w:p>
      <w:pPr>
        <w:spacing w:after="0" w:line="13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Company has employment agreements with certain of its key officers. The agreements allow for minimum annual compensation increases, participation in equity incentive plans and bonuses for annual performance as well as certain change of control events as defined in the agreements.</w:t>
      </w:r>
    </w:p>
    <w:p>
      <w:pPr>
        <w:spacing w:after="0" w:line="63" w:lineRule="exact"/>
        <w:rPr>
          <w:sz w:val="20"/>
          <w:szCs w:val="20"/>
          <w:color w:val="auto"/>
        </w:rPr>
      </w:pPr>
    </w:p>
    <w:p>
      <w:pPr>
        <w:ind w:left="920" w:hanging="264"/>
        <w:spacing w:after="0"/>
        <w:tabs>
          <w:tab w:leader="none" w:pos="9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Litigation</w:t>
      </w:r>
    </w:p>
    <w:p>
      <w:pPr>
        <w:spacing w:after="0" w:line="13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subject to litigation arising in the ordinary course of business. Many of these proceedings are covered in whole or in part by insurance. In the opinion of the Company’s management, the ultimate disposition of any matters currently outstanding or threatened will not have a material adverse effect on the Company’s financial position, results of operations, or liquidity.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Earnings Per Share</w:t>
      </w:r>
    </w:p>
    <w:p>
      <w:pPr>
        <w:spacing w:after="0" w:line="13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For the periods presented prior to the Company’s initial public offering (“IPO”), basic and diluted net income (loss) per common share is presented in conformity with the two-class method required for participating securities. Concurrently with the closing of the Company’s IPO on March 24, 2014, all shares of outstanding Preferred Stock automatically converted into 11,933 shares of the Company’s common stock. Following the date of the IPO, the two-class method was no longer required as the Company has one class of securities issued and outstanding.</w:t>
      </w:r>
    </w:p>
    <w:p>
      <w:pPr>
        <w:spacing w:after="0" w:line="8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Prior to the conversion of the Redeemable Convertible Preferred Stock, holders of Series A and Series B Preferred Stock each were entitled to liquidation preferences payable prior and in preference to any dividends on any shares of the Company’s common stock. In the event a dividend was paid on common stock, the holders of Preferred Stock were entitled to a proportionate share of any such dividend as if they were holders of common stock (on an as-if converted basis). The holders of the Company’s Preferred Stock did not have a contractual obligation to share in the losses of the Company. The Company considered its Preferred Stock to be participating securities and, in accordance with the two-class method, earnings allocated to Preferred Stock and the related number of outstanding shares of Preferred Stock have been excluded from the computation of basic and diluted net income (loss) per common share.</w:t>
      </w:r>
    </w:p>
    <w:p>
      <w:pPr>
        <w:spacing w:after="0" w:line="9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Under the two-class method, net income (loss) attributable to common stockholders is determined by allocating undistributed earnings, calculated as net income less current period Redeemable Convertible Preferred Stock cumulative dividends, between common stock and Redeemable Convertible Preferred Stock. In computing diluted net income (loss) attributable to common stockholders, undistributed earnings are re-allocated to reflect the potential impact of dilutive securities.</w:t>
      </w:r>
    </w:p>
    <w:p>
      <w:pPr>
        <w:spacing w:after="0" w:line="8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Basic net loss per common share is computed using the weighted-average number of common shares outstanding during the period. Since the Series A and Series B Redeemable Convertible Preferred Stock were entitled to participate should any common stock dividends have been declared but were not obligated to participate in any losses generated by the Company, basic net income per share is computed using the weighted-average number of common shares outstanding during the period plus the Series A and Series B Redeemable Convertible Preferred Stock on a weighted-average basis.</w:t>
      </w:r>
    </w:p>
    <w:p>
      <w:pPr>
        <w:spacing w:after="0" w:line="8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Diluted net loss per share is computed using the weighted-average number of common shares outstanding during the period and, if dilutive, potential common shares outstanding during the period. Since the Series A and Series B Redeemable Convertible Preferred Stock were entitled to participate should any common stock dividends be declared but were not obligated to participate in any losses generated by the Company, diluted net income per share is computed using the weighted-average number of common shares plus the Series A and Series B Redeemable Convertible Preferred Stock on a weighted-average basis and, if dilutive, potential common shares outstanding during the period. The Company’s potential common shares consist of the incremental common shares issuable upon the exercise of stock options. The dilutive effect of outstanding stock options is reflected in diluted earnings per share by application of the treasury stock method.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w:t>
      </w:r>
    </w:p>
    <w:p>
      <w:pPr>
        <w:sectPr>
          <w:pgSz w:w="11900" w:h="16917" w:orient="portrait"/>
          <w:cols w:equalWidth="0" w:num="1">
            <w:col w:w="11420"/>
          </w:cols>
          <w:pgMar w:left="240" w:top="121" w:right="239" w:bottom="0" w:gutter="0" w:footer="0" w:header="0"/>
        </w:sectPr>
      </w:pPr>
    </w:p>
    <w:p>
      <w:pPr>
        <w:spacing w:after="0" w:line="124"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7620</wp:posOffset>
            </wp:positionV>
            <wp:extent cx="22466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ind w:left="8140"/>
        <w:spacing w:after="0"/>
        <w:tabs>
          <w:tab w:leader="none" w:pos="9400" w:val="left"/>
          <w:tab w:leader="none" w:pos="10640" w:val="left"/>
        </w:tabs>
        <w:rPr>
          <w:sz w:val="20"/>
          <w:szCs w:val="20"/>
          <w:color w:val="auto"/>
        </w:rPr>
      </w:pPr>
      <w:r>
        <w:rPr>
          <w:rFonts w:ascii="Times New Roman" w:cs="Times New Roman" w:eastAsia="Times New Roman" w:hAnsi="Times New Roman"/>
          <w:sz w:val="14"/>
          <w:szCs w:val="14"/>
          <w:b w:val="1"/>
          <w:bCs w:val="1"/>
          <w:color w:val="auto"/>
        </w:rPr>
        <w:t>2014</w:t>
      </w:r>
      <w:r>
        <w:rPr>
          <w:sz w:val="20"/>
          <w:szCs w:val="20"/>
          <w:color w:val="auto"/>
        </w:rPr>
        <w:tab/>
      </w:r>
      <w:r>
        <w:rPr>
          <w:rFonts w:ascii="Times New Roman" w:cs="Times New Roman" w:eastAsia="Times New Roman" w:hAnsi="Times New Roman"/>
          <w:sz w:val="14"/>
          <w:szCs w:val="14"/>
          <w:b w:val="1"/>
          <w:bCs w:val="1"/>
          <w:color w:val="auto"/>
        </w:rPr>
        <w:t>2015</w:t>
      </w:r>
      <w:r>
        <w:rPr>
          <w:sz w:val="20"/>
          <w:szCs w:val="20"/>
          <w:color w:val="auto"/>
        </w:rPr>
        <w:tab/>
      </w:r>
      <w:r>
        <w:rPr>
          <w:rFonts w:ascii="Times New Roman" w:cs="Times New Roman" w:eastAsia="Times New Roman" w:hAnsi="Times New Roman"/>
          <w:sz w:val="14"/>
          <w:szCs w:val="14"/>
          <w:b w:val="1"/>
          <w:bCs w:val="1"/>
          <w:color w:val="auto"/>
        </w:rPr>
        <w:t>2016</w:t>
      </w:r>
    </w:p>
    <w:p>
      <w:pPr>
        <w:sectPr>
          <w:pgSz w:w="11900" w:h="16917" w:orient="portrait"/>
          <w:cols w:equalWidth="0" w:num="1">
            <w:col w:w="11420"/>
          </w:cols>
          <w:pgMar w:left="240" w:top="121" w:right="239" w:bottom="0" w:gutter="0" w:footer="0" w:header="0"/>
          <w:type w:val="continuous"/>
        </w:sectPr>
      </w:pPr>
    </w:p>
    <w:bookmarkStart w:id="53" w:name="page54"/>
    <w:bookmarkEnd w:id="53"/>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net loss per share:</w:t>
            </w: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$(13,972)</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0" w:type="dxa"/>
            <w:vAlign w:val="bottom"/>
          </w:tcPr>
          <w:p>
            <w:pPr>
              <w:spacing w:after="0"/>
              <w:rPr>
                <w:sz w:val="1"/>
                <w:szCs w:val="1"/>
                <w:color w:val="auto"/>
              </w:rPr>
            </w:pPr>
          </w:p>
        </w:tc>
      </w:tr>
      <w:tr>
        <w:trPr>
          <w:trHeight w:val="234"/>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Preferred dividend rights attributable to participating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$(9,392)</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$(13,972)</w:t>
            </w:r>
          </w:p>
        </w:tc>
        <w:tc>
          <w:tcPr>
            <w:tcW w:w="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77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common stockholders: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(in thousands)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50,127</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50,913</w:t>
            </w:r>
          </w:p>
        </w:tc>
        <w:tc>
          <w:tcPr>
            <w:tcW w:w="0" w:type="dxa"/>
            <w:vAlign w:val="bottom"/>
          </w:tcPr>
          <w:p>
            <w:pPr>
              <w:spacing w:after="0"/>
              <w:rPr>
                <w:sz w:val="1"/>
                <w:szCs w:val="1"/>
                <w:color w:val="auto"/>
              </w:rPr>
            </w:pPr>
          </w:p>
        </w:tc>
      </w:tr>
      <w:tr>
        <w:trPr>
          <w:trHeight w:val="216"/>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(in thousands)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50,127</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50,913</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34"/>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employee stock options, restricted stock units and employee stock purchase plan shares that were excluded from the diluted per share calculation for the periods presented because to include them would have been anti-dilutive:</w:t>
      </w:r>
    </w:p>
    <w:p>
      <w:pPr>
        <w:spacing w:after="0" w:line="6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4"/>
          <w:szCs w:val="14"/>
          <w:b w:val="1"/>
          <w:bCs w:val="1"/>
          <w:color w:val="auto"/>
        </w:rPr>
        <w:t>Year ended June 30</w:t>
      </w:r>
    </w:p>
    <w:p>
      <w:pPr>
        <w:spacing w:after="0" w:line="12" w:lineRule="exact"/>
        <w:rPr>
          <w:sz w:val="20"/>
          <w:szCs w:val="20"/>
          <w:color w:val="auto"/>
        </w:rPr>
      </w:pPr>
    </w:p>
    <w:tbl>
      <w:tblPr>
        <w:tblLayout w:type="fixed"/>
        <w:tblInd w:w="1300" w:type="dxa"/>
        <w:tblCellMar>
          <w:top w:w="0" w:type="dxa"/>
          <w:left w:w="0" w:type="dxa"/>
          <w:bottom w:w="0" w:type="dxa"/>
          <w:right w:w="0" w:type="dxa"/>
        </w:tblCellMar>
      </w:tblPr>
      <w:tr>
        <w:trPr>
          <w:trHeight w:val="142"/>
        </w:trPr>
        <w:tc>
          <w:tcPr>
            <w:tcW w:w="40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r>
      <w:tr>
        <w:trPr>
          <w:trHeight w:val="407"/>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stock options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w:t>
            </w: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3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stock purchase plan shares</w:t>
            </w:r>
          </w:p>
        </w:tc>
        <w:tc>
          <w:tcPr>
            <w:tcW w:w="1460" w:type="dxa"/>
            <w:vAlign w:val="bottom"/>
            <w:gridSpan w:val="3"/>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240" w:type="dxa"/>
            <w:vAlign w:val="bottom"/>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4,482</w:t>
            </w:r>
          </w:p>
        </w:tc>
      </w:tr>
      <w:tr>
        <w:trPr>
          <w:trHeight w:val="20"/>
        </w:trPr>
        <w:tc>
          <w:tcPr>
            <w:tcW w:w="4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660" w:right="8960" w:hanging="652"/>
        <w:spacing w:after="0" w:line="416" w:lineRule="auto"/>
        <w:tabs>
          <w:tab w:leader="none" w:pos="357"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i w:val="1"/>
          <w:iCs w:val="1"/>
          <w:color w:val="auto"/>
        </w:rPr>
        <w:t>Elite Sales</w:t>
      </w:r>
    </w:p>
    <w:p>
      <w:pPr>
        <w:spacing w:after="0" w:line="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purchased sales leads from an entity owned by one of its stockholders in the amount of approximately $231 for the years ended June 30, 2014. The Company provided no management guidance to the entity and had no equity interest in the entity, had no obligation or intention to fund any of the entity’s operational shortfalls, and had no right to any operational surpluses generated by the entity. There were no amounts payable to this entity as of June 30, 2015 and 2016, as on October 14, 2013, the Company hired substantially all of the employees of the sales lead generation entity described above.</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Stockholder Contribution for Cash Bonuses</w:t>
      </w:r>
    </w:p>
    <w:p>
      <w:pPr>
        <w:spacing w:after="0" w:line="13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May 2014, the Company’s Chairman paid approximately $1,052 to the Company for the express purpose of paying a cash bonus to long-term employees in recognition of their past service. The Company recorded a capital contribution to additional paid-in capital for the amount received from the Chairman and compensation expense for the amount paid to employees, accordingly. The Company paid the employer portion of employment taxes and will receive any income tax related benefits from the payments to employees and resulting taxes.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Selected Quarterly Financial Data (unaudited)</w:t>
      </w:r>
    </w:p>
    <w:p>
      <w:pPr>
        <w:spacing w:after="0" w:line="135" w:lineRule="exact"/>
        <w:rPr>
          <w:sz w:val="20"/>
          <w:szCs w:val="20"/>
          <w:color w:val="auto"/>
        </w:rPr>
      </w:pPr>
    </w:p>
    <w:p>
      <w:pPr>
        <w:ind w:right="380" w:firstLine="551"/>
        <w:spacing w:after="0" w:line="282" w:lineRule="auto"/>
        <w:rPr>
          <w:sz w:val="20"/>
          <w:szCs w:val="20"/>
          <w:color w:val="auto"/>
        </w:rPr>
      </w:pPr>
      <w:r>
        <w:rPr>
          <w:rFonts w:ascii="Times New Roman" w:cs="Times New Roman" w:eastAsia="Times New Roman" w:hAnsi="Times New Roman"/>
          <w:sz w:val="18"/>
          <w:szCs w:val="18"/>
          <w:color w:val="auto"/>
        </w:rPr>
        <w:t>The following tables set forth selected unaudited quarterly statements of operations data for each of the eight quarters in the years ended June 30, 2015 and 2016.</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ind w:left="96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860" w:type="dxa"/>
            <w:vAlign w:val="bottom"/>
          </w:tcPr>
          <w:p>
            <w:pPr>
              <w:spacing w:after="0"/>
              <w:rPr>
                <w:sz w:val="16"/>
                <w:szCs w:val="16"/>
                <w:color w:val="auto"/>
              </w:rPr>
            </w:pPr>
          </w:p>
        </w:tc>
        <w:tc>
          <w:tcPr>
            <w:tcW w:w="1680" w:type="dxa"/>
            <w:vAlign w:val="bottom"/>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60" w:type="dxa"/>
            <w:vAlign w:val="bottom"/>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Consolidated Statements of Operations Data</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30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300" w:type="dxa"/>
            <w:vAlign w:val="bottom"/>
          </w:tcPr>
          <w:p>
            <w:pPr>
              <w:spacing w:after="0"/>
              <w:rPr>
                <w:sz w:val="20"/>
                <w:szCs w:val="20"/>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2015</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 2015</w:t>
            </w:r>
          </w:p>
        </w:tc>
        <w:tc>
          <w:tcPr>
            <w:tcW w:w="0" w:type="dxa"/>
            <w:vAlign w:val="bottom"/>
          </w:tcPr>
          <w:p>
            <w:pPr>
              <w:spacing w:after="0"/>
              <w:rPr>
                <w:sz w:val="1"/>
                <w:szCs w:val="1"/>
                <w:color w:val="auto"/>
              </w:rPr>
            </w:pPr>
          </w:p>
        </w:tc>
      </w:tr>
      <w:tr>
        <w:trPr>
          <w:trHeight w:val="178"/>
        </w:trPr>
        <w:tc>
          <w:tcPr>
            <w:tcW w:w="4860" w:type="dxa"/>
            <w:vAlign w:val="bottom"/>
            <w:vMerge w:val="continue"/>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$31,109</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$34,313</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$47,272</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$40,004</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$15,657</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$16,267</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$27,990</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$21,888</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income (loss) per</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attributable to common stockholders: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49,566</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49,775</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50,533</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50,650</w:t>
            </w:r>
          </w:p>
        </w:tc>
        <w:tc>
          <w:tcPr>
            <w:tcW w:w="0" w:type="dxa"/>
            <w:vAlign w:val="bottom"/>
          </w:tcPr>
          <w:p>
            <w:pPr>
              <w:spacing w:after="0"/>
              <w:rPr>
                <w:sz w:val="1"/>
                <w:szCs w:val="1"/>
                <w:color w:val="auto"/>
              </w:rPr>
            </w:pPr>
          </w:p>
        </w:tc>
      </w:tr>
      <w:tr>
        <w:trPr>
          <w:trHeight w:val="234"/>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49,566</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49,775</w:t>
            </w:r>
          </w:p>
        </w:tc>
        <w:tc>
          <w:tcPr>
            <w:tcW w:w="3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52,203</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50,650</w:t>
            </w: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ind w:left="96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860" w:type="dxa"/>
            <w:vAlign w:val="bottom"/>
          </w:tcPr>
          <w:p>
            <w:pPr>
              <w:spacing w:after="0"/>
              <w:rPr>
                <w:sz w:val="16"/>
                <w:szCs w:val="16"/>
                <w:color w:val="auto"/>
              </w:rPr>
            </w:pPr>
          </w:p>
        </w:tc>
        <w:tc>
          <w:tcPr>
            <w:tcW w:w="1680" w:type="dxa"/>
            <w:vAlign w:val="bottom"/>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60" w:type="dxa"/>
            <w:vAlign w:val="bottom"/>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Consolidated Statements of Operations Data</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0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00" w:type="dxa"/>
            <w:vAlign w:val="bottom"/>
          </w:tcPr>
          <w:p>
            <w:pPr>
              <w:spacing w:after="0"/>
              <w:rPr>
                <w:sz w:val="20"/>
                <w:szCs w:val="20"/>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2016</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0" w:type="dxa"/>
            <w:vAlign w:val="bottom"/>
          </w:tcPr>
          <w:p>
            <w:pPr>
              <w:spacing w:after="0"/>
              <w:rPr>
                <w:sz w:val="1"/>
                <w:szCs w:val="1"/>
                <w:color w:val="auto"/>
              </w:rPr>
            </w:pPr>
          </w:p>
        </w:tc>
      </w:tr>
      <w:tr>
        <w:trPr>
          <w:trHeight w:val="178"/>
        </w:trPr>
        <w:tc>
          <w:tcPr>
            <w:tcW w:w="4860" w:type="dxa"/>
            <w:vAlign w:val="bottom"/>
            <w:vMerge w:val="continue"/>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$45,108</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$55,184</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$70,570</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$59,839</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$24,913</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$31,084</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$43,361</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$33,258</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income (loss) per</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attributable to common stockholders:</w:t>
            </w: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97" w:orient="portrait"/>
          <w:cols w:equalWidth="0" w:num="1">
            <w:col w:w="11400"/>
          </w:cols>
          <w:pgMar w:left="240" w:top="120" w:right="259" w:bottom="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50,744</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50,890</w:t>
            </w:r>
          </w:p>
        </w:tc>
        <w:tc>
          <w:tcPr>
            <w:tcW w:w="22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50,962</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51,058</w:t>
            </w:r>
          </w:p>
        </w:tc>
      </w:tr>
      <w:tr>
        <w:trPr>
          <w:trHeight w:val="234"/>
        </w:trPr>
        <w:tc>
          <w:tcPr>
            <w:tcW w:w="1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5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50,744</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50,890</w:t>
            </w:r>
          </w:p>
        </w:tc>
        <w:tc>
          <w:tcPr>
            <w:tcW w:w="220" w:type="dxa"/>
            <w:vAlign w:val="bottom"/>
          </w:tcPr>
          <w:p>
            <w:pPr>
              <w:spacing w:after="0"/>
              <w:rPr>
                <w:sz w:val="20"/>
                <w:szCs w:val="20"/>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53,424</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51,058</w:t>
            </w:r>
          </w:p>
        </w:tc>
      </w:tr>
      <w:tr>
        <w:trPr>
          <w:trHeight w:val="471"/>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60" w:type="dxa"/>
            <w:vAlign w:val="bottom"/>
            <w:gridSpan w:val="3"/>
          </w:tcPr>
          <w:p>
            <w:pPr>
              <w:jc w:val="center"/>
              <w:ind w:left="3254"/>
              <w:spacing w:after="0"/>
              <w:rPr>
                <w:sz w:val="20"/>
                <w:szCs w:val="20"/>
                <w:color w:val="auto"/>
              </w:rPr>
            </w:pPr>
            <w:r>
              <w:rPr>
                <w:rFonts w:ascii="Times New Roman" w:cs="Times New Roman" w:eastAsia="Times New Roman" w:hAnsi="Times New Roman"/>
                <w:sz w:val="22"/>
                <w:szCs w:val="22"/>
                <w:color w:val="auto"/>
                <w:w w:val="96"/>
              </w:rPr>
              <w:t>F-23</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20"/>
        </w:trPr>
        <w:tc>
          <w:tcPr>
            <w:tcW w:w="3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r>
      <w:tr>
        <w:trPr>
          <w:trHeight w:val="523"/>
        </w:trPr>
        <w:tc>
          <w:tcPr>
            <w:tcW w:w="1360" w:type="dxa"/>
            <w:vAlign w:val="bottom"/>
            <w:gridSpan w:val="3"/>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2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3"/>
        </w:trPr>
        <w:tc>
          <w:tcPr>
            <w:tcW w:w="3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60" w:type="dxa"/>
            <w:vAlign w:val="bottom"/>
            <w:gridSpan w:val="3"/>
          </w:tcPr>
          <w:p>
            <w:pPr>
              <w:jc w:val="center"/>
              <w:ind w:left="3254"/>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5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56"/>
        </w:trPr>
        <w:tc>
          <w:tcPr>
            <w:tcW w:w="340" w:type="dxa"/>
            <w:vAlign w:val="bottom"/>
          </w:tcPr>
          <w:p>
            <w:pPr>
              <w:spacing w:after="0"/>
              <w:rPr>
                <w:sz w:val="13"/>
                <w:szCs w:val="13"/>
                <w:color w:val="auto"/>
              </w:rPr>
            </w:pPr>
          </w:p>
        </w:tc>
        <w:tc>
          <w:tcPr>
            <w:tcW w:w="1020" w:type="dxa"/>
            <w:vAlign w:val="bottom"/>
            <w:tcBorders>
              <w:bottom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3"/>
                <w:szCs w:val="13"/>
                <w:color w:val="auto"/>
              </w:rPr>
            </w:pPr>
          </w:p>
        </w:tc>
        <w:tc>
          <w:tcPr>
            <w:tcW w:w="4540" w:type="dxa"/>
            <w:vAlign w:val="bottom"/>
            <w:tcBorders>
              <w:bottom w:val="single" w:sz="8" w:color="auto"/>
            </w:tcBorders>
          </w:tcPr>
          <w:p>
            <w:pPr>
              <w:ind w:left="1680"/>
              <w:spacing w:after="0" w:line="155" w:lineRule="exact"/>
              <w:rPr>
                <w:sz w:val="20"/>
                <w:szCs w:val="20"/>
                <w:color w:val="auto"/>
              </w:rPr>
            </w:pPr>
            <w:r>
              <w:rPr>
                <w:rFonts w:ascii="Times New Roman" w:cs="Times New Roman" w:eastAsia="Times New Roman" w:hAnsi="Times New Roman"/>
                <w:sz w:val="14"/>
                <w:szCs w:val="14"/>
                <w:b w:val="1"/>
                <w:bCs w:val="1"/>
                <w:color w:val="auto"/>
              </w:rPr>
              <w:t>Exhibit Description</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12"/>
              <w:spacing w:after="0" w:line="155" w:lineRule="exact"/>
              <w:rPr>
                <w:sz w:val="20"/>
                <w:szCs w:val="20"/>
                <w:color w:val="auto"/>
              </w:rPr>
            </w:pPr>
            <w:r>
              <w:rPr>
                <w:rFonts w:ascii="Times New Roman" w:cs="Times New Roman" w:eastAsia="Times New Roman" w:hAnsi="Times New Roman"/>
                <w:sz w:val="14"/>
                <w:szCs w:val="14"/>
                <w:b w:val="1"/>
                <w:bCs w:val="1"/>
                <w:color w:val="auto"/>
              </w:rPr>
              <w:t>Form</w:t>
            </w:r>
          </w:p>
        </w:tc>
        <w:tc>
          <w:tcPr>
            <w:tcW w:w="200" w:type="dxa"/>
            <w:vAlign w:val="bottom"/>
          </w:tcPr>
          <w:p>
            <w:pPr>
              <w:spacing w:after="0"/>
              <w:rPr>
                <w:sz w:val="13"/>
                <w:szCs w:val="13"/>
                <w:color w:val="auto"/>
              </w:rPr>
            </w:pPr>
          </w:p>
        </w:tc>
        <w:tc>
          <w:tcPr>
            <w:tcW w:w="1260" w:type="dxa"/>
            <w:vAlign w:val="bottom"/>
            <w:tcBorders>
              <w:bottom w:val="single" w:sz="8" w:color="auto"/>
            </w:tcBorders>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File No.</w:t>
            </w:r>
          </w:p>
        </w:tc>
        <w:tc>
          <w:tcPr>
            <w:tcW w:w="220" w:type="dxa"/>
            <w:vAlign w:val="bottom"/>
          </w:tcPr>
          <w:p>
            <w:pPr>
              <w:spacing w:after="0"/>
              <w:rPr>
                <w:sz w:val="13"/>
                <w:szCs w:val="13"/>
                <w:color w:val="auto"/>
              </w:rPr>
            </w:pPr>
          </w:p>
        </w:tc>
        <w:tc>
          <w:tcPr>
            <w:tcW w:w="640" w:type="dxa"/>
            <w:vAlign w:val="bottom"/>
            <w:tcBorders>
              <w:bottom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180" w:type="dxa"/>
            <w:vAlign w:val="bottom"/>
          </w:tcPr>
          <w:p>
            <w:pPr>
              <w:spacing w:after="0"/>
              <w:rPr>
                <w:sz w:val="13"/>
                <w:szCs w:val="13"/>
                <w:color w:val="auto"/>
              </w:rPr>
            </w:pPr>
          </w:p>
        </w:tc>
      </w:tr>
      <w:tr>
        <w:trPr>
          <w:trHeight w:val="345"/>
        </w:trPr>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4"/>
                <w:szCs w:val="24"/>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Share Exchange Agreement, dated November 7, 2013.</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333-193661</w:t>
            </w: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January 30, 2014</w:t>
            </w:r>
          </w:p>
        </w:tc>
      </w:tr>
      <w:tr>
        <w:trPr>
          <w:trHeight w:val="333"/>
        </w:trPr>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First Amended and Restated Certificate of Incorporation of the</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333-193661</w:t>
            </w: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14, 2014</w:t>
            </w:r>
          </w:p>
        </w:tc>
      </w:tr>
      <w:tr>
        <w:trPr>
          <w:trHeight w:val="234"/>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Registrant.</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51"/>
        </w:trPr>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Amended and Restated By-Laws of the Registrant.</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February 5, 2016</w:t>
            </w:r>
          </w:p>
        </w:tc>
      </w:tr>
      <w:tr>
        <w:trPr>
          <w:trHeight w:val="333"/>
        </w:trPr>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4"/>
                <w:szCs w:val="24"/>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Amended and Restated Investor Rights Agreement, dated</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333-193661</w:t>
            </w: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January 30, 2014</w:t>
            </w:r>
          </w:p>
        </w:tc>
      </w:tr>
      <w:tr>
        <w:trPr>
          <w:trHeight w:val="234"/>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June 29, 2012.</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33"/>
        </w:trPr>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tcPr>
          <w:p>
            <w:pPr>
              <w:spacing w:after="0"/>
              <w:rPr>
                <w:sz w:val="24"/>
                <w:szCs w:val="24"/>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Revolving Line of Credit Note, dated March 9, 2011, payable</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333-193661</w:t>
            </w: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January 30, 2014</w:t>
            </w:r>
          </w:p>
        </w:tc>
      </w:tr>
      <w:tr>
        <w:trPr>
          <w:trHeight w:val="234"/>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to Commerce Bank &amp; Trust Company.</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33"/>
        </w:trPr>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Pr>
          <w:p>
            <w:pPr>
              <w:spacing w:after="0"/>
              <w:rPr>
                <w:sz w:val="24"/>
                <w:szCs w:val="24"/>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Allonge to Revolving Line of Credit Note, dated</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333-193661</w:t>
            </w: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January 30, 2014</w:t>
            </w:r>
          </w:p>
        </w:tc>
      </w:tr>
      <w:tr>
        <w:trPr>
          <w:trHeight w:val="234"/>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November 27, 2013.</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33"/>
        </w:trPr>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Loan and Security Agreement by and among Commerce</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333-193661</w:t>
            </w: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January 30, 2014</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Bank &amp; Trust Company and Paylocity Corporation, dated</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May 5, 2009.</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33"/>
        </w:trPr>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24"/>
                <w:szCs w:val="24"/>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First Amendment to Loan and Security Agreement, dated</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333-193661</w:t>
            </w: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January 30, 2014</w:t>
            </w:r>
          </w:p>
        </w:tc>
      </w:tr>
      <w:tr>
        <w:trPr>
          <w:trHeight w:val="234"/>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March 9, 2011.</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51"/>
        </w:trPr>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Form of Indemnification Agreement for directors and officers.</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333-193661</w:t>
            </w: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January 30, 2014</w:t>
            </w:r>
          </w:p>
        </w:tc>
      </w:tr>
      <w:tr>
        <w:trPr>
          <w:trHeight w:val="333"/>
        </w:trPr>
        <w:tc>
          <w:tcPr>
            <w:tcW w:w="34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r>
              <w:rPr>
                <w:rFonts w:ascii="Times New Roman" w:cs="Times New Roman" w:eastAsia="Times New Roman" w:hAnsi="Times New Roman"/>
                <w:sz w:val="23"/>
                <w:szCs w:val="23"/>
                <w:color w:val="auto"/>
                <w:vertAlign w:val="superscript"/>
              </w:rPr>
              <w:t>†</w:t>
            </w: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2008 Equity Incentive Plan and forms of agreement</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333-193661</w:t>
            </w: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January 30, 2014</w:t>
            </w:r>
          </w:p>
        </w:tc>
      </w:tr>
      <w:tr>
        <w:trPr>
          <w:trHeight w:val="234"/>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thereunder.</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33"/>
        </w:trPr>
        <w:tc>
          <w:tcPr>
            <w:tcW w:w="34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10.3.1</w:t>
            </w:r>
            <w:r>
              <w:rPr>
                <w:rFonts w:ascii="Times New Roman" w:cs="Times New Roman" w:eastAsia="Times New Roman" w:hAnsi="Times New Roman"/>
                <w:sz w:val="23"/>
                <w:szCs w:val="23"/>
                <w:color w:val="auto"/>
                <w:vertAlign w:val="superscript"/>
              </w:rPr>
              <w:t>†</w:t>
            </w: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First Amendment to the 2008 Equity Incentive Plan, dated</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333-193661</w:t>
            </w: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10.3.1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January 30, 2014</w:t>
            </w:r>
          </w:p>
        </w:tc>
      </w:tr>
      <w:tr>
        <w:trPr>
          <w:trHeight w:val="234"/>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August 5, 2010.</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33"/>
        </w:trPr>
        <w:tc>
          <w:tcPr>
            <w:tcW w:w="34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10.3.2</w:t>
            </w:r>
            <w:r>
              <w:rPr>
                <w:rFonts w:ascii="Times New Roman" w:cs="Times New Roman" w:eastAsia="Times New Roman" w:hAnsi="Times New Roman"/>
                <w:sz w:val="23"/>
                <w:szCs w:val="23"/>
                <w:color w:val="auto"/>
                <w:vertAlign w:val="superscript"/>
              </w:rPr>
              <w:t>†</w:t>
            </w: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Second Amendment to the 2008 Equity Incentive Plan, dated</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333-193661</w:t>
            </w: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10.3.2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January 30, 2014</w:t>
            </w:r>
          </w:p>
        </w:tc>
      </w:tr>
      <w:tr>
        <w:trPr>
          <w:trHeight w:val="234"/>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June 29, 2012.</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33"/>
        </w:trPr>
        <w:tc>
          <w:tcPr>
            <w:tcW w:w="34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23"/>
                <w:szCs w:val="23"/>
                <w:color w:val="auto"/>
                <w:vertAlign w:val="superscript"/>
              </w:rPr>
              <w:t>†</w:t>
            </w: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2014 Equity Incentive Plan and forms of agreement</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333-193661</w:t>
            </w: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14, 2014</w:t>
            </w:r>
          </w:p>
        </w:tc>
      </w:tr>
      <w:tr>
        <w:trPr>
          <w:trHeight w:val="234"/>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thereunder.</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33"/>
        </w:trPr>
        <w:tc>
          <w:tcPr>
            <w:tcW w:w="34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r>
              <w:rPr>
                <w:rFonts w:ascii="Times New Roman" w:cs="Times New Roman" w:eastAsia="Times New Roman" w:hAnsi="Times New Roman"/>
                <w:sz w:val="23"/>
                <w:szCs w:val="23"/>
                <w:color w:val="auto"/>
                <w:vertAlign w:val="superscript"/>
              </w:rPr>
              <w:t>†</w:t>
            </w: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Third Amended and Restated Executive Employment</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333-193661</w:t>
            </w: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14, 2014</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Agreement between Paylocity Corporation and Steven R.</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Beauchamp, dated February 7, 2014.</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33"/>
        </w:trPr>
        <w:tc>
          <w:tcPr>
            <w:tcW w:w="34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r>
              <w:rPr>
                <w:rFonts w:ascii="Times New Roman" w:cs="Times New Roman" w:eastAsia="Times New Roman" w:hAnsi="Times New Roman"/>
                <w:sz w:val="23"/>
                <w:szCs w:val="23"/>
                <w:color w:val="auto"/>
                <w:vertAlign w:val="superscript"/>
              </w:rPr>
              <w:t>†</w:t>
            </w: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Second Amended and Restated Executive Employment</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333-193661</w:t>
            </w: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14, 2014</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Agreement between Paylocity Corporation and Michael R.</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Haske, dated February 7, 2014.</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33"/>
        </w:trPr>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4"/>
                <w:szCs w:val="24"/>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Office Lease between 3850 Wilke LLC and Paylocity</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333-193661</w:t>
            </w: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January 30, 2014</w:t>
            </w:r>
          </w:p>
        </w:tc>
      </w:tr>
      <w:tr>
        <w:trPr>
          <w:trHeight w:val="234"/>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Corporation, dated January 12, 2007.</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51"/>
        </w:trPr>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tcPr>
          <w:p>
            <w:pPr>
              <w:spacing w:after="0"/>
              <w:rPr>
                <w:sz w:val="24"/>
                <w:szCs w:val="24"/>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Amendment to Office Lease, dated January 5, 2011.</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333-193661</w:t>
            </w: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10.8.1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January 30, 2014</w:t>
            </w:r>
          </w:p>
        </w:tc>
      </w:tr>
      <w:tr>
        <w:trPr>
          <w:trHeight w:val="351"/>
        </w:trPr>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tcPr>
          <w:p>
            <w:pPr>
              <w:spacing w:after="0"/>
              <w:rPr>
                <w:sz w:val="24"/>
                <w:szCs w:val="24"/>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Amendment to Office Lease, dated May 6, 2013.</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333-193661</w:t>
            </w: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10.8.2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January 30, 2014</w:t>
            </w:r>
          </w:p>
        </w:tc>
      </w:tr>
      <w:tr>
        <w:trPr>
          <w:trHeight w:val="348"/>
        </w:trPr>
        <w:tc>
          <w:tcPr>
            <w:tcW w:w="1280" w:type="dxa"/>
            <w:vAlign w:val="bottom"/>
            <w:tcBorders>
              <w:bottom w:val="single" w:sz="8" w:color="808080"/>
            </w:tcBorders>
            <w:gridSpan w:val="2"/>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5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r>
      <w:tr>
        <w:trPr>
          <w:trHeight w:val="523"/>
        </w:trPr>
        <w:tc>
          <w:tcPr>
            <w:tcW w:w="1360" w:type="dxa"/>
            <w:vAlign w:val="bottom"/>
            <w:gridSpan w:val="3"/>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2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9"/>
        </w:trPr>
        <w:tc>
          <w:tcPr>
            <w:tcW w:w="3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5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56"/>
        </w:trPr>
        <w:tc>
          <w:tcPr>
            <w:tcW w:w="340" w:type="dxa"/>
            <w:vAlign w:val="bottom"/>
          </w:tcPr>
          <w:p>
            <w:pPr>
              <w:spacing w:after="0"/>
              <w:rPr>
                <w:sz w:val="13"/>
                <w:szCs w:val="13"/>
                <w:color w:val="auto"/>
              </w:rPr>
            </w:pPr>
          </w:p>
        </w:tc>
        <w:tc>
          <w:tcPr>
            <w:tcW w:w="1020" w:type="dxa"/>
            <w:vAlign w:val="bottom"/>
            <w:tcBorders>
              <w:bottom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3"/>
                <w:szCs w:val="13"/>
                <w:color w:val="auto"/>
              </w:rPr>
            </w:pPr>
          </w:p>
        </w:tc>
        <w:tc>
          <w:tcPr>
            <w:tcW w:w="4540" w:type="dxa"/>
            <w:vAlign w:val="bottom"/>
            <w:tcBorders>
              <w:bottom w:val="single" w:sz="8" w:color="auto"/>
            </w:tcBorders>
          </w:tcPr>
          <w:p>
            <w:pPr>
              <w:ind w:left="1680"/>
              <w:spacing w:after="0" w:line="155" w:lineRule="exact"/>
              <w:rPr>
                <w:sz w:val="20"/>
                <w:szCs w:val="20"/>
                <w:color w:val="auto"/>
              </w:rPr>
            </w:pPr>
            <w:r>
              <w:rPr>
                <w:rFonts w:ascii="Times New Roman" w:cs="Times New Roman" w:eastAsia="Times New Roman" w:hAnsi="Times New Roman"/>
                <w:sz w:val="14"/>
                <w:szCs w:val="14"/>
                <w:b w:val="1"/>
                <w:bCs w:val="1"/>
                <w:color w:val="auto"/>
              </w:rPr>
              <w:t>Exhibit Description</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12"/>
              <w:spacing w:after="0" w:line="155" w:lineRule="exact"/>
              <w:rPr>
                <w:sz w:val="20"/>
                <w:szCs w:val="20"/>
                <w:color w:val="auto"/>
              </w:rPr>
            </w:pPr>
            <w:r>
              <w:rPr>
                <w:rFonts w:ascii="Times New Roman" w:cs="Times New Roman" w:eastAsia="Times New Roman" w:hAnsi="Times New Roman"/>
                <w:sz w:val="14"/>
                <w:szCs w:val="14"/>
                <w:b w:val="1"/>
                <w:bCs w:val="1"/>
                <w:color w:val="auto"/>
              </w:rPr>
              <w:t>Form</w:t>
            </w:r>
          </w:p>
        </w:tc>
        <w:tc>
          <w:tcPr>
            <w:tcW w:w="200" w:type="dxa"/>
            <w:vAlign w:val="bottom"/>
          </w:tcPr>
          <w:p>
            <w:pPr>
              <w:spacing w:after="0"/>
              <w:rPr>
                <w:sz w:val="13"/>
                <w:szCs w:val="13"/>
                <w:color w:val="auto"/>
              </w:rPr>
            </w:pPr>
          </w:p>
        </w:tc>
        <w:tc>
          <w:tcPr>
            <w:tcW w:w="1260" w:type="dxa"/>
            <w:vAlign w:val="bottom"/>
            <w:tcBorders>
              <w:bottom w:val="single" w:sz="8" w:color="auto"/>
            </w:tcBorders>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File No.</w:t>
            </w:r>
          </w:p>
        </w:tc>
        <w:tc>
          <w:tcPr>
            <w:tcW w:w="220" w:type="dxa"/>
            <w:vAlign w:val="bottom"/>
          </w:tcPr>
          <w:p>
            <w:pPr>
              <w:spacing w:after="0"/>
              <w:rPr>
                <w:sz w:val="13"/>
                <w:szCs w:val="13"/>
                <w:color w:val="auto"/>
              </w:rPr>
            </w:pPr>
          </w:p>
        </w:tc>
        <w:tc>
          <w:tcPr>
            <w:tcW w:w="640" w:type="dxa"/>
            <w:vAlign w:val="bottom"/>
            <w:tcBorders>
              <w:bottom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180" w:type="dxa"/>
            <w:vAlign w:val="bottom"/>
          </w:tcPr>
          <w:p>
            <w:pPr>
              <w:spacing w:after="0"/>
              <w:rPr>
                <w:sz w:val="13"/>
                <w:szCs w:val="13"/>
                <w:color w:val="auto"/>
              </w:rPr>
            </w:pPr>
          </w:p>
        </w:tc>
      </w:tr>
      <w:tr>
        <w:trPr>
          <w:trHeight w:val="326"/>
        </w:trPr>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10.8.3</w:t>
            </w:r>
          </w:p>
        </w:tc>
        <w:tc>
          <w:tcPr>
            <w:tcW w:w="80" w:type="dxa"/>
            <w:vAlign w:val="bottom"/>
          </w:tcPr>
          <w:p>
            <w:pPr>
              <w:spacing w:after="0"/>
              <w:rPr>
                <w:sz w:val="24"/>
                <w:szCs w:val="24"/>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Multi-Tenant Office Lease Agreement, dated June 1, 2016, by</w:t>
            </w: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June 2, 2016</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and between Paylocity Corporation and RPAI Schaumburg</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American Lane, L.L.C.</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3"/>
        </w:trPr>
        <w:tc>
          <w:tcPr>
            <w:tcW w:w="34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r>
              <w:rPr>
                <w:rFonts w:ascii="Times New Roman" w:cs="Times New Roman" w:eastAsia="Times New Roman" w:hAnsi="Times New Roman"/>
                <w:sz w:val="23"/>
                <w:szCs w:val="23"/>
                <w:color w:val="auto"/>
                <w:vertAlign w:val="superscript"/>
              </w:rPr>
              <w:t>†</w:t>
            </w: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2014 Employee Stock Purchase Plan.</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333-193661</w:t>
            </w: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14, 2014</w:t>
            </w:r>
          </w:p>
        </w:tc>
      </w:tr>
      <w:tr>
        <w:trPr>
          <w:trHeight w:val="251"/>
        </w:trPr>
        <w:tc>
          <w:tcPr>
            <w:tcW w:w="340" w:type="dxa"/>
            <w:vAlign w:val="bottom"/>
          </w:tcPr>
          <w:p>
            <w:pPr>
              <w:spacing w:after="0"/>
              <w:rPr>
                <w:sz w:val="21"/>
                <w:szCs w:val="21"/>
                <w:color w:val="auto"/>
              </w:rPr>
            </w:pPr>
          </w:p>
        </w:tc>
        <w:tc>
          <w:tcPr>
            <w:tcW w:w="1020" w:type="dxa"/>
            <w:vAlign w:val="bottom"/>
            <w:gridSpan w:val="2"/>
          </w:tcPr>
          <w:p>
            <w:pPr>
              <w:spacing w:after="0" w:line="251" w:lineRule="exact"/>
              <w:rPr>
                <w:sz w:val="20"/>
                <w:szCs w:val="20"/>
                <w:color w:val="auto"/>
              </w:rPr>
            </w:pPr>
            <w:r>
              <w:rPr>
                <w:rFonts w:ascii="Times New Roman" w:cs="Times New Roman" w:eastAsia="Times New Roman" w:hAnsi="Times New Roman"/>
                <w:sz w:val="18"/>
                <w:szCs w:val="18"/>
                <w:color w:val="auto"/>
              </w:rPr>
              <w:t>10.10</w:t>
            </w:r>
            <w:r>
              <w:rPr>
                <w:rFonts w:ascii="Times New Roman" w:cs="Times New Roman" w:eastAsia="Times New Roman" w:hAnsi="Times New Roman"/>
                <w:sz w:val="23"/>
                <w:szCs w:val="23"/>
                <w:color w:val="auto"/>
                <w:vertAlign w:val="superscript"/>
              </w:rPr>
              <w:t>†</w:t>
            </w: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First Amended and Restated Executive Employment</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22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August 14, 2015</w:t>
            </w: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Agreement between Paylocity Corporation and Peter J.</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McGrail, dated February 7, 2014.</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33"/>
        </w:trPr>
        <w:tc>
          <w:tcPr>
            <w:tcW w:w="34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Executive Employment Agreement between Paylocity</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Corporation and Mark S. Kinsey, dated May 1, 2015.</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-9760585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-9760585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-2325370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-2325370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55" w:name="page56"/>
    <w:bookmarkEnd w:id="55"/>
    <w:tbl>
      <w:tblPr>
        <w:tblLayout w:type="fixed"/>
        <w:tblInd w:w="34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Executive Employment Agreement between Paylocity</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w:t>
            </w:r>
          </w:p>
        </w:tc>
        <w:tc>
          <w:tcPr>
            <w:tcW w:w="15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August 9, 2016</w:t>
            </w:r>
          </w:p>
        </w:tc>
      </w:tr>
      <w:tr>
        <w:trPr>
          <w:trHeight w:val="234"/>
        </w:trPr>
        <w:tc>
          <w:tcPr>
            <w:tcW w:w="1020" w:type="dxa"/>
            <w:vAlign w:val="bottom"/>
          </w:tcPr>
          <w:p>
            <w:pPr>
              <w:spacing w:after="0"/>
              <w:rPr>
                <w:sz w:val="20"/>
                <w:szCs w:val="20"/>
                <w:color w:val="auto"/>
              </w:rPr>
            </w:pP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Corporation and Edward W. Gaty, dated August 8, 2016.</w:t>
            </w: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5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Code of Business Conduct and Ethics.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001-36348</w:t>
            </w: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14.1</w:t>
            </w:r>
          </w:p>
        </w:tc>
        <w:tc>
          <w:tcPr>
            <w:tcW w:w="15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August 22, 2014</w:t>
            </w:r>
          </w:p>
        </w:tc>
      </w:tr>
      <w:tr>
        <w:trPr>
          <w:trHeight w:val="35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List of Subsidiaries of the Registrant.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333-193661</w:t>
            </w: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21.1</w:t>
            </w:r>
          </w:p>
        </w:tc>
        <w:tc>
          <w:tcPr>
            <w:tcW w:w="15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January 30, 2014</w:t>
            </w:r>
          </w:p>
        </w:tc>
      </w:tr>
      <w:tr>
        <w:trPr>
          <w:trHeight w:val="33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Consent of KPMG LLP, Independent Registered Public</w:t>
            </w: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Accounting Firm.</w:t>
            </w: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Power of Attorney (see page 54 to this Annual Report on</w:t>
            </w: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10-K).</w:t>
            </w: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Certification of Principal Executive Officer Required Under</w:t>
            </w: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Rule 13a-14(a) and 15d-14(a) of the Securities Exchange Act</w:t>
            </w: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 1934, as amended.</w:t>
            </w: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Certification of Principal Financial Officer Required Under</w:t>
            </w: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Rule 13a-14(a) and 15d-14(a) of the Securities Exchange Act</w:t>
            </w: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 1934, as amended.</w:t>
            </w: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Certification of Chief Executive Officer Required Under</w:t>
            </w: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Rule 13a-14(a) and 15d-14(a) of the Securities Exchange Act</w:t>
            </w: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 1934, as amended, and 18 U.S.C. §1350 as adopted</w:t>
            </w: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Certification of Chief Financial Officer Required Under</w:t>
            </w: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Rule 13a-14(a) and 15d-14(a) of the Securities Exchange Act</w:t>
            </w: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 1934, as amended, and 18 U.S.C. §1350 as adopted</w:t>
            </w: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5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Instance Document.</w:t>
            </w: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5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5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5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5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5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 w:lineRule="exact"/>
        <w:rPr>
          <w:sz w:val="20"/>
          <w:szCs w:val="20"/>
          <w:color w:val="auto"/>
        </w:rPr>
      </w:pPr>
    </w:p>
    <w:p>
      <w:pPr>
        <w:ind w:right="6540" w:firstLine="8"/>
        <w:spacing w:after="0" w:line="261" w:lineRule="auto"/>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compensatory plan or arrangement.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80"/>
          </w:cols>
          <w:pgMar w:left="240" w:top="121" w:right="579" w:bottom="1440" w:gutter="0" w:footer="0" w:header="0"/>
        </w:sectPr>
      </w:pPr>
    </w:p>
    <w:bookmarkStart w:id="56" w:name="page57"/>
    <w:bookmarkEnd w:id="56"/>
    <w:p>
      <w:pPr>
        <w:spacing w:after="0" w:line="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10.11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EMPLOYMENT AGREEMENT</w:t>
      </w:r>
    </w:p>
    <w:p>
      <w:pPr>
        <w:spacing w:after="0" w:line="200" w:lineRule="exact"/>
        <w:rPr>
          <w:sz w:val="20"/>
          <w:szCs w:val="20"/>
          <w:color w:val="auto"/>
        </w:rPr>
      </w:pPr>
    </w:p>
    <w:p>
      <w:pPr>
        <w:spacing w:after="0" w:line="274"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22"/>
          <w:szCs w:val="22"/>
          <w:color w:val="auto"/>
        </w:rPr>
        <w:t>This Executive Employment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made and entered into by Paylocity Corporation, an Illinois corporation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Mark Kinsey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effective as of May 1, 2015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parties agree as follows:</w:t>
      </w:r>
    </w:p>
    <w:p>
      <w:pPr>
        <w:spacing w:after="0" w:line="233" w:lineRule="exact"/>
        <w:rPr>
          <w:sz w:val="20"/>
          <w:szCs w:val="20"/>
          <w:color w:val="auto"/>
        </w:rPr>
      </w:pPr>
    </w:p>
    <w:p>
      <w:pPr>
        <w:ind w:firstLine="656"/>
        <w:spacing w:after="0" w:line="258" w:lineRule="auto"/>
        <w:tabs>
          <w:tab w:leader="none" w:pos="1297"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Company hereby employs Executive, and Executive hereby accepts such employment, upon the terms and conditions set forth herein.</w:t>
      </w:r>
    </w:p>
    <w:p>
      <w:pPr>
        <w:spacing w:after="0" w:line="18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7"/>
        <w:spacing w:after="0" w:line="239"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Position</w:t>
      </w:r>
      <w:r>
        <w:rPr>
          <w:rFonts w:ascii="Times New Roman" w:cs="Times New Roman" w:eastAsia="Times New Roman" w:hAnsi="Times New Roman"/>
          <w:sz w:val="22"/>
          <w:szCs w:val="22"/>
          <w:color w:val="auto"/>
        </w:rPr>
        <w:t>. Executive is employed as Senior Vice President of Operations and shall have the duties and responsibilities assigned by Company’s President and Chief Executive Officer (“</w:t>
      </w:r>
      <w:r>
        <w:rPr>
          <w:rFonts w:ascii="Times New Roman" w:cs="Times New Roman" w:eastAsia="Times New Roman" w:hAnsi="Times New Roman"/>
          <w:sz w:val="22"/>
          <w:szCs w:val="22"/>
          <w:b w:val="1"/>
          <w:bCs w:val="1"/>
          <w:i w:val="1"/>
          <w:iCs w:val="1"/>
          <w:color w:val="auto"/>
        </w:rPr>
        <w:t>CEO</w:t>
      </w:r>
      <w:r>
        <w:rPr>
          <w:rFonts w:ascii="Times New Roman" w:cs="Times New Roman" w:eastAsia="Times New Roman" w:hAnsi="Times New Roman"/>
          <w:sz w:val="22"/>
          <w:szCs w:val="22"/>
          <w:color w:val="auto"/>
        </w:rPr>
        <w:t>”). Executive shall perform faithfully and diligently all duties assigned to Executive. Company reserves the right to modify Executive’s position and duties at any time in its sole and absolute discretion.</w:t>
      </w:r>
    </w:p>
    <w:p>
      <w:pPr>
        <w:spacing w:after="0" w:line="208" w:lineRule="exact"/>
        <w:rPr>
          <w:sz w:val="20"/>
          <w:szCs w:val="20"/>
          <w:color w:val="auto"/>
        </w:rPr>
      </w:pPr>
    </w:p>
    <w:p>
      <w:pPr>
        <w:jc w:val="both"/>
        <w:ind w:firstLine="1297"/>
        <w:spacing w:after="0" w:line="235"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Best Efforts/Full-time</w:t>
      </w:r>
      <w:r>
        <w:rPr>
          <w:rFonts w:ascii="Times New Roman" w:cs="Times New Roman" w:eastAsia="Times New Roman" w:hAnsi="Times New Roman"/>
          <w:sz w:val="22"/>
          <w:szCs w:val="22"/>
          <w:color w:val="auto"/>
        </w:rPr>
        <w:t>. Executive will expend Executive’s best efforts on behalf of Company, and will abide by all policies and decisions made by Company, as well as all applicable federal, state and local laws, regulations or ordinances. Executive will act in the best interest of Company at all times. Executive shall devote Executive’s full business time and efforts to the performance of Executive’s assigned duties for Company, unless Executive notifies the CEO in advance of Executive’s intent to engage in other paid work and receives the CEO’s express written consent to do so. Notwithstanding the foregoing, Executive will be permitted to serve as an outside director on the board of directors for nonprofit or charitable entities or managing Executive’s personal financial and legal affairs, so long as the foregoing activities, provided such entities are not competitive with Company and subject to the provisions of section 10 below.</w:t>
      </w:r>
    </w:p>
    <w:p>
      <w:pPr>
        <w:spacing w:after="0" w:line="206"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Work Location</w:t>
      </w:r>
      <w:r>
        <w:rPr>
          <w:rFonts w:ascii="Times New Roman" w:cs="Times New Roman" w:eastAsia="Times New Roman" w:hAnsi="Times New Roman"/>
          <w:sz w:val="22"/>
          <w:szCs w:val="22"/>
          <w:color w:val="auto"/>
        </w:rPr>
        <w:t>. Executive’s principal place of work shall be located in Arlington Heights, Illinois, or such other location as Company may direct from time to time in connection with the performance of Executive’s duties.</w:t>
      </w:r>
    </w:p>
    <w:p>
      <w:pPr>
        <w:spacing w:after="0" w:line="185" w:lineRule="exact"/>
        <w:rPr>
          <w:sz w:val="20"/>
          <w:szCs w:val="20"/>
          <w:color w:val="auto"/>
        </w:rPr>
      </w:pPr>
    </w:p>
    <w:p>
      <w:pPr>
        <w:jc w:val="both"/>
        <w:ind w:firstLine="656"/>
        <w:spacing w:after="0" w:line="238" w:lineRule="auto"/>
        <w:tabs>
          <w:tab w:leader="none" w:pos="144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Executive’s employment with Company is at-will and not for any specified period and may be terminated at any time, with or without cause (as defined below) or advance notice, by either Executive or Company. No representative of Company, other than the CEO, has the authority to alter the at-will employment relationship. Any change to the at-will employment relationship must be by specific, written agreement signed by Executive and the CEO. Nothing in this Agreement is intended to or should be construed to contradict, modify or alter this at-will relationship.</w:t>
      </w:r>
    </w:p>
    <w:p>
      <w:pPr>
        <w:spacing w:after="0" w:line="20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firstLine="1297"/>
        <w:spacing w:after="0" w:line="235"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As compensation for Executive’s performance of Executive’s duties hereunder, for fiscal year 2015, Company shall pay to Executive an annualized base salary of $250,000, less required deductions for state and federal withholding tax, social security and all other employment taxes and payroll deductions, payable in accordance with the normal payroll practices of Company. Beginning in fiscal year 2016, the Compensation Committee of the Company’s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shall conduct an annual review of Executive’s base salary based on third party comparison data and internal management recommendations. The salary increase will be evaluated after each fiscal year and implemented in September of each year. In the event Executive’s employment under this Agreement is terminated by either party, for any reason, Executive will earn the base salary prorated to the date of termination.</w:t>
      </w:r>
    </w:p>
    <w:p>
      <w:pPr>
        <w:spacing w:after="0" w:line="206" w:lineRule="exact"/>
        <w:rPr>
          <w:sz w:val="20"/>
          <w:szCs w:val="20"/>
          <w:color w:val="auto"/>
        </w:rPr>
      </w:pPr>
    </w:p>
    <w:p>
      <w:pPr>
        <w:jc w:val="both"/>
        <w:ind w:firstLine="1297"/>
        <w:spacing w:after="0" w:line="235"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Executive will be eligible to earn an annual incentive bonus, the target amount of which is 50% of Executive’s base salary for fiscal 2015 and thereafter a percentage as determined by the Company’s Compensation Committee (“</w:t>
      </w:r>
      <w:r>
        <w:rPr>
          <w:rFonts w:ascii="Times New Roman" w:cs="Times New Roman" w:eastAsia="Times New Roman" w:hAnsi="Times New Roman"/>
          <w:sz w:val="22"/>
          <w:szCs w:val="22"/>
          <w:b w:val="1"/>
          <w:bCs w:val="1"/>
          <w:i w:val="1"/>
          <w:iCs w:val="1"/>
          <w:color w:val="auto"/>
        </w:rPr>
        <w:t>Annual Bonus</w:t>
      </w:r>
      <w:r>
        <w:rPr>
          <w:rFonts w:ascii="Times New Roman" w:cs="Times New Roman" w:eastAsia="Times New Roman" w:hAnsi="Times New Roman"/>
          <w:sz w:val="22"/>
          <w:szCs w:val="22"/>
          <w:color w:val="auto"/>
        </w:rPr>
        <w:t>”). The Annual Bonus will be based on Executive’s achievement of certain goals, which shall be established by Company’s Compensation Committee and the Board and communicated to Executive within 30 days of the beginning of each fiscal year. The Annual Bonus shall be less all required taxes and withholdings and will be paid out within 60 days following the end of the fiscal year in which it is earned. Executive’s Annual Bonus for fiscal 2015 shall be prorated to Executive’s start date.</w:t>
      </w:r>
    </w:p>
    <w:p>
      <w:pPr>
        <w:spacing w:after="0" w:line="211" w:lineRule="exact"/>
        <w:rPr>
          <w:sz w:val="20"/>
          <w:szCs w:val="20"/>
          <w:color w:val="auto"/>
        </w:rPr>
      </w:pPr>
    </w:p>
    <w:p>
      <w:pPr>
        <w:jc w:val="both"/>
        <w:ind w:firstLine="1297"/>
        <w:spacing w:after="0" w:line="235"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Equity Incentive Grants</w:t>
      </w:r>
      <w:r>
        <w:rPr>
          <w:rFonts w:ascii="Times New Roman" w:cs="Times New Roman" w:eastAsia="Times New Roman" w:hAnsi="Times New Roman"/>
          <w:sz w:val="22"/>
          <w:szCs w:val="22"/>
          <w:color w:val="auto"/>
        </w:rPr>
        <w:t>. Subject to approval of the Board, Paylocity Holding Corporation, Company’s parent (“</w:t>
      </w:r>
      <w:r>
        <w:rPr>
          <w:rFonts w:ascii="Times New Roman" w:cs="Times New Roman" w:eastAsia="Times New Roman" w:hAnsi="Times New Roman"/>
          <w:sz w:val="22"/>
          <w:szCs w:val="22"/>
          <w:b w:val="1"/>
          <w:bCs w:val="1"/>
          <w:i w:val="1"/>
          <w:iCs w:val="1"/>
          <w:color w:val="auto"/>
        </w:rPr>
        <w:t>Parent</w:t>
      </w:r>
      <w:r>
        <w:rPr>
          <w:rFonts w:ascii="Times New Roman" w:cs="Times New Roman" w:eastAsia="Times New Roman" w:hAnsi="Times New Roman"/>
          <w:sz w:val="22"/>
          <w:szCs w:val="22"/>
          <w:color w:val="auto"/>
        </w:rPr>
        <w:t>”), shall grant to Executive restricted stock units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 representing the right to receive upon settlement a number of shares of the common stock of Parent equal to 25,000 shares. The RSUs shall vest annually in four equal installments beginning on the one year anniversary of Executive’s start date. Beginning in fiscal 2016, Executive shall be eligible to receive additional long-term equity incentives, as determined during the annual review conducted by the Compensation Committee and the Board. Immediately prior to the consummation of a Change in Control, the vesting of all unvested shares subject to outstanding equity awards with time-based vesting issued to Executive by Company and/or Parent shall be accelerated in full and, if applicable,</w:t>
      </w:r>
    </w:p>
    <w:p>
      <w:pPr>
        <w:sectPr>
          <w:pgSz w:w="11900" w:h="16875" w:orient="portrait"/>
          <w:cols w:equalWidth="0" w:num="1">
            <w:col w:w="11420"/>
          </w:cols>
          <w:pgMar w:left="240" w:top="108" w:right="239" w:bottom="0" w:gutter="0" w:footer="0" w:header="0"/>
        </w:sectPr>
      </w:pPr>
    </w:p>
    <w:bookmarkStart w:id="57" w:name="page58"/>
    <w:bookmarkEnd w:id="57"/>
    <w:p>
      <w:pPr>
        <w:spacing w:after="0" w:line="4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such equity awards shall become exercisable or shall be settled in full immediately prior to such Change in Control provided that Executive’s employment with Company or Parent has not terminated prior to such Change in Control. For the purposes of this Agreement, “</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shall mean (i) the acquisition by any person, entity or “group” (within the meaning of Section 13(d)(3) or 14(d)(2) of the Exchange Act) of beneficial ownership (within the meaning of Rule 13d-3 promulgated under the Exchange Act) of 50% or more of either the then outstanding equity interests in Parent or the combined voting power of Parent’s then outstanding voting securities; or (ii) the consummation of a reorganization, merger or consolidation of Parent or the sale of all or substantially all of the assets of Parent, in each case with respect to which persons who held equity interests in Parent immediately prior to such reorganization, merger, consolidation or sale do not immediately thereafter own, directly or indirectly, 50% or more of the combined voting power of the then outstanding securities of the surviving or resulting corporation or other entity; provided, however, that any such transaction consummated in connection with, or for the purpose of facilitating, an initial public offering shall not constitute a Change in Control hereunder; provided further, however, that a Change in Control shall not include a transaction undertaken for the principal purpose of restructuring the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capital of Parent, including, but not limited to, reincorporating Parent in a different jurisdiction, converting Parent to a limited liability company or creating a holding company. Notwithstanding the foregoing, a Change in Control shall not occur for purposes of this Agreement unless such Change in Control constitutes a “change in control event” under Section 409A of the Code and the regulations thereunder.</w:t>
      </w:r>
    </w:p>
    <w:p>
      <w:pPr>
        <w:spacing w:after="0" w:line="208" w:lineRule="exact"/>
        <w:rPr>
          <w:sz w:val="20"/>
          <w:szCs w:val="20"/>
          <w:color w:val="auto"/>
        </w:rPr>
      </w:pPr>
    </w:p>
    <w:p>
      <w:pPr>
        <w:jc w:val="both"/>
        <w:ind w:firstLine="656"/>
        <w:spacing w:after="0" w:line="262" w:lineRule="auto"/>
        <w:tabs>
          <w:tab w:leader="none" w:pos="1877"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Customary Fringe Benefits</w:t>
      </w:r>
      <w:r>
        <w:rPr>
          <w:rFonts w:ascii="Times New Roman" w:cs="Times New Roman" w:eastAsia="Times New Roman" w:hAnsi="Times New Roman"/>
          <w:sz w:val="21"/>
          <w:szCs w:val="21"/>
          <w:color w:val="auto"/>
        </w:rPr>
        <w:t>. Executive will be eligible for all customary and usual fringe benefits generally available to Executives of Company subject to the terms and conditions of Company’s benefit plan documents. Company reserves the right to change or eliminate the fringe benefits on a prospective basis, at any time, effective upon notice to Executive.</w:t>
      </w:r>
    </w:p>
    <w:p>
      <w:pPr>
        <w:spacing w:after="0" w:line="181" w:lineRule="exact"/>
        <w:rPr>
          <w:rFonts w:ascii="Times New Roman" w:cs="Times New Roman" w:eastAsia="Times New Roman" w:hAnsi="Times New Roman"/>
          <w:sz w:val="21"/>
          <w:szCs w:val="21"/>
          <w:color w:val="auto"/>
        </w:rPr>
      </w:pPr>
    </w:p>
    <w:p>
      <w:pPr>
        <w:jc w:val="both"/>
        <w:ind w:firstLine="656"/>
        <w:spacing w:after="0" w:line="236" w:lineRule="auto"/>
        <w:tabs>
          <w:tab w:leader="none" w:pos="129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Expenses</w:t>
      </w:r>
      <w:r>
        <w:rPr>
          <w:rFonts w:ascii="Times New Roman" w:cs="Times New Roman" w:eastAsia="Times New Roman" w:hAnsi="Times New Roman"/>
          <w:sz w:val="22"/>
          <w:szCs w:val="22"/>
          <w:color w:val="auto"/>
        </w:rPr>
        <w:t>. Executive will be reimbursed for all reasonable, out-of-pocket business expenses incurred in the performance of Executive’s duties on behalf of Company. To obtain reimbursement, expenses must be submitted promptly with appropriate supporting documentation and will be reimbursed in accordance with Company’s policies. Any reimbursement Executive is entitled to receive shall (a) be paid no later than the last day of Executive’s tax year following the tax year in which the expense was incurred, (b) not be affected by any other expenses that are eligible for reimbursement in any tax year and (c) not be subject to liquidation or exchange for another benefit.</w:t>
      </w:r>
    </w:p>
    <w:p>
      <w:pPr>
        <w:spacing w:after="0" w:line="20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Executive’s Employment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7"/>
        <w:spacing w:after="0" w:line="234"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Termination for Cause by Company</w:t>
      </w:r>
      <w:r>
        <w:rPr>
          <w:rFonts w:ascii="Times New Roman" w:cs="Times New Roman" w:eastAsia="Times New Roman" w:hAnsi="Times New Roman"/>
          <w:sz w:val="22"/>
          <w:szCs w:val="22"/>
          <w:color w:val="auto"/>
        </w:rPr>
        <w:t>. Company may terminate Executive’s employment immediately at any time for Cause. For purposes of this Agreement, “</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is defined as: (i) material dishonest or fraudulent behavior, or convictions of a felony; (ii) the material breach of any covenant contained or referred to in this Agreement; (iii) the failure of Executive to meet fair and reasonable performance standards established by Company from time to time; (iv) Executive’s failure or refusal to perform specific directives of Company’s Board or CEO, which directives are consistent with the scope and nature of Executive’s duties and responsibilities, and which are not remedied by Employee within thirty (30) days after written notice;</w:t>
      </w:r>
    </w:p>
    <w:p>
      <w:pPr>
        <w:spacing w:after="0" w:line="3" w:lineRule="exact"/>
        <w:rPr>
          <w:sz w:val="20"/>
          <w:szCs w:val="20"/>
          <w:color w:val="auto"/>
        </w:rPr>
      </w:pPr>
    </w:p>
    <w:p>
      <w:pPr>
        <w:jc w:val="both"/>
        <w:ind w:firstLine="8"/>
        <w:spacing w:after="0" w:line="232" w:lineRule="auto"/>
        <w:tabs>
          <w:tab w:leader="none" w:pos="30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violation of the covenant not to disclose confidential information regarding the business of Company and its products as set forth in Section 7 of this Agreement; or (vi) any act of material dishonesty by Executive which adversely affects the business of Company. In the event Executive’s employment is terminated in accordance with this subsection 7.1, Executive shall be entitled to receive only Executive’s base salary then in effect, prorated to the date of termination and all benefits accrued through the date of termination (“</w:t>
      </w:r>
      <w:r>
        <w:rPr>
          <w:rFonts w:ascii="Times New Roman" w:cs="Times New Roman" w:eastAsia="Times New Roman" w:hAnsi="Times New Roman"/>
          <w:sz w:val="22"/>
          <w:szCs w:val="22"/>
          <w:b w:val="1"/>
          <w:bCs w:val="1"/>
          <w:i w:val="1"/>
          <w:iCs w:val="1"/>
          <w:color w:val="auto"/>
        </w:rPr>
        <w:t>Accrued Benefits</w:t>
      </w:r>
      <w:r>
        <w:rPr>
          <w:rFonts w:ascii="Times New Roman" w:cs="Times New Roman" w:eastAsia="Times New Roman" w:hAnsi="Times New Roman"/>
          <w:sz w:val="22"/>
          <w:szCs w:val="22"/>
          <w:color w:val="auto"/>
        </w:rPr>
        <w:t>”). All other Company obligations to Executive pursuant to this Agreement will become automatically terminated and completely extinguished. Executive will not be entitled to receive the Severance Payment described in subsection 7.2 below.</w:t>
      </w:r>
    </w:p>
    <w:p>
      <w:pPr>
        <w:spacing w:after="0" w:line="209" w:lineRule="exact"/>
        <w:rPr>
          <w:sz w:val="20"/>
          <w:szCs w:val="20"/>
          <w:color w:val="auto"/>
        </w:rPr>
      </w:pPr>
    </w:p>
    <w:p>
      <w:pPr>
        <w:jc w:val="both"/>
        <w:ind w:firstLine="1297"/>
        <w:spacing w:after="0" w:line="236"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Termination Without Cause by Company/Severance</w:t>
      </w:r>
      <w:r>
        <w:rPr>
          <w:rFonts w:ascii="Times New Roman" w:cs="Times New Roman" w:eastAsia="Times New Roman" w:hAnsi="Times New Roman"/>
          <w:sz w:val="22"/>
          <w:szCs w:val="22"/>
          <w:color w:val="auto"/>
        </w:rPr>
        <w:t>. Company may terminate Executive’s employment under this Agreement without Cause at any time on thirty (30) days’ advance written notice to Executive. In the event of such termination, Executive will receive Executive’s base salary then in effect, prorated to the date of termination, and Accrued Benefits. In addition, Executive will receive a “</w:t>
      </w:r>
      <w:r>
        <w:rPr>
          <w:rFonts w:ascii="Times New Roman" w:cs="Times New Roman" w:eastAsia="Times New Roman" w:hAnsi="Times New Roman"/>
          <w:sz w:val="22"/>
          <w:szCs w:val="22"/>
          <w:b w:val="1"/>
          <w:bCs w:val="1"/>
          <w:i w:val="1"/>
          <w:iCs w:val="1"/>
          <w:color w:val="auto"/>
        </w:rPr>
        <w:t>Severance Payment</w:t>
      </w:r>
      <w:r>
        <w:rPr>
          <w:rFonts w:ascii="Times New Roman" w:cs="Times New Roman" w:eastAsia="Times New Roman" w:hAnsi="Times New Roman"/>
          <w:sz w:val="22"/>
          <w:szCs w:val="22"/>
          <w:color w:val="auto"/>
        </w:rPr>
        <w:t>” equivalent to twelve (12) months of Executive’s base salary then in effect on the date of termination, payable as salary continuation in equal installments in accordance with Company’s regular payroll cycle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over a twelve (12) month period, beginning on the first regular payday occurring 60 days following the termination date. Executive will only receive the Severance Payment if Executive executes a full general release in a form acceptable to Company, releasing all claims, known or unknown, that Executive may have against Company arising out of or any way related to Executive’s employment or termination of employment with Company, and such release has become effective in accordance with its terms prior to the 60th day following the termination date. All other Company obligations to Executive will be automatically terminated and completely extinguished. If Executive’s employment with Company terminates due to Executive’s death or Executive’s inability to perform the essential functions of Executive’s position with or without reasonable accommodation, Executive shall not be entitled to the Severance Payment described above.</w:t>
      </w:r>
    </w:p>
    <w:p>
      <w:pPr>
        <w:sectPr>
          <w:pgSz w:w="11900" w:h="16880" w:orient="portrait"/>
          <w:cols w:equalWidth="0" w:num="1">
            <w:col w:w="11420"/>
          </w:cols>
          <w:pgMar w:left="240" w:top="112" w:right="239" w:bottom="0" w:gutter="0" w:footer="0" w:header="0"/>
        </w:sectPr>
      </w:pPr>
    </w:p>
    <w:bookmarkStart w:id="58" w:name="page59"/>
    <w:bookmarkEnd w:id="58"/>
    <w:p>
      <w:pPr>
        <w:spacing w:after="0" w:line="47" w:lineRule="exact"/>
        <w:rPr>
          <w:sz w:val="20"/>
          <w:szCs w:val="20"/>
          <w:color w:val="auto"/>
        </w:rPr>
      </w:pPr>
    </w:p>
    <w:p>
      <w:pPr>
        <w:jc w:val="both"/>
        <w:ind w:firstLine="1297"/>
        <w:spacing w:after="0" w:line="238"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Voluntary Resignation by Executive</w:t>
      </w:r>
      <w:r>
        <w:rPr>
          <w:rFonts w:ascii="Times New Roman" w:cs="Times New Roman" w:eastAsia="Times New Roman" w:hAnsi="Times New Roman"/>
          <w:sz w:val="22"/>
          <w:szCs w:val="22"/>
          <w:color w:val="auto"/>
        </w:rPr>
        <w:t>. Executive may voluntarily resign Executive’s position with Company at any time on thirty (30) days’ advance written notice. In the event of Executive’s voluntary resignation, Executive will be entitled to receive only Accrued Benefits for the thirty-day notice period and no other amount. All other Company obligations to Executive pursuant to this Agreement will become automatically terminated and completely extinguished. In addition, Executive will not be entitled to receive the Severance Payment described in subsection 7.2 above.</w:t>
      </w:r>
    </w:p>
    <w:p>
      <w:pPr>
        <w:spacing w:after="0" w:line="204" w:lineRule="exact"/>
        <w:rPr>
          <w:sz w:val="20"/>
          <w:szCs w:val="20"/>
          <w:color w:val="auto"/>
        </w:rPr>
      </w:pPr>
    </w:p>
    <w:p>
      <w:pPr>
        <w:jc w:val="both"/>
        <w:ind w:firstLine="656"/>
        <w:spacing w:after="0" w:line="244" w:lineRule="auto"/>
        <w:tabs>
          <w:tab w:leader="none" w:pos="189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of Board or Other Positions</w:t>
      </w:r>
      <w:r>
        <w:rPr>
          <w:rFonts w:ascii="Times New Roman" w:cs="Times New Roman" w:eastAsia="Times New Roman" w:hAnsi="Times New Roman"/>
          <w:sz w:val="22"/>
          <w:szCs w:val="22"/>
          <w:color w:val="auto"/>
        </w:rPr>
        <w:t>. Upon the termination of Executive’s employment for any reason, Executive agrees to immediately resign all other positions (including Board membership) Executive may hold on behalf of Company.</w:t>
      </w:r>
    </w:p>
    <w:p>
      <w:pPr>
        <w:spacing w:after="0" w:line="20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Section 409A</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953"/>
        <w:spacing w:after="0" w:line="234" w:lineRule="auto"/>
        <w:tabs>
          <w:tab w:leader="none" w:pos="2671"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set forth in this Agreement to the contrary, no amount payable pursuant to this Agreement which constitutes a “deferral of compensation” within the meaning of the Treasury Regulations issued pursuant to Section 409A of the Code (the “</w:t>
      </w:r>
      <w:r>
        <w:rPr>
          <w:rFonts w:ascii="Times New Roman" w:cs="Times New Roman" w:eastAsia="Times New Roman" w:hAnsi="Times New Roman"/>
          <w:sz w:val="22"/>
          <w:szCs w:val="22"/>
          <w:b w:val="1"/>
          <w:bCs w:val="1"/>
          <w:i w:val="1"/>
          <w:iCs w:val="1"/>
          <w:color w:val="auto"/>
        </w:rPr>
        <w:t>Section 409A Regulations</w:t>
      </w:r>
      <w:r>
        <w:rPr>
          <w:rFonts w:ascii="Times New Roman" w:cs="Times New Roman" w:eastAsia="Times New Roman" w:hAnsi="Times New Roman"/>
          <w:sz w:val="22"/>
          <w:szCs w:val="22"/>
          <w:color w:val="auto"/>
        </w:rPr>
        <w:t>”) shall be paid unless and until Executive has incurred a “separation from service” within the meaning of the Section 409A Regulations. Furthermore, to the extent that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Times New Roman" w:cs="Times New Roman" w:eastAsia="Times New Roman" w:hAnsi="Times New Roman"/>
          <w:sz w:val="22"/>
          <w:szCs w:val="22"/>
          <w:b w:val="1"/>
          <w:bCs w:val="1"/>
          <w:i w:val="1"/>
          <w:iCs w:val="1"/>
          <w:color w:val="auto"/>
        </w:rPr>
        <w:t>Delayed Payment Date</w:t>
      </w:r>
      <w:r>
        <w:rPr>
          <w:rFonts w:ascii="Times New Roman" w:cs="Times New Roman" w:eastAsia="Times New Roman" w:hAnsi="Times New Roman"/>
          <w:sz w:val="22"/>
          <w:szCs w:val="22"/>
          <w:color w:val="auto"/>
        </w:rPr>
        <w:t>”) which is first day of the seventh month after the date of Executive’s separation from service or, if earlier, the date of Executive’s death following such separation from service. All such amounts that would, but for this Section, become payable prior to the Delayed Payment Date will be accumulated and paid on the Delayed Payment Date.</w:t>
      </w:r>
    </w:p>
    <w:p>
      <w:pPr>
        <w:spacing w:after="0" w:line="207" w:lineRule="exact"/>
        <w:rPr>
          <w:rFonts w:ascii="Times New Roman" w:cs="Times New Roman" w:eastAsia="Times New Roman" w:hAnsi="Times New Roman"/>
          <w:sz w:val="22"/>
          <w:szCs w:val="22"/>
          <w:color w:val="auto"/>
        </w:rPr>
      </w:pPr>
    </w:p>
    <w:p>
      <w:pPr>
        <w:jc w:val="both"/>
        <w:ind w:firstLine="1953"/>
        <w:spacing w:after="0" w:line="236" w:lineRule="auto"/>
        <w:tabs>
          <w:tab w:leader="none" w:pos="2737"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w:t>
      </w:r>
      <w:r>
        <w:rPr>
          <w:rFonts w:ascii="Times New Roman" w:cs="Times New Roman" w:eastAsia="Times New Roman" w:hAnsi="Times New Roman"/>
          <w:sz w:val="22"/>
          <w:szCs w:val="22"/>
          <w:b w:val="1"/>
          <w:bCs w:val="1"/>
          <w:color w:val="auto"/>
        </w:rPr>
        <w:t>However, Company does not guarantee any particular tax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effect for income provided to Executive pursuant to this Agreement. </w:t>
      </w:r>
      <w:r>
        <w:rPr>
          <w:rFonts w:ascii="Times New Roman" w:cs="Times New Roman" w:eastAsia="Times New Roman" w:hAnsi="Times New Roman"/>
          <w:sz w:val="22"/>
          <w:szCs w:val="22"/>
          <w:color w:val="auto"/>
        </w:rPr>
        <w:t>In any event, except for Company’s responsibility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withhold applicable income and employment taxes from compensation paid or provided to Executive, Company shall not be responsible for the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payment of any applicable taxes on compensation paid or provided to Executive pursuant to this Agreement.</w:t>
      </w:r>
    </w:p>
    <w:p>
      <w:pPr>
        <w:spacing w:after="0" w:line="233" w:lineRule="exact"/>
        <w:rPr>
          <w:sz w:val="20"/>
          <w:szCs w:val="20"/>
          <w:color w:val="auto"/>
        </w:rPr>
      </w:pPr>
    </w:p>
    <w:p>
      <w:pPr>
        <w:jc w:val="both"/>
        <w:ind w:firstLine="1953"/>
        <w:spacing w:after="0" w:line="236" w:lineRule="auto"/>
        <w:tabs>
          <w:tab w:leader="none" w:pos="2752"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the reimbursement of expenses or in-kind benefits provided pursuant to this Agreement shall be subject to the following conditions: (1) the expenses eligible for reimbursement or in-kind benefits in one taxable year shall not affect the expenses eligible for reimbursement or in-kind benefits in any other taxable year; (2) the reimbursement of eligible expenses or in-kind benefits shall be made promptly, subject to Company’s applicable policies, but in no event later than the end of the year after the year in which such expense was incurred; and (3) the right to reimbursement or in-kind benefits shall not be subject to liquidation or exchange for another benefit</w:t>
      </w:r>
      <w:r>
        <w:rPr>
          <w:rFonts w:ascii="Times New Roman" w:cs="Times New Roman" w:eastAsia="Times New Roman" w:hAnsi="Times New Roman"/>
          <w:sz w:val="22"/>
          <w:szCs w:val="22"/>
          <w:b w:val="1"/>
          <w:bCs w:val="1"/>
          <w:color w:val="auto"/>
        </w:rPr>
        <w:t>.</w:t>
      </w:r>
    </w:p>
    <w:p>
      <w:pPr>
        <w:spacing w:after="0" w:line="209" w:lineRule="exact"/>
        <w:rPr>
          <w:rFonts w:ascii="Times New Roman" w:cs="Times New Roman" w:eastAsia="Times New Roman" w:hAnsi="Times New Roman"/>
          <w:sz w:val="22"/>
          <w:szCs w:val="22"/>
          <w:color w:val="auto"/>
        </w:rPr>
      </w:pPr>
    </w:p>
    <w:p>
      <w:pPr>
        <w:ind w:firstLine="1953"/>
        <w:spacing w:after="0" w:line="258" w:lineRule="auto"/>
        <w:tabs>
          <w:tab w:leader="none" w:pos="2818"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Section 409A of the Code, the right to a series of installment payments under this Agreement shall be treated as a right to a series of separate payments.</w:t>
      </w:r>
    </w:p>
    <w:p>
      <w:pPr>
        <w:spacing w:after="0" w:line="185" w:lineRule="exact"/>
        <w:rPr>
          <w:rFonts w:ascii="Times New Roman" w:cs="Times New Roman" w:eastAsia="Times New Roman" w:hAnsi="Times New Roman"/>
          <w:sz w:val="22"/>
          <w:szCs w:val="22"/>
          <w:color w:val="auto"/>
        </w:rPr>
      </w:pPr>
    </w:p>
    <w:p>
      <w:pPr>
        <w:jc w:val="both"/>
        <w:ind w:firstLine="656"/>
        <w:spacing w:after="0" w:line="235" w:lineRule="auto"/>
        <w:tabs>
          <w:tab w:leader="none" w:pos="141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 of Interest</w:t>
      </w:r>
      <w:r>
        <w:rPr>
          <w:rFonts w:ascii="Times New Roman" w:cs="Times New Roman" w:eastAsia="Times New Roman" w:hAnsi="Times New Roman"/>
          <w:sz w:val="22"/>
          <w:szCs w:val="22"/>
          <w:color w:val="auto"/>
        </w:rPr>
        <w:t>. During the term of Executive’s employment with Company, Executive must not engage in any work, paid or unpaid, or other activities that create a conflict of interest. Such work and/or activities shall include, but is not limited to, directly or indirectly competing with Company in any way, or acting as an officer, director, employee, consultant, stockholder, volunteer, lender, or agent of any business enterprise of the same nature as, or which is in direct competition with, the business in which Company is now engaged or in which Company becomes engaged during the term of Executive’s employment with Company, as may be determined by Company in its sole discretion. If Company believes such a conflict exists during the term of this Agreement, Company may ask Executive to choose to discontinue the other work and/or activities or resign employment with Company.</w:t>
      </w:r>
    </w:p>
    <w:p>
      <w:pPr>
        <w:spacing w:after="0" w:line="206" w:lineRule="exact"/>
        <w:rPr>
          <w:rFonts w:ascii="Times New Roman" w:cs="Times New Roman" w:eastAsia="Times New Roman" w:hAnsi="Times New Roman"/>
          <w:sz w:val="22"/>
          <w:szCs w:val="22"/>
          <w:color w:val="auto"/>
        </w:rPr>
      </w:pPr>
    </w:p>
    <w:p>
      <w:pPr>
        <w:jc w:val="both"/>
        <w:ind w:firstLine="656"/>
        <w:spacing w:after="0" w:line="235" w:lineRule="auto"/>
        <w:tabs>
          <w:tab w:leader="none" w:pos="180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Executive agrees that during Executive’s employment with Company and for a period of twelve (12) months immediately following termination of such employment for any reason (the “</w:t>
      </w:r>
      <w:r>
        <w:rPr>
          <w:rFonts w:ascii="Times New Roman" w:cs="Times New Roman" w:eastAsia="Times New Roman" w:hAnsi="Times New Roman"/>
          <w:sz w:val="22"/>
          <w:szCs w:val="22"/>
          <w:b w:val="1"/>
          <w:bCs w:val="1"/>
          <w:i w:val="1"/>
          <w:iCs w:val="1"/>
          <w:color w:val="auto"/>
        </w:rPr>
        <w:t>Non-competition Period</w:t>
      </w:r>
      <w:r>
        <w:rPr>
          <w:rFonts w:ascii="Times New Roman" w:cs="Times New Roman" w:eastAsia="Times New Roman" w:hAnsi="Times New Roman"/>
          <w:sz w:val="22"/>
          <w:szCs w:val="22"/>
          <w:color w:val="auto"/>
        </w:rPr>
        <w:t>”), Executive shall not in any manner, directly or indirectly, through any person, firm or corporation, alone or as a member of a partnership or as an officer, director, stockholder, investor or employee of or consultant to any other corporation or enterprise or otherwise, engage or be engaged, or assist any other person, firm, corporation or enterprise in engaging or being engaged, in any business, in which Executive was involved or had knowledge, being conducted by, or contemplated by, Company or any of its subsidiaries as of the termination of Executive’s employment in any geographic area in which Company or any of its subsidiaries is then conducting such business.</w:t>
      </w:r>
    </w:p>
    <w:p>
      <w:pPr>
        <w:spacing w:after="0" w:line="206" w:lineRule="exact"/>
        <w:rPr>
          <w:rFonts w:ascii="Times New Roman" w:cs="Times New Roman" w:eastAsia="Times New Roman" w:hAnsi="Times New Roman"/>
          <w:sz w:val="22"/>
          <w:szCs w:val="22"/>
          <w:color w:val="auto"/>
        </w:rPr>
      </w:pPr>
    </w:p>
    <w:p>
      <w:pPr>
        <w:jc w:val="both"/>
        <w:ind w:firstLine="656"/>
        <w:spacing w:after="0" w:line="244" w:lineRule="auto"/>
        <w:tabs>
          <w:tab w:leader="none" w:pos="178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Executive acknowledges that Company’s relationship with its clients, employees, vendors, suppliers and other persons with whom Company has a business relationship (hereinafter referred to as “</w:t>
      </w:r>
      <w:r>
        <w:rPr>
          <w:rFonts w:ascii="Times New Roman" w:cs="Times New Roman" w:eastAsia="Times New Roman" w:hAnsi="Times New Roman"/>
          <w:sz w:val="22"/>
          <w:szCs w:val="22"/>
          <w:b w:val="1"/>
          <w:bCs w:val="1"/>
          <w:i w:val="1"/>
          <w:iCs w:val="1"/>
          <w:color w:val="auto"/>
        </w:rPr>
        <w:t>Prohibited Persons</w:t>
      </w:r>
      <w:r>
        <w:rPr>
          <w:rFonts w:ascii="Times New Roman" w:cs="Times New Roman" w:eastAsia="Times New Roman" w:hAnsi="Times New Roman"/>
          <w:sz w:val="22"/>
          <w:szCs w:val="22"/>
          <w:color w:val="auto"/>
        </w:rPr>
        <w:t>”), are special and unique, and that Company’s relationship with the Prohibited Persons may not be able to be replaced by Company.</w:t>
      </w:r>
    </w:p>
    <w:p>
      <w:pPr>
        <w:sectPr>
          <w:pgSz w:w="11900" w:h="16885" w:orient="portrait"/>
          <w:cols w:equalWidth="0" w:num="1">
            <w:col w:w="11420"/>
          </w:cols>
          <w:pgMar w:left="240" w:top="355" w:right="239" w:bottom="0" w:gutter="0" w:footer="0" w:header="0"/>
        </w:sectPr>
      </w:pPr>
    </w:p>
    <w:bookmarkStart w:id="59" w:name="page60"/>
    <w:bookmarkEnd w:id="59"/>
    <w:p>
      <w:pPr>
        <w:jc w:val="both"/>
        <w:spacing w:after="0" w:line="244" w:lineRule="auto"/>
        <w:rPr>
          <w:sz w:val="20"/>
          <w:szCs w:val="20"/>
          <w:color w:val="auto"/>
        </w:rPr>
      </w:pPr>
      <w:r>
        <w:rPr>
          <w:rFonts w:ascii="Times New Roman" w:cs="Times New Roman" w:eastAsia="Times New Roman" w:hAnsi="Times New Roman"/>
          <w:sz w:val="22"/>
          <w:szCs w:val="22"/>
          <w:color w:val="auto"/>
        </w:rPr>
        <w:t>Executive further acknowledges that the protection of Company’s Prohibited Persons is essential. Therefore, Executive expressly covenants and agrees that during Executive’s employment with Company and for a period of twelve (12) months immediately following termination of Executive’s employment for any reason (the “</w:t>
      </w:r>
      <w:r>
        <w:rPr>
          <w:rFonts w:ascii="Times New Roman" w:cs="Times New Roman" w:eastAsia="Times New Roman" w:hAnsi="Times New Roman"/>
          <w:sz w:val="22"/>
          <w:szCs w:val="22"/>
          <w:b w:val="1"/>
          <w:bCs w:val="1"/>
          <w:i w:val="1"/>
          <w:iCs w:val="1"/>
          <w:color w:val="auto"/>
        </w:rPr>
        <w:t>Non-solicitation Period</w:t>
      </w:r>
      <w:r>
        <w:rPr>
          <w:rFonts w:ascii="Times New Roman" w:cs="Times New Roman" w:eastAsia="Times New Roman" w:hAnsi="Times New Roman"/>
          <w:sz w:val="22"/>
          <w:szCs w:val="22"/>
          <w:color w:val="auto"/>
        </w:rPr>
        <w:t>”), Executive will not at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any time for himself or on behalf of any other person, firm, partnership or corporation: (1) induce, or attempt to induce, any Prohibited Persons either to refrain, or to cease doing business with Company; or (2) directly or indirectly solicit, hire, induce or otherwise engage a Prohibited Person in any competitive business.</w:t>
      </w:r>
    </w:p>
    <w:p>
      <w:pPr>
        <w:spacing w:after="0" w:line="201" w:lineRule="exact"/>
        <w:rPr>
          <w:sz w:val="20"/>
          <w:szCs w:val="20"/>
          <w:color w:val="auto"/>
        </w:rPr>
      </w:pPr>
    </w:p>
    <w:p>
      <w:pPr>
        <w:ind w:left="1300" w:hanging="644"/>
        <w:spacing w:after="0"/>
        <w:tabs>
          <w:tab w:leader="none" w:pos="13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Nondisclosure of Confidential Information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7"/>
        <w:spacing w:after="0" w:line="233" w:lineRule="auto"/>
        <w:rPr>
          <w:sz w:val="20"/>
          <w:szCs w:val="20"/>
          <w:color w:val="auto"/>
        </w:rPr>
      </w:pPr>
      <w:r>
        <w:rPr>
          <w:rFonts w:ascii="Times New Roman" w:cs="Times New Roman" w:eastAsia="Times New Roman" w:hAnsi="Times New Roman"/>
          <w:sz w:val="22"/>
          <w:szCs w:val="22"/>
          <w:color w:val="auto"/>
        </w:rPr>
        <w:t>13.1 Executive recognizes that the knowledge and information about, and relationships with business associates, customers, clients and agents of Company and its affiliated companies, and the business methods, systems, plans, and policies of Company and of its affiliated companies, which Executive may receive, obtain, or establish as an employee of Company are valuable and unique assets of Company or its affiliates. Executive agrees that, during any Employment Period and thereafter, Executive shall not disclose or remove, without the written consent of Company, (i) any material or substantial, confidential, or proprietary know-how, data, or information, including, but not limited to software, data, information relating to customers, pricing, safety manuals, training manuals, Quality Assurance/Quality Control manuals, mandatory processes and means or techniques pertaining to Company or its affiliates, and (ii) any business plans, strategies, targets, or directives, to any person, firm, corporation, or any other entity, for any reason or purpose whatsoever. Executive acknowledges and agrees that all memoranda, notes, records, clients lists, client information and other documents, computer software, data or material in any form made or compiled by Executive or made available to Executive concerning Company’s business is and shall be Company’s exclusive property and shall be delivered by Executive to Company upon termination of Executive’s employment or at any other time upon the request of Company.</w:t>
      </w:r>
    </w:p>
    <w:p>
      <w:pPr>
        <w:spacing w:after="0" w:line="211" w:lineRule="exact"/>
        <w:rPr>
          <w:sz w:val="20"/>
          <w:szCs w:val="20"/>
          <w:color w:val="auto"/>
        </w:rPr>
      </w:pPr>
    </w:p>
    <w:p>
      <w:pPr>
        <w:jc w:val="both"/>
        <w:ind w:firstLine="1297"/>
        <w:spacing w:after="0" w:line="236" w:lineRule="auto"/>
        <w:rPr>
          <w:sz w:val="20"/>
          <w:szCs w:val="20"/>
          <w:color w:val="auto"/>
        </w:rPr>
      </w:pPr>
      <w:r>
        <w:rPr>
          <w:rFonts w:ascii="Times New Roman" w:cs="Times New Roman" w:eastAsia="Times New Roman" w:hAnsi="Times New Roman"/>
          <w:sz w:val="22"/>
          <w:szCs w:val="22"/>
          <w:color w:val="auto"/>
        </w:rPr>
        <w:t>13.2 The restrictions in the above paragraph shall not apply to: (1) information that at the time of disclosure is in the public domain through no fault of Executive’s; (2) information received from a third party outside of Company that was disclosed without a breach of any confidentiality obligation; (3) information approved for release by written authorization of Company; or (4) information that may be required by law or an order of any court, agency or proceeding to be disclosed. Executive shall provide Company notice of any such required disclosure once Executive has knowledge of it and will help Company to the extent reasonable to obtain an appropriate protective order.</w:t>
      </w:r>
    </w:p>
    <w:p>
      <w:pPr>
        <w:spacing w:after="0" w:line="209" w:lineRule="exact"/>
        <w:rPr>
          <w:sz w:val="20"/>
          <w:szCs w:val="20"/>
          <w:color w:val="auto"/>
        </w:rPr>
      </w:pPr>
    </w:p>
    <w:p>
      <w:pPr>
        <w:jc w:val="both"/>
        <w:ind w:firstLine="1297"/>
        <w:spacing w:after="0" w:line="244" w:lineRule="auto"/>
        <w:rPr>
          <w:sz w:val="20"/>
          <w:szCs w:val="20"/>
          <w:color w:val="auto"/>
        </w:rPr>
      </w:pPr>
      <w:r>
        <w:rPr>
          <w:rFonts w:ascii="Times New Roman" w:cs="Times New Roman" w:eastAsia="Times New Roman" w:hAnsi="Times New Roman"/>
          <w:sz w:val="22"/>
          <w:szCs w:val="22"/>
          <w:color w:val="auto"/>
        </w:rPr>
        <w:t>13.3 Company acknowledges that Executive has had significant prior work experience in the industry in which Company is engaged, and that Executive enters into this Agreement with significant prior knowledge, information and relationships in such industry.</w:t>
      </w:r>
    </w:p>
    <w:p>
      <w:pPr>
        <w:spacing w:after="0" w:line="201" w:lineRule="exact"/>
        <w:rPr>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 Remedies, Construction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7"/>
        <w:spacing w:after="0" w:line="236" w:lineRule="auto"/>
        <w:rPr>
          <w:sz w:val="20"/>
          <w:szCs w:val="20"/>
          <w:color w:val="auto"/>
        </w:rPr>
      </w:pPr>
      <w:r>
        <w:rPr>
          <w:rFonts w:ascii="Times New Roman" w:cs="Times New Roman" w:eastAsia="Times New Roman" w:hAnsi="Times New Roman"/>
          <w:sz w:val="22"/>
          <w:szCs w:val="22"/>
          <w:color w:val="auto"/>
        </w:rPr>
        <w:t>14.1 Executive covenants, agrees, and recognizes the breach or threatened breach of the covenants, or any of them, contained in Sections 11, 12 and 13 will result in immediate and irreparable injury to Company and that Company shall be entitled to an injunction restraining Executive or any of his affiliates from any violation of Sections 11, 12 and 13 to the fullest extent allowed by law. Executive further covenants and agrees that in the event of a violation of any of his respective covenants and agreements contained in Sections 11, 12 and 13 hereof, Company shall be entitled to an accounting of all profits, compensation, commissions,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remunerations or benefits which Executive directly or indirectly has realized and/or may realize as a result of, growing out of or in connection with any such violation and shall be entitled to receive all such amounts to which Company would be entitled as damages under law or at equity. Nothing herein shall be construed as prohibiting Company from pursuing any other legal or equitable remedies that may be available to it for any such breach or threatened breach.</w:t>
      </w:r>
    </w:p>
    <w:p>
      <w:pPr>
        <w:spacing w:after="0" w:line="208" w:lineRule="exact"/>
        <w:rPr>
          <w:sz w:val="20"/>
          <w:szCs w:val="20"/>
          <w:color w:val="auto"/>
        </w:rPr>
      </w:pPr>
    </w:p>
    <w:p>
      <w:pPr>
        <w:jc w:val="both"/>
        <w:ind w:firstLine="1297"/>
        <w:spacing w:after="0" w:line="244" w:lineRule="auto"/>
        <w:rPr>
          <w:sz w:val="20"/>
          <w:szCs w:val="20"/>
          <w:color w:val="auto"/>
        </w:rPr>
      </w:pPr>
      <w:r>
        <w:rPr>
          <w:rFonts w:ascii="Times New Roman" w:cs="Times New Roman" w:eastAsia="Times New Roman" w:hAnsi="Times New Roman"/>
          <w:sz w:val="22"/>
          <w:szCs w:val="22"/>
          <w:color w:val="auto"/>
        </w:rPr>
        <w:t>14.2 Executive agrees that in the event he breaches the covenants, or any of them, contained in Sections 11 and 12, then the Non-competition Period or Non-solicitation Period, as applicable, shall be automatically extended by the length of time any such breach remains continuing.</w:t>
      </w:r>
    </w:p>
    <w:p>
      <w:pPr>
        <w:spacing w:after="0" w:line="20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14.3</w:t>
      </w:r>
      <w:r>
        <w:rPr>
          <w:sz w:val="20"/>
          <w:szCs w:val="20"/>
          <w:color w:val="auto"/>
        </w:rPr>
        <w:tab/>
      </w:r>
      <w:r>
        <w:rPr>
          <w:rFonts w:ascii="Times New Roman" w:cs="Times New Roman" w:eastAsia="Times New Roman" w:hAnsi="Times New Roman"/>
          <w:sz w:val="21"/>
          <w:szCs w:val="21"/>
          <w:color w:val="auto"/>
        </w:rPr>
        <w:t>Executive hereby expressly acknowledges and agrees as follows:</w:t>
      </w:r>
    </w:p>
    <w:p>
      <w:pPr>
        <w:spacing w:after="0" w:line="233" w:lineRule="exact"/>
        <w:rPr>
          <w:sz w:val="20"/>
          <w:szCs w:val="20"/>
          <w:color w:val="auto"/>
        </w:rPr>
      </w:pPr>
    </w:p>
    <w:p>
      <w:pPr>
        <w:jc w:val="both"/>
        <w:ind w:firstLine="1953"/>
        <w:spacing w:after="0" w:line="244" w:lineRule="auto"/>
        <w:tabs>
          <w:tab w:leader="none" w:pos="281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he has read the covenants set forth above in Sections 11, 12 and 13, has had an opportunity to discuss them with an attorney and that such covenants are reasonable in all respects and are necessary to protect the legitimate business and competitive interests of Company; and</w:t>
      </w:r>
    </w:p>
    <w:p>
      <w:pPr>
        <w:sectPr>
          <w:pgSz w:w="11900" w:h="16838" w:orient="portrait"/>
          <w:cols w:equalWidth="0" w:num="1">
            <w:col w:w="11420"/>
          </w:cols>
          <w:pgMar w:left="240" w:top="112" w:right="239" w:bottom="75" w:gutter="0" w:footer="0" w:header="0"/>
        </w:sectPr>
      </w:pPr>
    </w:p>
    <w:bookmarkStart w:id="60" w:name="page61"/>
    <w:bookmarkEnd w:id="60"/>
    <w:p>
      <w:pPr>
        <w:spacing w:after="0" w:line="38" w:lineRule="exact"/>
        <w:rPr>
          <w:sz w:val="20"/>
          <w:szCs w:val="20"/>
          <w:color w:val="auto"/>
        </w:rPr>
      </w:pPr>
    </w:p>
    <w:p>
      <w:pPr>
        <w:jc w:val="both"/>
        <w:ind w:firstLine="1953"/>
        <w:spacing w:after="0" w:line="234" w:lineRule="auto"/>
        <w:tabs>
          <w:tab w:leader="none" w:pos="308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each of the covenants set forth in Sections 11, 12 and 13 and the subdivisions thereof are separately and independently given, and each such covenant is intended to be enforceable separately and independently of the other such covenants, including, without limitation, enforcement by injunction without the necessity of proving actual damages or posting any bond or other security; provided, however, that the invalidity or unenforceability of this Agreement in any respect shall not affect the validity or enforceability of this Agreement in any other respect. In the event that any provision of this Agreement shall be held invalid or unenforceable by a court of competent jurisdiction by reason of the geographic or business scope or the duration thereof or for any other reason, such invalidity or unenforceability shall attach only to the particular aspect of such provision found invalid or unenforceable as applied and shall not affect or render invalid or unenforceable any other provision of this Agreement or the enforcement of such provision in other circumstances, and, to the fullest extent permitted by law, this Agreement shall be construed as if the geographic or business scope or the duration of such provision or other basis on which such provision has been challenged had been more narrowly drafted so as not to be invalid or unenforceable.</w:t>
      </w:r>
    </w:p>
    <w:p>
      <w:pPr>
        <w:spacing w:after="0" w:line="204" w:lineRule="exact"/>
        <w:rPr>
          <w:sz w:val="20"/>
          <w:szCs w:val="20"/>
          <w:color w:val="auto"/>
        </w:rPr>
      </w:pPr>
    </w:p>
    <w:p>
      <w:pPr>
        <w:jc w:val="both"/>
        <w:ind w:firstLine="1297"/>
        <w:spacing w:after="0" w:line="239" w:lineRule="auto"/>
        <w:rPr>
          <w:sz w:val="20"/>
          <w:szCs w:val="20"/>
          <w:color w:val="auto"/>
        </w:rPr>
      </w:pPr>
      <w:r>
        <w:rPr>
          <w:rFonts w:ascii="Times New Roman" w:cs="Times New Roman" w:eastAsia="Times New Roman" w:hAnsi="Times New Roman"/>
          <w:sz w:val="22"/>
          <w:szCs w:val="22"/>
          <w:color w:val="auto"/>
        </w:rPr>
        <w:t>14.4 Nothing in Sections 10 and 11 shall prohibit Executive from being (i) a stockholder in a mutual fund or a diversified investment company or (ii) an owner of not more than two percent of the outstanding stock of any class of a corporation, any securities of which are publicly traded, so long as Executive has no active participation in the business of such corporation.</w:t>
      </w:r>
    </w:p>
    <w:p>
      <w:pPr>
        <w:spacing w:after="0" w:line="208" w:lineRule="exact"/>
        <w:rPr>
          <w:sz w:val="20"/>
          <w:szCs w:val="20"/>
          <w:color w:val="auto"/>
        </w:rPr>
      </w:pPr>
    </w:p>
    <w:p>
      <w:pPr>
        <w:ind w:left="1300" w:hanging="644"/>
        <w:spacing w:after="0"/>
        <w:tabs>
          <w:tab w:leader="none" w:pos="13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Provisions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7"/>
        <w:spacing w:after="0" w:line="244" w:lineRule="auto"/>
        <w:rPr>
          <w:sz w:val="20"/>
          <w:szCs w:val="20"/>
          <w:color w:val="auto"/>
        </w:rPr>
      </w:pPr>
      <w:r>
        <w:rPr>
          <w:rFonts w:ascii="Times New Roman" w:cs="Times New Roman" w:eastAsia="Times New Roman" w:hAnsi="Times New Roman"/>
          <w:sz w:val="22"/>
          <w:szCs w:val="22"/>
          <w:color w:val="auto"/>
        </w:rPr>
        <w:t xml:space="preserve">15.1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rights and obligations of Company under this Agreement shall inure to the benefit of and shall be binding upon the successors and assigns of Company. Executive shall not be entitled to assign any of Executive’s rights or obligations under this Agreement.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22"/>
          <w:szCs w:val="22"/>
          <w:color w:val="auto"/>
        </w:rPr>
        <w:t xml:space="preserve">15.2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185" w:lineRule="exact"/>
        <w:rPr>
          <w:sz w:val="20"/>
          <w:szCs w:val="20"/>
          <w:color w:val="auto"/>
        </w:rPr>
      </w:pPr>
    </w:p>
    <w:p>
      <w:pPr>
        <w:jc w:val="both"/>
        <w:ind w:right="20" w:firstLine="1297"/>
        <w:spacing w:after="0" w:line="258" w:lineRule="auto"/>
        <w:rPr>
          <w:sz w:val="20"/>
          <w:szCs w:val="20"/>
          <w:color w:val="auto"/>
        </w:rPr>
      </w:pPr>
      <w:r>
        <w:rPr>
          <w:rFonts w:ascii="Times New Roman" w:cs="Times New Roman" w:eastAsia="Times New Roman" w:hAnsi="Times New Roman"/>
          <w:sz w:val="22"/>
          <w:szCs w:val="22"/>
          <w:color w:val="auto"/>
        </w:rPr>
        <w:t xml:space="preserve">15.3 </w:t>
      </w: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Each side will bear its own attorneys’ fees in any dispute unless a statutory section at issue, if any, authorizes the award of attorneys’ fees to the prevailing party.</w:t>
      </w:r>
    </w:p>
    <w:p>
      <w:pPr>
        <w:spacing w:after="0" w:line="185" w:lineRule="exact"/>
        <w:rPr>
          <w:sz w:val="20"/>
          <w:szCs w:val="20"/>
          <w:color w:val="auto"/>
        </w:rPr>
      </w:pPr>
    </w:p>
    <w:p>
      <w:pPr>
        <w:jc w:val="both"/>
        <w:ind w:firstLine="1297"/>
        <w:spacing w:after="0" w:line="238" w:lineRule="auto"/>
        <w:rPr>
          <w:sz w:val="20"/>
          <w:szCs w:val="20"/>
          <w:color w:val="auto"/>
        </w:rPr>
      </w:pPr>
      <w:r>
        <w:rPr>
          <w:rFonts w:ascii="Times New Roman" w:cs="Times New Roman" w:eastAsia="Times New Roman" w:hAnsi="Times New Roman"/>
          <w:sz w:val="22"/>
          <w:szCs w:val="22"/>
          <w:color w:val="auto"/>
        </w:rPr>
        <w:t xml:space="preserve">15.4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any provision of this Agreement is found to be unenforceable by 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spacing w:after="0" w:line="204" w:lineRule="exact"/>
        <w:rPr>
          <w:sz w:val="20"/>
          <w:szCs w:val="20"/>
          <w:color w:val="auto"/>
        </w:rPr>
      </w:pPr>
    </w:p>
    <w:p>
      <w:pPr>
        <w:jc w:val="both"/>
        <w:ind w:firstLine="1297"/>
        <w:spacing w:after="0" w:line="236" w:lineRule="auto"/>
        <w:rPr>
          <w:sz w:val="20"/>
          <w:szCs w:val="20"/>
          <w:color w:val="auto"/>
        </w:rPr>
      </w:pPr>
      <w:r>
        <w:rPr>
          <w:rFonts w:ascii="Times New Roman" w:cs="Times New Roman" w:eastAsia="Times New Roman" w:hAnsi="Times New Roman"/>
          <w:sz w:val="22"/>
          <w:szCs w:val="22"/>
          <w:color w:val="auto"/>
        </w:rPr>
        <w:t xml:space="preserve">15.5 </w:t>
      </w:r>
      <w:r>
        <w:rPr>
          <w:rFonts w:ascii="Times New Roman" w:cs="Times New Roman" w:eastAsia="Times New Roman" w:hAnsi="Times New Roman"/>
          <w:sz w:val="22"/>
          <w:szCs w:val="22"/>
          <w:u w:val="single" w:color="auto"/>
          <w:color w:val="auto"/>
        </w:rPr>
        <w:t>Interpretation; Construction</w:t>
      </w:r>
      <w:r>
        <w:rPr>
          <w:rFonts w:ascii="Times New Roman" w:cs="Times New Roman" w:eastAsia="Times New Roman" w:hAnsi="Times New Roman"/>
          <w:sz w:val="22"/>
          <w:szCs w:val="22"/>
          <w:color w:val="auto"/>
        </w:rPr>
        <w:t>. The headings set forth in this Agreement are for convenience only and shall not be used in interpreting this Agreement. This Agreement has been drafted by legal counsel representing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209" w:lineRule="exact"/>
        <w:rPr>
          <w:sz w:val="20"/>
          <w:szCs w:val="20"/>
          <w:color w:val="auto"/>
        </w:rPr>
      </w:pPr>
    </w:p>
    <w:p>
      <w:pPr>
        <w:jc w:val="both"/>
        <w:ind w:firstLine="1297"/>
        <w:spacing w:after="0" w:line="244" w:lineRule="auto"/>
        <w:rPr>
          <w:sz w:val="20"/>
          <w:szCs w:val="20"/>
          <w:color w:val="auto"/>
        </w:rPr>
      </w:pPr>
      <w:r>
        <w:rPr>
          <w:rFonts w:ascii="Times New Roman" w:cs="Times New Roman" w:eastAsia="Times New Roman" w:hAnsi="Times New Roman"/>
          <w:sz w:val="22"/>
          <w:szCs w:val="22"/>
          <w:color w:val="auto"/>
        </w:rPr>
        <w:t xml:space="preserve">15.6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will be governed by and construed in accordance with the laws of the United States and the State of Illinois. Each party consents to the jurisdiction and venue of the state or federal courts in Chicago, Illinois, if applicable, in any action, suit, or proceeding arising out of or relating to this Agreement.</w:t>
      </w:r>
    </w:p>
    <w:p>
      <w:pPr>
        <w:spacing w:after="0" w:line="201" w:lineRule="exact"/>
        <w:rPr>
          <w:sz w:val="20"/>
          <w:szCs w:val="20"/>
          <w:color w:val="auto"/>
        </w:rPr>
      </w:pPr>
    </w:p>
    <w:p>
      <w:pPr>
        <w:jc w:val="both"/>
        <w:ind w:firstLine="1297"/>
        <w:spacing w:after="0" w:line="238" w:lineRule="auto"/>
        <w:rPr>
          <w:sz w:val="20"/>
          <w:szCs w:val="20"/>
          <w:color w:val="auto"/>
        </w:rPr>
      </w:pPr>
      <w:r>
        <w:rPr>
          <w:rFonts w:ascii="Times New Roman" w:cs="Times New Roman" w:eastAsia="Times New Roman" w:hAnsi="Times New Roman"/>
          <w:sz w:val="22"/>
          <w:szCs w:val="22"/>
          <w:color w:val="auto"/>
        </w:rPr>
        <w:t xml:space="preserve">15.7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required or permitted by this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All notices shall be addressed as follows: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Mark Kinsey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rPr>
          <w:sz w:val="20"/>
          <w:szCs w:val="20"/>
          <w:color w:val="auto"/>
        </w:rPr>
      </w:pPr>
      <w:r>
        <w:rPr>
          <w:rFonts w:ascii="Times New Roman" w:cs="Times New Roman" w:eastAsia="Times New Roman" w:hAnsi="Times New Roman"/>
          <w:sz w:val="22"/>
          <w:szCs w:val="22"/>
          <w:color w:val="auto"/>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Paylocity Corporation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3850 N. Wilke Rd.</w:t>
      </w:r>
    </w:p>
    <w:p>
      <w:pPr>
        <w:spacing w:after="0" w:line="230" w:lineRule="auto"/>
        <w:rPr>
          <w:sz w:val="20"/>
          <w:szCs w:val="20"/>
          <w:color w:val="auto"/>
        </w:rPr>
      </w:pPr>
      <w:r>
        <w:rPr>
          <w:rFonts w:ascii="Times New Roman" w:cs="Times New Roman" w:eastAsia="Times New Roman" w:hAnsi="Times New Roman"/>
          <w:sz w:val="22"/>
          <w:szCs w:val="22"/>
          <w:color w:val="auto"/>
        </w:rPr>
        <w:t>Arlington Heights, IL 60004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Steven R. Beauchamp, President and Chief Executive Officer</w:t>
      </w:r>
    </w:p>
    <w:p>
      <w:pPr>
        <w:sectPr>
          <w:pgSz w:w="11900" w:h="16877" w:orient="portrait"/>
          <w:cols w:equalWidth="0" w:num="1">
            <w:col w:w="11420"/>
          </w:cols>
          <w:pgMar w:left="240" w:top="112" w:right="239" w:bottom="0" w:gutter="0" w:footer="0" w:header="0"/>
        </w:sectPr>
      </w:pPr>
    </w:p>
    <w:bookmarkStart w:id="61" w:name="page62"/>
    <w:bookmarkEnd w:id="61"/>
    <w:p>
      <w:pPr>
        <w:jc w:val="center"/>
        <w:ind w:right="4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DLA Piper LLP</w:t>
      </w:r>
    </w:p>
    <w:p>
      <w:pPr>
        <w:spacing w:after="0" w:line="230" w:lineRule="auto"/>
        <w:rPr>
          <w:sz w:val="20"/>
          <w:szCs w:val="20"/>
          <w:color w:val="auto"/>
        </w:rPr>
      </w:pPr>
      <w:r>
        <w:rPr>
          <w:rFonts w:ascii="Times New Roman" w:cs="Times New Roman" w:eastAsia="Times New Roman" w:hAnsi="Times New Roman"/>
          <w:sz w:val="22"/>
          <w:szCs w:val="22"/>
          <w:color w:val="auto"/>
        </w:rPr>
        <w:t>401 Congress Avenue, Suite 2500</w:t>
      </w:r>
    </w:p>
    <w:p>
      <w:pPr>
        <w:spacing w:after="0" w:line="231" w:lineRule="auto"/>
        <w:rPr>
          <w:sz w:val="20"/>
          <w:szCs w:val="20"/>
          <w:color w:val="auto"/>
        </w:rPr>
      </w:pPr>
      <w:r>
        <w:rPr>
          <w:rFonts w:ascii="Times New Roman" w:cs="Times New Roman" w:eastAsia="Times New Roman" w:hAnsi="Times New Roman"/>
          <w:sz w:val="22"/>
          <w:szCs w:val="22"/>
          <w:color w:val="auto"/>
        </w:rPr>
        <w:t>Austin, TX 78701</w:t>
      </w:r>
    </w:p>
    <w:p>
      <w:pPr>
        <w:spacing w:after="0" w:line="230" w:lineRule="auto"/>
        <w:rPr>
          <w:sz w:val="20"/>
          <w:szCs w:val="20"/>
          <w:color w:val="auto"/>
        </w:rPr>
      </w:pPr>
      <w:r>
        <w:rPr>
          <w:rFonts w:ascii="Times New Roman" w:cs="Times New Roman" w:eastAsia="Times New Roman" w:hAnsi="Times New Roman"/>
          <w:sz w:val="22"/>
          <w:szCs w:val="22"/>
          <w:color w:val="auto"/>
        </w:rPr>
        <w:t>Facsimile: (512) 721- 2290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John J. Gilluly III, P.C.</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at such changed addresses as the parties may designate in writing.</w:t>
      </w:r>
    </w:p>
    <w:p>
      <w:pPr>
        <w:spacing w:after="0" w:line="233" w:lineRule="exact"/>
        <w:rPr>
          <w:sz w:val="20"/>
          <w:szCs w:val="20"/>
          <w:color w:val="auto"/>
        </w:rPr>
      </w:pPr>
    </w:p>
    <w:p>
      <w:pPr>
        <w:jc w:val="both"/>
        <w:ind w:right="40" w:firstLine="1297"/>
        <w:spacing w:after="0" w:line="244" w:lineRule="auto"/>
        <w:rPr>
          <w:sz w:val="20"/>
          <w:szCs w:val="20"/>
          <w:color w:val="auto"/>
        </w:rPr>
      </w:pPr>
      <w:r>
        <w:rPr>
          <w:rFonts w:ascii="Times New Roman" w:cs="Times New Roman" w:eastAsia="Times New Roman" w:hAnsi="Times New Roman"/>
          <w:sz w:val="22"/>
          <w:szCs w:val="22"/>
          <w:color w:val="auto"/>
        </w:rPr>
        <w:t xml:space="preserve">15.8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Sections 10 (“No Conflict of Interest”), 11 (“Non-Competition”), 12 (“Non-Solicitation”), 13 (“Nondisclosure of Confidential Information”) 14 (“Enforcement, Remedies and Construction”), 15 (“General Provisions”) and 16 (“Entire Agreement”) of this Agreement shall survive Executive’s employment by Company.</w:t>
      </w:r>
    </w:p>
    <w:p>
      <w:pPr>
        <w:spacing w:after="0" w:line="201" w:lineRule="exact"/>
        <w:rPr>
          <w:sz w:val="20"/>
          <w:szCs w:val="20"/>
          <w:color w:val="auto"/>
        </w:rPr>
      </w:pPr>
    </w:p>
    <w:p>
      <w:pPr>
        <w:jc w:val="both"/>
        <w:ind w:right="40" w:firstLine="656"/>
        <w:spacing w:after="0" w:line="239" w:lineRule="auto"/>
        <w:tabs>
          <w:tab w:leader="none" w:pos="163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Board of Directors of Company. No oral waiver, amendment or modification will be effective under any circumstances whatsoever.</w:t>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appear on following page</w:t>
      </w:r>
      <w:r>
        <w:rPr>
          <w:rFonts w:ascii="Times New Roman" w:cs="Times New Roman" w:eastAsia="Times New Roman" w:hAnsi="Times New Roman"/>
          <w:sz w:val="22"/>
          <w:szCs w:val="22"/>
          <w:color w:val="auto"/>
        </w:rPr>
        <w:t>]</w:t>
      </w:r>
    </w:p>
    <w:p>
      <w:pPr>
        <w:spacing w:after="0" w:line="2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22"/>
          <w:szCs w:val="22"/>
          <w:color w:val="auto"/>
        </w:rPr>
        <w:t>THE PARTIES TO THIS AGREEMENT HAVE READ THE FOREGOING AGREEMENT AND FULLY UNDERSTAND EACH AND EVERY PROVISION CONTAINED HEREIN. WHEREFORE, THE PARTIES HAVE EXECUTED THIS AGREEMENT ON THE DATES SHOWN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8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Mark Kinsey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Dated:</w:t>
            </w:r>
          </w:p>
        </w:tc>
        <w:tc>
          <w:tcPr>
            <w:tcW w:w="2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3/18/2015</w:t>
            </w:r>
          </w:p>
        </w:tc>
        <w:tc>
          <w:tcPr>
            <w:tcW w:w="240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Mark Kinsey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5"/>
        </w:trPr>
        <w:tc>
          <w:tcPr>
            <w:tcW w:w="8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Paylocity Corporation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Dated:</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3/19/2015</w:t>
            </w:r>
          </w:p>
        </w:tc>
        <w:tc>
          <w:tcPr>
            <w:tcW w:w="240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/s/ Steven R. Beauchamp</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2400" w:type="dxa"/>
            <w:vAlign w:val="bottom"/>
            <w:vMerge w:val="restart"/>
          </w:tcPr>
          <w:p>
            <w:pPr>
              <w:spacing w:after="0"/>
              <w:rPr>
                <w:sz w:val="2"/>
                <w:szCs w:val="2"/>
                <w:color w:val="auto"/>
              </w:rPr>
            </w:pPr>
          </w:p>
        </w:tc>
        <w:tc>
          <w:tcPr>
            <w:tcW w:w="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78"/>
              </w:rPr>
              <w:t>Name:</w:t>
            </w:r>
          </w:p>
        </w:tc>
        <w:tc>
          <w:tcPr>
            <w:tcW w:w="5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40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5020" w:type="dxa"/>
            <w:vAlign w:val="bottom"/>
          </w:tcPr>
          <w:p>
            <w:pPr>
              <w:ind w:left="160"/>
              <w:spacing w:after="0" w:line="196" w:lineRule="exact"/>
              <w:rPr>
                <w:sz w:val="20"/>
                <w:szCs w:val="20"/>
                <w:color w:val="auto"/>
              </w:rPr>
            </w:pPr>
            <w:r>
              <w:rPr>
                <w:rFonts w:ascii="Times New Roman" w:cs="Times New Roman" w:eastAsia="Times New Roman" w:hAnsi="Times New Roman"/>
                <w:sz w:val="22"/>
                <w:szCs w:val="22"/>
                <w:color w:val="auto"/>
              </w:rPr>
              <w:t>Steven R. Beauchamp</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 President and Chief Executive Officer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0"/>
        </w:trPr>
        <w:tc>
          <w:tcPr>
            <w:tcW w:w="8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4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w:t>
            </w:r>
          </w:p>
        </w:tc>
        <w:tc>
          <w:tcPr>
            <w:tcW w:w="4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80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0" w:right="19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of Directors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Paylocity Holding Corporation:</w:t>
      </w:r>
    </w:p>
    <w:p>
      <w:pPr>
        <w:spacing w:after="0" w:line="200" w:lineRule="exact"/>
        <w:rPr>
          <w:sz w:val="20"/>
          <w:szCs w:val="20"/>
          <w:color w:val="auto"/>
        </w:rPr>
      </w:pPr>
    </w:p>
    <w:p>
      <w:pPr>
        <w:spacing w:after="0" w:line="23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statements (Nos. 333-194840, 333-201983, 333-209520) on Form S-8 of Paylocity Holding Corporation (the Company) and subsidiary of our report dated August 12, 2016, with respect to the consolidated balance sheets of the Company as of June 30, 2015 and 2016, and the related consolidated statements of operations, changes in the redeemable convertible preferred stock and stockholders’ equity (deficit), and cash flows for each of the years in the three-year period ended June 30, 2016, and the effectiveness of internal control over financial reporting as of June 30, 2016, which report appears in the June 30, 2016 annual report on Form 10-K of Paylocity Holding Corporation and subsidiary.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(signed) KPMG LLP</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Chicago, Illinois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August 12,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3" w:name="page64"/>
    <w:bookmarkEnd w:id="63"/>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R. Beauchamp, certify that:</w:t>
      </w:r>
    </w:p>
    <w:p>
      <w:pPr>
        <w:spacing w:after="0" w:line="131" w:lineRule="exact"/>
        <w:rPr>
          <w:sz w:val="20"/>
          <w:szCs w:val="20"/>
          <w:color w:val="auto"/>
        </w:rPr>
      </w:pPr>
    </w:p>
    <w:p>
      <w:pPr>
        <w:ind w:left="620" w:hanging="171"/>
        <w:spacing w:after="0"/>
        <w:tabs>
          <w:tab w:leader="none" w:pos="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Paylocity Holding Corporation (the “Company”) for the year ended June 30, 2016;</w:t>
      </w:r>
    </w:p>
    <w:p>
      <w:pPr>
        <w:spacing w:after="0" w:line="130" w:lineRule="exact"/>
        <w:rPr>
          <w:rFonts w:ascii="Times New Roman" w:cs="Times New Roman" w:eastAsia="Times New Roman" w:hAnsi="Times New Roman"/>
          <w:sz w:val="18"/>
          <w:szCs w:val="18"/>
          <w:color w:val="auto"/>
        </w:rPr>
      </w:pPr>
    </w:p>
    <w:p>
      <w:pPr>
        <w:ind w:right="360" w:firstLine="449"/>
        <w:spacing w:after="0" w:line="282" w:lineRule="auto"/>
        <w:tabs>
          <w:tab w:leader="none" w:pos="62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right="320" w:firstLine="449"/>
        <w:spacing w:after="0" w:line="282" w:lineRule="auto"/>
        <w:tabs>
          <w:tab w:leader="none" w:pos="62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right="300" w:firstLine="449"/>
        <w:spacing w:after="0" w:line="266" w:lineRule="auto"/>
        <w:tabs>
          <w:tab w:leader="none" w:pos="62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440" w:right="180" w:firstLine="449"/>
        <w:spacing w:after="0" w:line="266" w:lineRule="auto"/>
        <w:tabs>
          <w:tab w:leader="none" w:pos="105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440" w:right="500" w:firstLine="449"/>
        <w:spacing w:after="0" w:line="266" w:lineRule="auto"/>
        <w:tabs>
          <w:tab w:leader="none" w:pos="106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ind w:left="440" w:right="700" w:firstLine="449"/>
        <w:spacing w:after="0" w:line="282" w:lineRule="auto"/>
        <w:tabs>
          <w:tab w:leader="none" w:pos="105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440" w:right="260" w:firstLine="449"/>
        <w:spacing w:after="0" w:line="266" w:lineRule="auto"/>
        <w:tabs>
          <w:tab w:leader="none" w:pos="106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year ended June 30, 2016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right="240" w:firstLine="449"/>
        <w:spacing w:after="0" w:line="282" w:lineRule="auto"/>
        <w:tabs>
          <w:tab w:leader="none" w:pos="62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440" w:right="80" w:firstLine="449"/>
        <w:spacing w:after="0" w:line="282" w:lineRule="auto"/>
        <w:tabs>
          <w:tab w:leader="none" w:pos="105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440" w:right="600" w:firstLine="449"/>
        <w:spacing w:after="0" w:line="282" w:lineRule="auto"/>
        <w:tabs>
          <w:tab w:leader="none" w:pos="106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2016</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Steven R. Beauchamp</w:t>
            </w:r>
          </w:p>
        </w:tc>
        <w:tc>
          <w:tcPr>
            <w:tcW w:w="40" w:type="dxa"/>
            <w:vAlign w:val="bottom"/>
          </w:tcPr>
          <w:p>
            <w:pPr>
              <w:spacing w:after="0"/>
              <w:rPr>
                <w:sz w:val="20"/>
                <w:szCs w:val="20"/>
                <w:color w:val="auto"/>
              </w:rPr>
            </w:pPr>
          </w:p>
        </w:tc>
      </w:tr>
      <w:tr>
        <w:trPr>
          <w:trHeight w:val="125"/>
        </w:trPr>
        <w:tc>
          <w:tcPr>
            <w:tcW w:w="6280" w:type="dxa"/>
            <w:vAlign w:val="bottom"/>
          </w:tcPr>
          <w:p>
            <w:pPr>
              <w:ind w:left="588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Name:</w:t>
            </w:r>
          </w:p>
        </w:tc>
        <w:tc>
          <w:tcPr>
            <w:tcW w:w="51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Steven R. Beauchamp</w:t>
            </w:r>
          </w:p>
        </w:tc>
        <w:tc>
          <w:tcPr>
            <w:tcW w:w="40" w:type="dxa"/>
            <w:vAlign w:val="bottom"/>
          </w:tcPr>
          <w:p>
            <w:pPr>
              <w:spacing w:after="0"/>
              <w:rPr>
                <w:sz w:val="10"/>
                <w:szCs w:val="10"/>
                <w:color w:val="auto"/>
              </w:rPr>
            </w:pPr>
          </w:p>
        </w:tc>
      </w:tr>
      <w:tr>
        <w:trPr>
          <w:trHeight w:val="178"/>
        </w:trPr>
        <w:tc>
          <w:tcPr>
            <w:tcW w:w="6280" w:type="dxa"/>
            <w:vAlign w:val="bottom"/>
          </w:tcPr>
          <w:p>
            <w:pPr>
              <w:ind w:left="59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5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President and Chief Executive Officer</w:t>
            </w:r>
          </w:p>
        </w:tc>
        <w:tc>
          <w:tcPr>
            <w:tcW w:w="40" w:type="dxa"/>
            <w:vAlign w:val="bottom"/>
          </w:tcPr>
          <w:p>
            <w:pPr>
              <w:spacing w:after="0"/>
              <w:rPr>
                <w:sz w:val="15"/>
                <w:szCs w:val="15"/>
                <w:color w:val="auto"/>
              </w:rPr>
            </w:pPr>
          </w:p>
        </w:tc>
      </w:tr>
      <w:tr>
        <w:trPr>
          <w:trHeight w:val="335"/>
        </w:trPr>
        <w:tc>
          <w:tcPr>
            <w:tcW w:w="628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64" w:name="page65"/>
    <w:bookmarkEnd w:id="64"/>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J. McGrail, certify that:</w:t>
      </w:r>
    </w:p>
    <w:p>
      <w:pPr>
        <w:spacing w:after="0" w:line="131" w:lineRule="exact"/>
        <w:rPr>
          <w:sz w:val="20"/>
          <w:szCs w:val="20"/>
          <w:color w:val="auto"/>
        </w:rPr>
      </w:pPr>
    </w:p>
    <w:p>
      <w:pPr>
        <w:ind w:left="620" w:hanging="171"/>
        <w:spacing w:after="0"/>
        <w:tabs>
          <w:tab w:leader="none" w:pos="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Paylocity Holding Corporation (the “Company”) for the year ended June 30, 2016;</w:t>
      </w:r>
    </w:p>
    <w:p>
      <w:pPr>
        <w:spacing w:after="0" w:line="130" w:lineRule="exact"/>
        <w:rPr>
          <w:rFonts w:ascii="Times New Roman" w:cs="Times New Roman" w:eastAsia="Times New Roman" w:hAnsi="Times New Roman"/>
          <w:sz w:val="18"/>
          <w:szCs w:val="18"/>
          <w:color w:val="auto"/>
        </w:rPr>
      </w:pPr>
    </w:p>
    <w:p>
      <w:pPr>
        <w:ind w:right="360" w:firstLine="449"/>
        <w:spacing w:after="0" w:line="282" w:lineRule="auto"/>
        <w:tabs>
          <w:tab w:leader="none" w:pos="62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right="320" w:firstLine="449"/>
        <w:spacing w:after="0" w:line="282" w:lineRule="auto"/>
        <w:tabs>
          <w:tab w:leader="none" w:pos="62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right="300" w:firstLine="449"/>
        <w:spacing w:after="0" w:line="266" w:lineRule="auto"/>
        <w:tabs>
          <w:tab w:leader="none" w:pos="62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440" w:right="180" w:firstLine="449"/>
        <w:spacing w:after="0" w:line="266" w:lineRule="auto"/>
        <w:tabs>
          <w:tab w:leader="none" w:pos="105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440" w:right="500" w:firstLine="449"/>
        <w:spacing w:after="0" w:line="266" w:lineRule="auto"/>
        <w:tabs>
          <w:tab w:leader="none" w:pos="106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ind w:left="440" w:right="700" w:firstLine="449"/>
        <w:spacing w:after="0" w:line="282" w:lineRule="auto"/>
        <w:tabs>
          <w:tab w:leader="none" w:pos="105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440" w:right="260" w:firstLine="449"/>
        <w:spacing w:after="0" w:line="266" w:lineRule="auto"/>
        <w:tabs>
          <w:tab w:leader="none" w:pos="106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year ended June 30, 2016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right="240" w:firstLine="449"/>
        <w:spacing w:after="0" w:line="282" w:lineRule="auto"/>
        <w:tabs>
          <w:tab w:leader="none" w:pos="62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440" w:right="80" w:firstLine="449"/>
        <w:spacing w:after="0" w:line="282" w:lineRule="auto"/>
        <w:tabs>
          <w:tab w:leader="none" w:pos="105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440" w:right="600" w:firstLine="449"/>
        <w:spacing w:after="0" w:line="282" w:lineRule="auto"/>
        <w:tabs>
          <w:tab w:leader="none" w:pos="106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2016</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Peter J. McGrail</w:t>
            </w:r>
          </w:p>
        </w:tc>
        <w:tc>
          <w:tcPr>
            <w:tcW w:w="40" w:type="dxa"/>
            <w:vAlign w:val="bottom"/>
          </w:tcPr>
          <w:p>
            <w:pPr>
              <w:spacing w:after="0"/>
              <w:rPr>
                <w:sz w:val="20"/>
                <w:szCs w:val="20"/>
                <w:color w:val="auto"/>
              </w:rPr>
            </w:pPr>
          </w:p>
        </w:tc>
      </w:tr>
      <w:tr>
        <w:trPr>
          <w:trHeight w:val="125"/>
        </w:trPr>
        <w:tc>
          <w:tcPr>
            <w:tcW w:w="6280" w:type="dxa"/>
            <w:vAlign w:val="bottom"/>
          </w:tcPr>
          <w:p>
            <w:pPr>
              <w:ind w:left="588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Name:</w:t>
            </w:r>
          </w:p>
        </w:tc>
        <w:tc>
          <w:tcPr>
            <w:tcW w:w="51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Peter J. McGrail</w:t>
            </w:r>
          </w:p>
        </w:tc>
        <w:tc>
          <w:tcPr>
            <w:tcW w:w="40" w:type="dxa"/>
            <w:vAlign w:val="bottom"/>
          </w:tcPr>
          <w:p>
            <w:pPr>
              <w:spacing w:after="0"/>
              <w:rPr>
                <w:sz w:val="10"/>
                <w:szCs w:val="10"/>
                <w:color w:val="auto"/>
              </w:rPr>
            </w:pPr>
          </w:p>
        </w:tc>
      </w:tr>
      <w:tr>
        <w:trPr>
          <w:trHeight w:val="178"/>
        </w:trPr>
        <w:tc>
          <w:tcPr>
            <w:tcW w:w="6280" w:type="dxa"/>
            <w:vAlign w:val="bottom"/>
          </w:tcPr>
          <w:p>
            <w:pPr>
              <w:ind w:left="59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5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Chief Financial Officer</w:t>
            </w:r>
          </w:p>
        </w:tc>
        <w:tc>
          <w:tcPr>
            <w:tcW w:w="40" w:type="dxa"/>
            <w:vAlign w:val="bottom"/>
          </w:tcPr>
          <w:p>
            <w:pPr>
              <w:spacing w:after="0"/>
              <w:rPr>
                <w:sz w:val="15"/>
                <w:szCs w:val="15"/>
                <w:color w:val="auto"/>
              </w:rPr>
            </w:pPr>
          </w:p>
        </w:tc>
      </w:tr>
      <w:tr>
        <w:trPr>
          <w:trHeight w:val="335"/>
        </w:trPr>
        <w:tc>
          <w:tcPr>
            <w:tcW w:w="628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The undersigned, the President and Chief Executive Officer of Paylocity Holding Corporation (the “Company”), does hereby certify under the standards set forth and solely for the purposes of 18 U.S.C. 1350, as adopted pursuant to Section 906 of the Sarbanes-Oxley Act of 2002, that the Annual Report on Form 10-K of the Company for the year ended June 30, 2016 fully complies with the requirements of Section 13(a) or 15(d) of the Securities Exchange Act of 1934 and information contained in that Form 10-K fairly presents, in all material respects, the financial condition and results of operations of the Company.</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2016</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Steven R. Beauchamp</w:t>
            </w:r>
          </w:p>
        </w:tc>
      </w:tr>
      <w:tr>
        <w:trPr>
          <w:trHeight w:val="125"/>
        </w:trPr>
        <w:tc>
          <w:tcPr>
            <w:tcW w:w="6280" w:type="dxa"/>
            <w:vAlign w:val="bottom"/>
          </w:tcPr>
          <w:p>
            <w:pPr>
              <w:ind w:left="588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Name:</w:t>
            </w:r>
          </w:p>
        </w:tc>
        <w:tc>
          <w:tcPr>
            <w:tcW w:w="51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Steven R. Beauchamp</w:t>
            </w:r>
          </w:p>
        </w:tc>
      </w:tr>
      <w:tr>
        <w:trPr>
          <w:trHeight w:val="178"/>
        </w:trPr>
        <w:tc>
          <w:tcPr>
            <w:tcW w:w="6280" w:type="dxa"/>
            <w:vAlign w:val="bottom"/>
          </w:tcPr>
          <w:p>
            <w:pPr>
              <w:ind w:left="59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5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President and Chief Executive Officer</w:t>
            </w:r>
          </w:p>
        </w:tc>
      </w:tr>
    </w:tbl>
    <w:p>
      <w:pPr>
        <w:spacing w:after="0" w:line="185" w:lineRule="exact"/>
        <w:rPr>
          <w:sz w:val="20"/>
          <w:szCs w:val="20"/>
          <w:color w:val="auto"/>
        </w:rPr>
      </w:pPr>
    </w:p>
    <w:p>
      <w:pPr>
        <w:ind w:right="600" w:firstLine="441"/>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Annual Report on Form 10-K of the Company for the year ended June 30, 2016 fully complies with the requirements of Section 13(a) or 15(d) of the Securities Exchange Act of 1934 and information contained in that Form 10-K fairly presents, in all material respects, the financial condition and results of operations of the Company.</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2016</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Peter J. McGrail</w:t>
            </w:r>
          </w:p>
        </w:tc>
      </w:tr>
      <w:tr>
        <w:trPr>
          <w:trHeight w:val="125"/>
        </w:trPr>
        <w:tc>
          <w:tcPr>
            <w:tcW w:w="6280" w:type="dxa"/>
            <w:vAlign w:val="bottom"/>
          </w:tcPr>
          <w:p>
            <w:pPr>
              <w:ind w:left="588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Name:</w:t>
            </w:r>
          </w:p>
        </w:tc>
        <w:tc>
          <w:tcPr>
            <w:tcW w:w="51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Peter J. McGrail</w:t>
            </w:r>
          </w:p>
        </w:tc>
      </w:tr>
      <w:tr>
        <w:trPr>
          <w:trHeight w:val="178"/>
        </w:trPr>
        <w:tc>
          <w:tcPr>
            <w:tcW w:w="6280" w:type="dxa"/>
            <w:vAlign w:val="bottom"/>
          </w:tcPr>
          <w:p>
            <w:pPr>
              <w:ind w:left="59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5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Chief Financial Officer</w:t>
            </w:r>
          </w:p>
        </w:tc>
      </w:tr>
    </w:tbl>
    <w:p>
      <w:pPr>
        <w:spacing w:after="0" w:line="185" w:lineRule="exact"/>
        <w:rPr>
          <w:sz w:val="20"/>
          <w:szCs w:val="20"/>
          <w:color w:val="auto"/>
        </w:rPr>
      </w:pPr>
    </w:p>
    <w:p>
      <w:pPr>
        <w:ind w:right="600" w:firstLine="441"/>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724C67E"/>
    <w:multiLevelType w:val="hybridMultilevel"/>
    <w:lvl w:ilvl="0">
      <w:lvlJc w:val="left"/>
      <w:lvlText w:val="x"/>
      <w:numFmt w:val="bullet"/>
      <w:start w:val="1"/>
    </w:lvl>
  </w:abstractNum>
  <w:abstractNum w:abstractNumId="1">
    <w:nsid w:val="5C482A97"/>
    <w:multiLevelType w:val="hybridMultilevel"/>
    <w:lvl w:ilvl="0">
      <w:lvlJc w:val="left"/>
      <w:lvlText w:val="o"/>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1)"/>
      <w:numFmt w:val="decimal"/>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1)"/>
      <w:numFmt w:val="decimal"/>
      <w:start w:val="2"/>
    </w:lvl>
    <w:lvl w:ilvl="1">
      <w:lvlJc w:val="left"/>
      <w:lvlText w:val="(%2)"/>
      <w:numFmt w:val="lowerLetter"/>
      <w:start w:val="1"/>
    </w:lvl>
  </w:abstractNum>
  <w:abstractNum w:abstractNumId="30">
    <w:nsid w:val="12E685FB"/>
    <w:multiLevelType w:val="hybridMultilevel"/>
    <w:lvl w:ilvl="0">
      <w:lvlJc w:val="left"/>
      <w:lvlText w:val="(%1)"/>
      <w:numFmt w:val="lowerLetter"/>
      <w:start w:val="2"/>
    </w:lvl>
  </w:abstractNum>
  <w:abstractNum w:abstractNumId="31">
    <w:nsid w:val="70C6A529"/>
    <w:multiLevelType w:val="hybridMultilevel"/>
    <w:lvl w:ilvl="0">
      <w:lvlJc w:val="left"/>
      <w:lvlText w:val="(%1)"/>
      <w:numFmt w:val="lowerLetter"/>
      <w:start w:val="3"/>
    </w:lvl>
  </w:abstractNum>
  <w:abstractNum w:abstractNumId="32">
    <w:nsid w:val="520EEDD1"/>
    <w:multiLevelType w:val="hybridMultilevel"/>
    <w:lvl w:ilvl="0">
      <w:lvlJc w:val="left"/>
      <w:lvlText w:val="(%1)"/>
      <w:numFmt w:val="lowerLetter"/>
      <w:start w:val="4"/>
    </w:lvl>
  </w:abstractNum>
  <w:abstractNum w:abstractNumId="33">
    <w:nsid w:val="374A3FE6"/>
    <w:multiLevelType w:val="hybridMultilevel"/>
    <w:lvl w:ilvl="0">
      <w:lvlJc w:val="left"/>
      <w:lvlText w:val="(%1)"/>
      <w:numFmt w:val="lowerLetter"/>
      <w:start w:val="5"/>
    </w:lvl>
  </w:abstractNum>
  <w:abstractNum w:abstractNumId="34">
    <w:nsid w:val="4F4EF005"/>
    <w:multiLevelType w:val="hybridMultilevel"/>
    <w:lvl w:ilvl="0">
      <w:lvlJc w:val="left"/>
      <w:lvlText w:val="(%1)"/>
      <w:numFmt w:val="lowerLetter"/>
      <w:start w:val="6"/>
    </w:lvl>
  </w:abstractNum>
  <w:abstractNum w:abstractNumId="35">
    <w:nsid w:val="23F9C13C"/>
    <w:multiLevelType w:val="hybridMultilevel"/>
    <w:lvl w:ilvl="0">
      <w:lvlJc w:val="left"/>
      <w:lvlText w:val="(%1)"/>
      <w:numFmt w:val="lowerLetter"/>
      <w:start w:val="7"/>
    </w:lvl>
  </w:abstractNum>
  <w:abstractNum w:abstractNumId="36">
    <w:nsid w:val="649BB77C"/>
    <w:multiLevelType w:val="hybridMultilevel"/>
    <w:lvl w:ilvl="0">
      <w:lvlJc w:val="left"/>
      <w:lvlText w:val="(%1)"/>
      <w:numFmt w:val="lowerLetter"/>
      <w:start w:val="8"/>
    </w:lvl>
  </w:abstractNum>
  <w:abstractNum w:abstractNumId="37">
    <w:nsid w:val="275AC794"/>
    <w:multiLevelType w:val="hybridMultilevel"/>
    <w:lvl w:ilvl="0">
      <w:lvlJc w:val="left"/>
      <w:lvlText w:val="(%1)"/>
      <w:numFmt w:val="lowerRoman"/>
      <w:start w:val="1"/>
    </w:lvl>
  </w:abstractNum>
  <w:abstractNum w:abstractNumId="38">
    <w:nsid w:val="39386575"/>
    <w:multiLevelType w:val="hybridMultilevel"/>
    <w:lvl w:ilvl="0">
      <w:lvlJc w:val="left"/>
      <w:lvlText w:val="(%1)"/>
      <w:numFmt w:val="lowerLetter"/>
      <w:start w:val="10"/>
    </w:lvl>
  </w:abstractNum>
  <w:abstractNum w:abstractNumId="39">
    <w:nsid w:val="1CF10FD8"/>
    <w:multiLevelType w:val="hybridMultilevel"/>
    <w:lvl w:ilvl="0">
      <w:lvlJc w:val="left"/>
      <w:lvlText w:val="(%1)"/>
      <w:numFmt w:val="lowerLetter"/>
      <w:start w:val="11"/>
    </w:lvl>
  </w:abstractNum>
  <w:abstractNum w:abstractNumId="40">
    <w:nsid w:val="180115BE"/>
    <w:multiLevelType w:val="hybridMultilevel"/>
    <w:lvl w:ilvl="0">
      <w:lvlJc w:val="left"/>
      <w:lvlText w:val="(%1)"/>
      <w:numFmt w:val="lowerLetter"/>
      <w:start w:val="12"/>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1)"/>
      <w:numFmt w:val="lowerLetter"/>
      <w:start w:val="13"/>
    </w:lvl>
  </w:abstractNum>
  <w:abstractNum w:abstractNumId="43">
    <w:nsid w:val="354FE9F9"/>
    <w:multiLevelType w:val="hybridMultilevel"/>
    <w:lvl w:ilvl="0">
      <w:lvlJc w:val="left"/>
      <w:lvlText w:val="(%1)"/>
      <w:numFmt w:val="lowerLetter"/>
      <w:start w:val="14"/>
    </w:lvl>
  </w:abstractNum>
  <w:abstractNum w:abstractNumId="44">
    <w:nsid w:val="15B5AF5C"/>
    <w:multiLevelType w:val="hybridMultilevel"/>
    <w:lvl w:ilvl="0">
      <w:lvlJc w:val="left"/>
      <w:lvlText w:val="(%1)"/>
      <w:numFmt w:val="lowerLetter"/>
      <w:start w:val="15"/>
    </w:lvl>
  </w:abstractNum>
  <w:abstractNum w:abstractNumId="45">
    <w:nsid w:val="741226BB"/>
    <w:multiLevelType w:val="hybridMultilevel"/>
    <w:lvl w:ilvl="0">
      <w:lvlJc w:val="left"/>
      <w:lvlText w:val="(%1)"/>
      <w:numFmt w:val="lowerLetter"/>
      <w:start w:val="16"/>
    </w:lvl>
  </w:abstractNum>
  <w:abstractNum w:abstractNumId="46">
    <w:nsid w:val="D34B6A8"/>
    <w:multiLevelType w:val="hybridMultilevel"/>
    <w:lvl w:ilvl="0">
      <w:lvlJc w:val="left"/>
      <w:lvlText w:val="(%1)"/>
      <w:numFmt w:val="lowerLetter"/>
      <w:start w:val="17"/>
    </w:lvl>
  </w:abstractNum>
  <w:abstractNum w:abstractNumId="47">
    <w:nsid w:val="10233C99"/>
    <w:multiLevelType w:val="hybridMultilevel"/>
    <w:lvl w:ilvl="0">
      <w:lvlJc w:val="left"/>
      <w:lvlText w:val="(%1)"/>
      <w:numFmt w:val="lowerLetter"/>
      <w:start w:val="18"/>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1)"/>
      <w:numFmt w:val="lowerLetter"/>
      <w:start w:val="2"/>
    </w:lvl>
  </w:abstractNum>
  <w:abstractNum w:abstractNumId="50">
    <w:nsid w:val="7E0C57B1"/>
    <w:multiLevelType w:val="hybridMultilevel"/>
    <w:lvl w:ilvl="0">
      <w:lvlJc w:val="left"/>
      <w:lvlText w:val="(%1)"/>
      <w:numFmt w:val="lowerLetter"/>
      <w:start w:val="3"/>
    </w:lvl>
  </w:abstractNum>
  <w:abstractNum w:abstractNumId="51">
    <w:nsid w:val="77AE35EB"/>
    <w:multiLevelType w:val="hybridMultilevel"/>
    <w:lvl w:ilvl="0">
      <w:lvlJc w:val="left"/>
      <w:lvlText w:val="(%1)"/>
      <w:numFmt w:val="decimal"/>
      <w:start w:val="12"/>
    </w:lvl>
  </w:abstractNum>
  <w:abstractNum w:abstractNumId="52">
    <w:nsid w:val="579BE4F1"/>
    <w:multiLevelType w:val="hybridMultilevel"/>
    <w:lvl w:ilvl="0">
      <w:lvlJc w:val="left"/>
      <w:lvlText w:val="(%1)"/>
      <w:numFmt w:val="decimal"/>
      <w:start w:val="14"/>
    </w:lvl>
    <w:lvl w:ilvl="1">
      <w:lvlJc w:val="left"/>
      <w:lvlText w:val="(%2)"/>
      <w:numFmt w:val="lowerLetter"/>
      <w:start w:val="1"/>
    </w:lvl>
  </w:abstractNum>
  <w:abstractNum w:abstractNumId="53">
    <w:nsid w:val="310C50B3"/>
    <w:multiLevelType w:val="hybridMultilevel"/>
    <w:lvl w:ilvl="0">
      <w:lvlJc w:val="left"/>
      <w:lvlText w:val="(%1)"/>
      <w:numFmt w:val="lowerLetter"/>
      <w:start w:val="2"/>
    </w:lvl>
  </w:abstractNum>
  <w:abstractNum w:abstractNumId="54">
    <w:nsid w:val="5FF87E05"/>
    <w:multiLevelType w:val="hybridMultilevel"/>
    <w:lvl w:ilvl="0">
      <w:lvlJc w:val="left"/>
      <w:lvlText w:val="(%1)"/>
      <w:numFmt w:val="lowerLetter"/>
      <w:start w:val="3"/>
    </w:lvl>
  </w:abstractNum>
  <w:abstractNum w:abstractNumId="55">
    <w:nsid w:val="2F305DEF"/>
    <w:multiLevelType w:val="hybridMultilevel"/>
    <w:lvl w:ilvl="0">
      <w:lvlJc w:val="left"/>
      <w:lvlText w:val="(%1)"/>
      <w:numFmt w:val="decimal"/>
      <w:start w:val="15"/>
    </w:lvl>
    <w:lvl w:ilvl="1">
      <w:lvlJc w:val="left"/>
      <w:lvlText w:val="(%2)"/>
      <w:numFmt w:val="lowerLetter"/>
      <w:start w:val="1"/>
    </w:lvl>
  </w:abstractNum>
  <w:abstractNum w:abstractNumId="56">
    <w:nsid w:val="25A70BF7"/>
    <w:multiLevelType w:val="hybridMultilevel"/>
    <w:lvl w:ilvl="0">
      <w:lvlJc w:val="left"/>
      <w:lvlText w:val="(%1)"/>
      <w:numFmt w:val="lowerLetter"/>
      <w:start w:val="2"/>
    </w:lvl>
  </w:abstractNum>
  <w:abstractNum w:abstractNumId="57">
    <w:nsid w:val="1DBABF00"/>
    <w:multiLevelType w:val="hybridMultilevel"/>
    <w:lvl w:ilvl="0">
      <w:lvlJc w:val="left"/>
      <w:lvlText w:val="(%1)"/>
      <w:numFmt w:val="decimal"/>
      <w:start w:val="17"/>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1."/>
      <w:numFmt w:val="decimal"/>
      <w:start w:val="1"/>
    </w:lvl>
  </w:abstractNum>
  <w:abstractNum w:abstractNumId="60">
    <w:nsid w:val="1381823A"/>
    <w:multiLevelType w:val="hybridMultilevel"/>
    <w:lvl w:ilvl="0">
      <w:lvlJc w:val="left"/>
      <w:lvlText w:val="%1."/>
      <w:numFmt w:val="decimal"/>
      <w:start w:val="3"/>
    </w:lvl>
  </w:abstractNum>
  <w:abstractNum w:abstractNumId="61">
    <w:nsid w:val="5DB70AE5"/>
    <w:multiLevelType w:val="hybridMultilevel"/>
    <w:lvl w:ilvl="0">
      <w:lvlJc w:val="left"/>
      <w:lvlText w:val="%1."/>
      <w:numFmt w:val="decimal"/>
      <w:start w:val="5"/>
    </w:lvl>
  </w:abstractNum>
  <w:abstractNum w:abstractNumId="62">
    <w:nsid w:val="100F8FCA"/>
    <w:multiLevelType w:val="hybridMultilevel"/>
    <w:lvl w:ilvl="0">
      <w:lvlJc w:val="left"/>
      <w:lvlText w:val="(%1)"/>
      <w:numFmt w:val="lowerRoman"/>
      <w:start w:val="5"/>
    </w:lvl>
  </w:abstractNum>
  <w:abstractNum w:abstractNumId="63">
    <w:nsid w:val="6590700B"/>
    <w:multiLevelType w:val="hybridMultilevel"/>
    <w:lvl w:ilvl="0">
      <w:lvlJc w:val="left"/>
      <w:lvlText w:val="%1."/>
      <w:numFmt w:val="decimal"/>
      <w:start w:val="8"/>
    </w:lvl>
    <w:lvl w:ilvl="1">
      <w:lvlJc w:val="left"/>
      <w:lvlText w:val="(%2)"/>
      <w:numFmt w:val="lowerLetter"/>
      <w:start w:val="1"/>
    </w:lvl>
  </w:abstractNum>
  <w:abstractNum w:abstractNumId="64">
    <w:nsid w:val="15014ACB"/>
    <w:multiLevelType w:val="hybridMultilevel"/>
    <w:lvl w:ilvl="0">
      <w:lvlJc w:val="left"/>
      <w:lvlText w:val="%1"/>
      <w:numFmt w:val="decimal"/>
      <w:start w:val="1"/>
    </w:lvl>
    <w:lvl w:ilvl="1">
      <w:lvlJc w:val="left"/>
      <w:lvlText w:val="(%2)"/>
      <w:numFmt w:val="lowerLetter"/>
      <w:start w:val="3"/>
    </w:lvl>
  </w:abstractNum>
  <w:abstractNum w:abstractNumId="65">
    <w:nsid w:val="5F5E7FD0"/>
    <w:multiLevelType w:val="hybridMultilevel"/>
    <w:lvl w:ilvl="0">
      <w:lvlJc w:val="left"/>
      <w:lvlText w:val="%1."/>
      <w:numFmt w:val="decimal"/>
      <w:start w:val="10"/>
    </w:lvl>
    <w:lvl w:ilvl="1">
      <w:lvlJc w:val="left"/>
      <w:lvlText w:val="%2"/>
      <w:numFmt w:val="lowerLetter"/>
      <w:start w:val="1"/>
    </w:lvl>
  </w:abstractNum>
  <w:abstractNum w:abstractNumId="66">
    <w:nsid w:val="98A3148"/>
    <w:multiLevelType w:val="hybridMultilevel"/>
    <w:lvl w:ilvl="0">
      <w:lvlJc w:val="left"/>
      <w:lvlText w:val="%1."/>
      <w:numFmt w:val="decimal"/>
      <w:start w:val="13"/>
    </w:lvl>
  </w:abstractNum>
  <w:abstractNum w:abstractNumId="67">
    <w:nsid w:val="799D0247"/>
    <w:multiLevelType w:val="hybridMultilevel"/>
    <w:lvl w:ilvl="0">
      <w:lvlJc w:val="left"/>
      <w:lvlText w:val="%1."/>
      <w:numFmt w:val="decimal"/>
      <w:start w:val="14"/>
    </w:lvl>
  </w:abstractNum>
  <w:abstractNum w:abstractNumId="68">
    <w:nsid w:val="6B94764"/>
    <w:multiLevelType w:val="hybridMultilevel"/>
    <w:lvl w:ilvl="0">
      <w:lvlJc w:val="left"/>
      <w:lvlText w:val="(%1)"/>
      <w:numFmt w:val="lowerLetter"/>
      <w:start w:val="1"/>
    </w:lvl>
  </w:abstractNum>
  <w:abstractNum w:abstractNumId="69">
    <w:nsid w:val="42C296BD"/>
    <w:multiLevelType w:val="hybridMultilevel"/>
    <w:lvl w:ilvl="0">
      <w:lvlJc w:val="left"/>
      <w:lvlText w:val="(%1)"/>
      <w:numFmt w:val="lowerLetter"/>
      <w:start w:val="2"/>
    </w:lvl>
  </w:abstractNum>
  <w:abstractNum w:abstractNumId="70">
    <w:nsid w:val="168E121F"/>
    <w:multiLevelType w:val="hybridMultilevel"/>
    <w:lvl w:ilvl="0">
      <w:lvlJc w:val="left"/>
      <w:lvlText w:val="%1."/>
      <w:numFmt w:val="decimal"/>
      <w:start w:val="15"/>
    </w:lvl>
  </w:abstractNum>
  <w:abstractNum w:abstractNumId="71">
    <w:nsid w:val="1EBA5D23"/>
    <w:multiLevelType w:val="hybridMultilevel"/>
    <w:lvl w:ilvl="0">
      <w:lvlJc w:val="left"/>
      <w:lvlText w:val="%1."/>
      <w:numFmt w:val="decimal"/>
      <w:start w:val="16"/>
    </w:lvl>
  </w:abstractNum>
  <w:abstractNum w:abstractNumId="72">
    <w:nsid w:val="661E3F1E"/>
    <w:multiLevelType w:val="hybridMultilevel"/>
    <w:lvl w:ilvl="0">
      <w:lvlJc w:val="left"/>
      <w:lvlText w:val="%1."/>
      <w:numFmt w:val="decimal"/>
      <w:start w:val="1"/>
    </w:lvl>
    <w:lvl w:ilvl="1">
      <w:lvlJc w:val="left"/>
      <w:lvlText w:val="%2."/>
      <w:numFmt w:val="lowerLetter"/>
      <w:start w:val="1"/>
    </w:lvl>
  </w:abstractNum>
  <w:abstractNum w:abstractNumId="73">
    <w:nsid w:val="5DC79EA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2019-12-29T10:33:21Z</dcterms:created>
  <dcterms:modified xsi:type="dcterms:W3CDTF">2019-12-29T10:33:21Z</dcterms:modified>
</cp:coreProperties>
</file>