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73"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3" w:lineRule="exact"/>
        <w:rPr>
          <w:sz w:val="24"/>
          <w:szCs w:val="24"/>
          <w:color w:val="auto"/>
        </w:rPr>
      </w:pPr>
    </w:p>
    <w:p>
      <w:pPr>
        <w:ind w:left="440" w:hanging="414"/>
        <w:spacing w:after="0"/>
        <w:tabs>
          <w:tab w:leader="none" w:pos="4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2023</w:t>
      </w:r>
    </w:p>
    <w:p>
      <w:pPr>
        <w:spacing w:after="0" w:line="1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to</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001-36348</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PAYLOCITY HOLDING CORPORATION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62" w:lineRule="exact"/>
        <w:rPr>
          <w:sz w:val="24"/>
          <w:szCs w:val="24"/>
          <w:color w:val="auto"/>
        </w:rPr>
      </w:pPr>
    </w:p>
    <w:tbl>
      <w:tblPr>
        <w:tblLayout w:type="fixed"/>
        <w:tblInd w:w="1640" w:type="dxa"/>
        <w:tblCellMar>
          <w:top w:w="0" w:type="dxa"/>
          <w:left w:w="0" w:type="dxa"/>
          <w:bottom w:w="0" w:type="dxa"/>
          <w:right w:w="0" w:type="dxa"/>
        </w:tblCellMar>
      </w:tblP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96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46-4066644</w:t>
            </w:r>
          </w:p>
        </w:tc>
      </w:tr>
      <w:tr>
        <w:trPr>
          <w:trHeight w:val="190"/>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31"/>
        </w:trPr>
        <w:tc>
          <w:tcPr>
            <w:tcW w:w="23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1400 American Lane</w:t>
            </w:r>
          </w:p>
        </w:tc>
        <w:tc>
          <w:tcPr>
            <w:tcW w:w="4960" w:type="dxa"/>
            <w:vAlign w:val="bottom"/>
          </w:tcPr>
          <w:p>
            <w:pPr>
              <w:spacing w:after="0"/>
              <w:rPr>
                <w:sz w:val="24"/>
                <w:szCs w:val="24"/>
                <w:color w:val="auto"/>
              </w:rPr>
            </w:pPr>
          </w:p>
        </w:tc>
      </w:tr>
      <w:tr>
        <w:trPr>
          <w:trHeight w:val="204"/>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Schaumburg, Illinois</w:t>
            </w:r>
          </w:p>
        </w:tc>
        <w:tc>
          <w:tcPr>
            <w:tcW w:w="496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60173</w:t>
            </w:r>
          </w:p>
        </w:tc>
      </w:tr>
      <w:tr>
        <w:trPr>
          <w:trHeight w:val="216"/>
        </w:trPr>
        <w:tc>
          <w:tcPr>
            <w:tcW w:w="238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4960" w:type="dxa"/>
            <w:vAlign w:val="bottom"/>
          </w:tcPr>
          <w:p>
            <w:pPr>
              <w:jc w:val="center"/>
              <w:ind w:left="3828"/>
              <w:spacing w:after="0"/>
              <w:rPr>
                <w:sz w:val="20"/>
                <w:szCs w:val="20"/>
                <w:color w:val="auto"/>
              </w:rPr>
            </w:pPr>
            <w:r>
              <w:rPr>
                <w:rFonts w:ascii="Times New Roman" w:cs="Times New Roman" w:eastAsia="Times New Roman" w:hAnsi="Times New Roman"/>
                <w:sz w:val="14"/>
                <w:szCs w:val="14"/>
                <w:color w:val="auto"/>
              </w:rPr>
              <w:t>(Zip Code)</w:t>
            </w:r>
          </w:p>
        </w:tc>
      </w:tr>
      <w:tr>
        <w:trPr>
          <w:trHeight w:val="257"/>
        </w:trPr>
        <w:tc>
          <w:tcPr>
            <w:tcW w:w="2380" w:type="dxa"/>
            <w:vAlign w:val="bottom"/>
          </w:tcPr>
          <w:p>
            <w:pPr>
              <w:spacing w:after="0"/>
              <w:rPr>
                <w:sz w:val="22"/>
                <w:szCs w:val="22"/>
                <w:color w:val="auto"/>
              </w:rPr>
            </w:pPr>
          </w:p>
        </w:tc>
        <w:tc>
          <w:tcPr>
            <w:tcW w:w="4960" w:type="dxa"/>
            <w:vAlign w:val="bottom"/>
          </w:tcPr>
          <w:p>
            <w:pPr>
              <w:jc w:val="right"/>
              <w:ind w:right="2828"/>
              <w:spacing w:after="0"/>
              <w:rPr>
                <w:sz w:val="20"/>
                <w:szCs w:val="20"/>
                <w:color w:val="auto"/>
              </w:rPr>
            </w:pPr>
            <w:r>
              <w:rPr>
                <w:rFonts w:ascii="Times New Roman" w:cs="Times New Roman" w:eastAsia="Times New Roman" w:hAnsi="Times New Roman"/>
                <w:sz w:val="14"/>
                <w:szCs w:val="14"/>
                <w:b w:val="1"/>
                <w:bCs w:val="1"/>
                <w:color w:val="auto"/>
              </w:rPr>
              <w:t>(847) 463-3200</w:t>
            </w:r>
          </w:p>
        </w:tc>
      </w:tr>
      <w:tr>
        <w:trPr>
          <w:trHeight w:val="188"/>
        </w:trPr>
        <w:tc>
          <w:tcPr>
            <w:tcW w:w="2380" w:type="dxa"/>
            <w:vAlign w:val="bottom"/>
          </w:tcPr>
          <w:p>
            <w:pPr>
              <w:spacing w:after="0"/>
              <w:rPr>
                <w:sz w:val="16"/>
                <w:szCs w:val="16"/>
                <w:color w:val="auto"/>
              </w:rPr>
            </w:pPr>
          </w:p>
        </w:tc>
        <w:tc>
          <w:tcPr>
            <w:tcW w:w="4960" w:type="dxa"/>
            <w:vAlign w:val="bottom"/>
          </w:tcPr>
          <w:p>
            <w:pPr>
              <w:jc w:val="center"/>
              <w:ind w:right="168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bl>
    <w:p>
      <w:pPr>
        <w:ind w:left="30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6"/>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PCTY</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 LLC</w:t>
            </w:r>
          </w:p>
        </w:tc>
      </w:tr>
    </w:tbl>
    <w:p>
      <w:pPr>
        <w:spacing w:after="0" w:line="190" w:lineRule="exact"/>
        <w:rPr>
          <w:sz w:val="24"/>
          <w:szCs w:val="24"/>
          <w:color w:val="auto"/>
        </w:rPr>
      </w:pPr>
    </w:p>
    <w:p>
      <w:pPr>
        <w:ind w:right="8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ind w:right="220" w:firstLine="324"/>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ind w:right="120" w:firstLine="324"/>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760" w:type="dxa"/>
        <w:tblCellMar>
          <w:top w:w="0" w:type="dxa"/>
          <w:left w:w="0" w:type="dxa"/>
          <w:bottom w:w="0" w:type="dxa"/>
          <w:right w:w="0" w:type="dxa"/>
        </w:tblCellMar>
      </w:tblPr>
      <w:tr>
        <w:trPr>
          <w:trHeight w:val="188"/>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48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Accelerated Filer</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2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480" w:type="dxa"/>
            <w:vAlign w:val="bottom"/>
          </w:tcPr>
          <w:p>
            <w:pPr>
              <w:ind w:left="760"/>
              <w:spacing w:after="0"/>
              <w:rPr>
                <w:sz w:val="20"/>
                <w:szCs w:val="20"/>
                <w:color w:val="auto"/>
              </w:rPr>
            </w:pPr>
            <w:r>
              <w:rPr>
                <w:rFonts w:ascii="Wingdings" w:cs="Wingdings" w:eastAsia="Wingdings" w:hAnsi="Wingdings"/>
                <w:sz w:val="18"/>
                <w:szCs w:val="18"/>
                <w:b w:val="1"/>
                <w:bCs w:val="1"/>
                <w:color w:val="auto"/>
              </w:rPr>
              <w:t>o</w:t>
            </w: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r>
        <w:trPr>
          <w:trHeight w:val="305"/>
        </w:trPr>
        <w:tc>
          <w:tcPr>
            <w:tcW w:w="2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220" w:type="dxa"/>
            <w:vAlign w:val="bottom"/>
          </w:tcPr>
          <w:p>
            <w:pPr>
              <w:ind w:left="158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20" w:type="dxa"/>
            <w:vAlign w:val="bottom"/>
          </w:tcPr>
          <w:p>
            <w:pPr>
              <w:ind w:left="98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20" w:firstLine="324"/>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44" w:lineRule="exact"/>
        <w:rPr>
          <w:sz w:val="24"/>
          <w:szCs w:val="24"/>
          <w:color w:val="auto"/>
        </w:rPr>
      </w:pPr>
    </w:p>
    <w:p>
      <w:pPr>
        <w:ind w:left="34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146" w:lineRule="exact"/>
        <w:rPr>
          <w:sz w:val="24"/>
          <w:szCs w:val="24"/>
          <w:color w:val="auto"/>
        </w:rPr>
      </w:pPr>
    </w:p>
    <w:p>
      <w:pPr>
        <w:ind w:right="40" w:firstLine="324"/>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55,814,510 shares of Common Stock, $0.001 par value per share, as of April 28,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739140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20" w:type="dxa"/>
            <w:vAlign w:val="bottom"/>
            <w:gridSpan w:val="12"/>
            <w:vMerge w:val="restart"/>
          </w:tcPr>
          <w:p>
            <w:pPr>
              <w:jc w:val="center"/>
              <w:ind w:right="3660"/>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20" w:type="dxa"/>
            <w:vAlign w:val="bottom"/>
            <w:gridSpan w:val="12"/>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2880" w:type="dxa"/>
            <w:vAlign w:val="bottom"/>
            <w:tcBorders>
              <w:top w:val="single" w:sz="8" w:color="0000FF"/>
            </w:tcBorders>
            <w:gridSpan w:val="7"/>
          </w:tcPr>
          <w:p>
            <w:pPr>
              <w:spacing w:after="0"/>
              <w:rPr>
                <w:sz w:val="24"/>
                <w:szCs w:val="24"/>
                <w:color w:val="auto"/>
              </w:rPr>
            </w:pPr>
          </w:p>
        </w:tc>
        <w:tc>
          <w:tcPr>
            <w:tcW w:w="3800" w:type="dxa"/>
            <w:vAlign w:val="bottom"/>
            <w:gridSpan w:val="4"/>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56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Unaudited Consolidated Statements of Operations and Comprehensive Income</w:t>
            </w:r>
          </w:p>
        </w:tc>
        <w:tc>
          <w:tcPr>
            <w:tcW w:w="480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Unaudited Consolidated Statement of Changes in Stockholders’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51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Unaudited Consolidated Statements of Cash Flows</w:t>
            </w:r>
          </w:p>
        </w:tc>
        <w:tc>
          <w:tcPr>
            <w:tcW w:w="53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42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the Unaudited Consolidated Financial Statements</w:t>
            </w:r>
          </w:p>
        </w:tc>
        <w:tc>
          <w:tcPr>
            <w:tcW w:w="626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958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680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6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3960" w:type="dxa"/>
            <w:vAlign w:val="bottom"/>
            <w:gridSpan w:val="5"/>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5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940" w:type="dxa"/>
            <w:vAlign w:val="bottom"/>
            <w:gridSpan w:val="1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67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74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ITEM 3. DEFAULTS UPON SENIOR SECURITIES</w:t>
            </w:r>
          </w:p>
        </w:tc>
        <w:tc>
          <w:tcPr>
            <w:tcW w:w="662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540" w:type="dxa"/>
            <w:vAlign w:val="bottom"/>
            <w:tcBorders>
              <w:top w:val="single" w:sz="8" w:color="0000FF"/>
            </w:tcBorders>
            <w:gridSpan w:val="3"/>
          </w:tcPr>
          <w:p>
            <w:pPr>
              <w:spacing w:after="0"/>
              <w:rPr>
                <w:sz w:val="24"/>
                <w:szCs w:val="24"/>
                <w:color w:val="auto"/>
              </w:rPr>
            </w:pPr>
          </w:p>
        </w:tc>
        <w:tc>
          <w:tcPr>
            <w:tcW w:w="7380" w:type="dxa"/>
            <w:vAlign w:val="bottom"/>
            <w:gridSpan w:val="1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5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898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580" w:type="dxa"/>
            <w:vAlign w:val="bottom"/>
            <w:gridSpan w:val="15"/>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FINANCIAL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PAYLOCITY HOLDING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Consolidated Balance Sheets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233,692</w:t>
            </w: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27,449</w:t>
            </w:r>
          </w:p>
        </w:tc>
      </w:tr>
      <w:tr>
        <w:trPr>
          <w:trHeight w:val="22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73,574</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28,880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 before funds held for clients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363,595</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3,202,415</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4,231,683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3,566,010</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78,374</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60,067</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102,054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contract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280,310</w:t>
            </w:r>
          </w:p>
        </w:tc>
      </w:tr>
      <w:tr>
        <w:trPr>
          <w:trHeight w:val="230"/>
        </w:trPr>
        <w:tc>
          <w:tcPr>
            <w:tcW w:w="818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prepaid expenses and other</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17,690</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4,193,517</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7,968</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144,281</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 before client fund obligations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152,249</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Client fund obligations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3,202,415</w:t>
            </w:r>
          </w:p>
        </w:tc>
      </w:tr>
      <w:tr>
        <w:trPr>
          <w:trHeight w:val="223"/>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4,120,534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3,354,664</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64,060</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r>
      <w:tr>
        <w:trPr>
          <w:trHeight w:val="223"/>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4,195,551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3,424,771</w:t>
            </w:r>
          </w:p>
        </w:tc>
      </w:tr>
      <w:tr>
        <w:trPr>
          <w:trHeight w:val="21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75"/>
        </w:trPr>
        <w:tc>
          <w:tcPr>
            <w:tcW w:w="818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5,000 authorized, no shares issued and outstanding at June 30, 2022 and</w:t>
            </w: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March 31, 2023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Common stock, $0.001 par value, 155,000 shares authorized at June 30, 2022 and March 31, 2023; 55,190</w:t>
            </w: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June 30, 2022 and 55,810 shares issued and outstanding at March 31, 2023</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341,494</w:t>
            </w:r>
          </w:p>
        </w:tc>
      </w:tr>
      <w:tr>
        <w:trPr>
          <w:trHeight w:val="23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429,436</w:t>
            </w:r>
          </w:p>
        </w:tc>
      </w:tr>
      <w:tr>
        <w:trPr>
          <w:trHeight w:val="230"/>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w:t>
            </w:r>
          </w:p>
        </w:tc>
      </w:tr>
      <w:tr>
        <w:trPr>
          <w:trHeight w:val="223"/>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613,463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768,746</w:t>
            </w:r>
          </w:p>
        </w:tc>
      </w:tr>
      <w:tr>
        <w:trPr>
          <w:trHeight w:val="223"/>
        </w:trPr>
        <w:tc>
          <w:tcPr>
            <w:tcW w:w="8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4,809,014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4,193,517</w:t>
            </w:r>
          </w:p>
        </w:tc>
      </w:tr>
      <w:tr>
        <w:trPr>
          <w:trHeight w:val="21"/>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PAYLOCITY HOLDING CORPORATION Unaudited Consolidated Statements of Operations and Comprehensive Income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480" w:type="dxa"/>
            <w:vAlign w:val="bottom"/>
            <w:gridSpan w:val="4"/>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620,827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816,010</w:t>
            </w:r>
          </w:p>
        </w:tc>
      </w:tr>
      <w:tr>
        <w:trPr>
          <w:trHeight w:val="230"/>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50,135</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339,857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623,704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866,145</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209,608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270,333</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170,432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244,143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414,096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595,812</w:t>
            </w:r>
          </w:p>
        </w:tc>
      </w:tr>
      <w:tr>
        <w:trPr>
          <w:trHeight w:val="21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154,856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220,821</w:t>
            </w:r>
          </w:p>
        </w:tc>
      </w:tr>
      <w:tr>
        <w:trPr>
          <w:trHeight w:val="229"/>
        </w:trPr>
        <w:tc>
          <w:tcPr>
            <w:tcW w:w="5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123,445</w:t>
            </w:r>
          </w:p>
        </w:tc>
      </w:tr>
      <w:tr>
        <w:trPr>
          <w:trHeight w:val="230"/>
        </w:trPr>
        <w:tc>
          <w:tcPr>
            <w:tcW w:w="5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119,448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145,872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490,138</w:t>
            </w:r>
          </w:p>
        </w:tc>
      </w:tr>
      <w:tr>
        <w:trPr>
          <w:trHeight w:val="223"/>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80,377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105,674</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23"/>
        </w:trPr>
        <w:tc>
          <w:tcPr>
            <w:tcW w:w="5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106,645</w:t>
            </w: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103,568</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33,628</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103,631</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4"/>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5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0.62</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1.83</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5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55"/>
        </w:trPr>
        <w:tc>
          <w:tcPr>
            <w:tcW w:w="5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560" w:type="dxa"/>
            <w:vAlign w:val="bottom"/>
          </w:tcPr>
          <w:p>
            <w:pPr>
              <w:ind w:left="24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56,367</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56,555</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56,437</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56,560</w:t>
            </w:r>
          </w:p>
        </w:tc>
      </w:tr>
      <w:tr>
        <w:trPr>
          <w:trHeight w:val="21"/>
        </w:trPr>
        <w:tc>
          <w:tcPr>
            <w:tcW w:w="5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 of Changes in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40" w:type="dxa"/>
            <w:vAlign w:val="bottom"/>
            <w:gridSpan w:val="20"/>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 March 31, 2022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11"/>
          </w:tcPr>
          <w:p>
            <w:pPr>
              <w:jc w:val="center"/>
              <w:ind w:right="20"/>
              <w:spacing w:after="0" w:line="136"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3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55,105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w w:val="91"/>
              </w:rPr>
              <w:t>55</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231,106</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275,876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(344)</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506,693</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26,498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26,498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6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(1,218)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4"/>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34,846</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34,846</w:t>
            </w:r>
          </w:p>
        </w:tc>
        <w:tc>
          <w:tcPr>
            <w:tcW w:w="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55,120</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3"/>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color w:val="auto"/>
                <w:w w:val="91"/>
              </w:rPr>
              <w:t>55</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256,204</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gridSpan w:val="4"/>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310,722</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gridSpan w:val="3"/>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(1,562)</w:t>
            </w:r>
          </w:p>
        </w:tc>
        <w:tc>
          <w:tcPr>
            <w:tcW w:w="100" w:type="dxa"/>
            <w:vAlign w:val="bottom"/>
            <w:gridSpan w:val="3"/>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565,419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0"/>
          </w:tcPr>
          <w:p>
            <w:pPr>
              <w:ind w:left="420"/>
              <w:spacing w:after="0"/>
              <w:rPr>
                <w:sz w:val="20"/>
                <w:szCs w:val="20"/>
                <w:color w:val="auto"/>
              </w:rPr>
            </w:pPr>
            <w:r>
              <w:rPr>
                <w:rFonts w:ascii="Times New Roman" w:cs="Times New Roman" w:eastAsia="Times New Roman" w:hAnsi="Times New Roman"/>
                <w:sz w:val="13"/>
                <w:szCs w:val="13"/>
                <w:b w:val="1"/>
                <w:bCs w:val="1"/>
                <w:color w:val="auto"/>
              </w:rPr>
              <w:t>Three Months Ended March 31,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11"/>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4"/>
            <w:vMerge w:val="restart"/>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4"/>
            <w:vMerge w:val="restart"/>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3"/>
            <w:vMerge w:val="restart"/>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55,768</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w w:val="76"/>
              </w:rPr>
              <w:t>56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371,820</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(4,159)</w:t>
            </w:r>
          </w:p>
        </w:tc>
        <w:tc>
          <w:tcPr>
            <w:tcW w:w="24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677,767</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36,249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(4,993)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(4,993)</w:t>
            </w:r>
          </w:p>
        </w:tc>
        <w:tc>
          <w:tcPr>
            <w:tcW w:w="60" w:type="dxa"/>
            <w:vAlign w:val="bottom"/>
            <w:tcBorders>
              <w:left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41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4"/>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57,616</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57,616</w:t>
            </w:r>
          </w:p>
        </w:tc>
        <w:tc>
          <w:tcPr>
            <w:tcW w:w="60" w:type="dxa"/>
            <w:vAlign w:val="bottom"/>
            <w:tcBorders>
              <w:left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55,810</w:t>
            </w: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16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3"/>
                <w:szCs w:val="13"/>
                <w:color w:val="auto"/>
                <w:w w:val="76"/>
              </w:rPr>
              <w:t>56</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341,494</w:t>
            </w: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429,436</w:t>
            </w:r>
          </w:p>
        </w:tc>
        <w:tc>
          <w:tcPr>
            <w:tcW w:w="2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gridSpan w:val="3"/>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(2,240)</w:t>
            </w:r>
          </w:p>
        </w:tc>
        <w:tc>
          <w:tcPr>
            <w:tcW w:w="100" w:type="dxa"/>
            <w:vAlign w:val="bottom"/>
            <w:gridSpan w:val="3"/>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768,746</w:t>
            </w:r>
          </w:p>
        </w:tc>
        <w:tc>
          <w:tcPr>
            <w:tcW w:w="6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9"/>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0"/>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 March 31, 2022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9"/>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gridSpan w:val="11"/>
          </w:tcPr>
          <w:p>
            <w:pPr>
              <w:ind w:left="4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4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4"/>
            <w:vMerge w:val="restart"/>
          </w:tcPr>
          <w:p>
            <w:pPr>
              <w:ind w:left="14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4"/>
            <w:vMerge w:val="restart"/>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60" w:type="dxa"/>
            <w:vAlign w:val="bottom"/>
            <w:gridSpan w:val="4"/>
            <w:vMerge w:val="restart"/>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 Income</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vMerge w:val="restart"/>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40" w:type="dxa"/>
            <w:vAlign w:val="bottom"/>
            <w:tcBorders>
              <w:bottom w:val="single" w:sz="8" w:color="CCEEFF"/>
            </w:tcBorders>
          </w:tcPr>
          <w:p>
            <w:pPr>
              <w:spacing w:after="0"/>
              <w:rPr>
                <w:sz w:val="16"/>
                <w:szCs w:val="16"/>
                <w:color w:val="auto"/>
              </w:rPr>
            </w:pPr>
          </w:p>
        </w:tc>
        <w:tc>
          <w:tcPr>
            <w:tcW w:w="41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CCEEFF"/>
            </w:tcBorders>
            <w:gridSpan w:val="2"/>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gridSpan w:val="3"/>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rPr>
              <w:t>(Loss)</w:t>
            </w:r>
          </w:p>
        </w:tc>
        <w:tc>
          <w:tcPr>
            <w:tcW w:w="6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2021</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54,594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241,718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235,091</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476,930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75,726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(70,428)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losses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75,631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55,120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256,204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310,722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565,419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gridSpan w:val="3"/>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4"/>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20"/>
          </w:tcPr>
          <w:p>
            <w:pPr>
              <w:ind w:left="420"/>
              <w:spacing w:after="0"/>
              <w:rPr>
                <w:sz w:val="20"/>
                <w:szCs w:val="20"/>
                <w:color w:val="auto"/>
              </w:rPr>
            </w:pPr>
            <w:r>
              <w:rPr>
                <w:rFonts w:ascii="Times New Roman" w:cs="Times New Roman" w:eastAsia="Times New Roman" w:hAnsi="Times New Roman"/>
                <w:sz w:val="13"/>
                <w:szCs w:val="13"/>
                <w:b w:val="1"/>
                <w:bCs w:val="1"/>
                <w:color w:val="auto"/>
              </w:rPr>
              <w:t>Nine Months Ended March 31, 2023</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11"/>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11"/>
          </w:tcPr>
          <w:p>
            <w:pPr>
              <w:ind w:left="460"/>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4"/>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77"/>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 Other</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restart"/>
          </w:tcPr>
          <w:p>
            <w:pPr>
              <w:jc w:val="center"/>
              <w:ind w:right="9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4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4"/>
          </w:tcPr>
          <w:p>
            <w:pPr>
              <w:ind w:left="16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June 30, 2022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55,190</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289,843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325,868</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(2,303)</w:t>
            </w: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613,463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127,373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127,373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 options exercised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upon employee stock purchase plan</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settlement for taxes and/or exercise price related to equity awards</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(87,300)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220" w:type="dxa"/>
            <w:vAlign w:val="bottom"/>
            <w:gridSpan w:val="4"/>
          </w:tcPr>
          <w:p>
            <w:pPr>
              <w:spacing w:after="0"/>
              <w:rPr>
                <w:sz w:val="2"/>
                <w:szCs w:val="2"/>
                <w:color w:val="auto"/>
              </w:rPr>
            </w:pPr>
          </w:p>
        </w:tc>
        <w:tc>
          <w:tcPr>
            <w:tcW w:w="8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 on securities, net of tax</w:t>
            </w:r>
          </w:p>
        </w:tc>
        <w:tc>
          <w:tcPr>
            <w:tcW w:w="8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2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103,568</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103,568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42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March 31, 2023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55,810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341,494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gridSpan w:val="5"/>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429,436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(2,240)</w:t>
            </w:r>
          </w:p>
        </w:tc>
        <w:tc>
          <w:tcPr>
            <w:tcW w:w="20" w:type="dxa"/>
            <w:vAlign w:val="bottom"/>
            <w:shd w:val="clear" w:color="auto" w:fill="CCEEFF"/>
          </w:tcPr>
          <w:p>
            <w:pPr>
              <w:spacing w:after="0"/>
              <w:rPr>
                <w:sz w:val="18"/>
                <w:szCs w:val="18"/>
                <w:color w:val="auto"/>
              </w:rPr>
            </w:pPr>
          </w:p>
        </w:tc>
        <w:tc>
          <w:tcPr>
            <w:tcW w:w="240" w:type="dxa"/>
            <w:vAlign w:val="bottom"/>
            <w:gridSpan w:val="4"/>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768,746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20"/>
          </w:cols>
          <w:pgMar w:left="320" w:top="25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7"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Net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75,631</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103,568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70,197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116,002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Deferred income tax expense (benefit)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amortization of premiums (accretion of discounts) on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195"/>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Accounts receivable</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(12,548)</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Deferred contract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(62,929)</w:t>
            </w:r>
          </w:p>
        </w:tc>
        <w:tc>
          <w:tcPr>
            <w:tcW w:w="0" w:type="dxa"/>
            <w:vAlign w:val="bottom"/>
          </w:tcPr>
          <w:p>
            <w:pPr>
              <w:spacing w:after="0"/>
              <w:rPr>
                <w:sz w:val="1"/>
                <w:szCs w:val="1"/>
                <w:color w:val="auto"/>
              </w:rPr>
            </w:pPr>
          </w:p>
        </w:tc>
      </w:tr>
      <w:tr>
        <w:trPr>
          <w:trHeight w:val="195"/>
        </w:trPr>
        <w:tc>
          <w:tcPr>
            <w:tcW w:w="818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206,107</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Purchases of available-for-sale securities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(557,403)</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sales and maturities of available-for-sale securities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298,113</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Capitalized internal-use software costs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(30,726)</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(8,769)</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Acquisitions of businesses, net of cash acquired</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(107,576)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(281,379)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(298,752)</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change in client fund obligations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2,564,829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(785,361)</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Borrowings under credit facility</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Repayment of credit facility</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8,450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(84,174)</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2,503,472</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(861,958)</w:t>
            </w:r>
          </w:p>
        </w:tc>
        <w:tc>
          <w:tcPr>
            <w:tcW w:w="0" w:type="dxa"/>
            <w:vAlign w:val="bottom"/>
          </w:tcPr>
          <w:p>
            <w:pPr>
              <w:spacing w:after="0"/>
              <w:rPr>
                <w:sz w:val="1"/>
                <w:szCs w:val="1"/>
                <w:color w:val="auto"/>
              </w:rPr>
            </w:pPr>
          </w:p>
        </w:tc>
      </w:tr>
      <w:tr>
        <w:trPr>
          <w:trHeight w:val="189"/>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cash, cash equivalents and funds held for clients' cash and cash equivalents</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2,327,487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(954,603)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1,945,881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3,793,453</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funds held for clients' cash and cash equivalents—end of period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4,273,368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2,838,850</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Purchases of property and equipment and internal-use software, accrued but not paid</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Liabilities assumed for acquisitions</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1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paid for interest</w:t>
            </w: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(refunds received) for income taxes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and funds held for clients' cash and cash equivalents to the Consolidated Balance Sheets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96,465</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233,692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Funds held for clients' cash and cash equivalents</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4,176,903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2,605,158</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funds held for clients' cash and cash equivalents</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4,273,368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2,838,850</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PAYLOCITY HOLDING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 amounts in thousands, except per share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Paylocity Holding Corporation (the “Company”) is a cloud-based provider of human capital management and payroll software solutions that deliver a comprehensive platform for the modern workforce. Services are provided in a Software-as-a-Service (“SaaS”) delivery model. The Company’s comprehensive product suite delivers a unified platform that helps businesses attract and retain talent, build culture and connection with their employees, and streamline and automate HR and payroll processes.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98"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Basis of Presentation, Consolidation and Use of Estimates</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These unaudited consolidated financial statements have been prepared in accordance with U.S. generally accepted accounting principles (“GAAP”). The unaudited consolidated financial statements include the accounts of the Company and its wholly owned subsidiaries. All intercompany accounts and transactions have been eliminated in consolidation.</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Future events and their effects cannot be predicted with certainty; accordingly, accounting estimates require the exercise of judgment. Accounting estimates used in the preparation of these consolidated financial statements may change as new events occur, as more experience is acquired, as additional information is obtained and as the operating environment changes.</w:t>
      </w:r>
    </w:p>
    <w:p>
      <w:pPr>
        <w:spacing w:after="0" w:line="156"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Interim Unaudited Consolidated Financial Information</w:t>
      </w:r>
    </w:p>
    <w:p>
      <w:pPr>
        <w:spacing w:after="0" w:line="229"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nine months ended March 31, 2023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2022 included in the Company’s Annual Report on Form 10-K.</w:t>
      </w:r>
    </w:p>
    <w:p>
      <w:pPr>
        <w:spacing w:after="0" w:line="144" w:lineRule="exact"/>
        <w:rPr>
          <w:sz w:val="20"/>
          <w:szCs w:val="20"/>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Income taxes are accounted for in accordance with ASC 740, Income Taxes, using the asset and liability method. The Company’s provision for income taxes is based on the annual effective rate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deferred tax assets to the extent that it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net-recorded amount, it would make an adjustment to the deferred tax asset valuation allowance, which would reduce the provision for income taxes.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0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derives its revenue from contracts predominantly from recurring and non-recurring service fees. While the majority of its agreements are generally cancellable by the client on 60 days’ notice or less, the Company also offers term agreements to its clients, which are generally two years in length. Recurring fees are derived from payroll, timekeeping, and HR-related cloud-based computing services. The majority of the Company’s recurring fees are satisfied over time as services are provided. The performance obligations related to payroll services are satisfied upon the processing of the client’s payroll with the fee charged and collected based on a per employee per payroll frequency fee. The performance obligations related to time and attendance services and HR related services are satisfied over time each month with the fee charged and collected based on a per employee per month fee. For subscription-based fees which can include payroll, time and attendance, and other HCM related services, the Company recognizes the applicable recurring fees over time each month with the fee charged and collected based on a per employee per month fee. Non-recurring service fees consist mainly of nonrefundable implementation fees, which involve setting the client up in, and loading data into, the Company’s cloud-based modules. These implementation activities are considered set-up activities. The Company has determined that the nonrefundable upfront fees provide certain clients with a material right to renew the contract.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8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disaggregates total revenues from contracts by Recurring fees and Implementation services and other, which the Company believes depicts the nature, amount and timing of its revenue: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6"/>
        </w:trPr>
        <w:tc>
          <w:tcPr>
            <w:tcW w:w="5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r>
      <w:tr>
        <w:trPr>
          <w:trHeight w:val="196"/>
        </w:trPr>
        <w:tc>
          <w:tcPr>
            <w:tcW w:w="5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fees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786,936</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Implementation services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29,074</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from contracts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620,827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816,010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for recurring revenue is consistent with the timing of invoicing as they occur simultaneously based on the client payroll processing period or by month. As such, the Company does not recognize contract assets or liabilities related to recurring revenue.</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defers and amortizes nonrefundable upfront fees related to implementation services generally over a period up to 24 months based on the type of contract. The following table summarizes the changes in deferred revenue (i.e., contract liability) related to these nonrefundable upfront fees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12,233</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Deferral of revenue</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30,445</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(6,044)</w:t>
            </w:r>
          </w:p>
        </w:tc>
        <w:tc>
          <w:tcPr>
            <w:tcW w:w="8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r>
      <w:tr>
        <w:trPr>
          <w:trHeight w:val="25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9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21,359</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Deferred revenue related to these nonrefundable upfront fees are recorded within Accrued expenses and Other long-term liabilities on the Unaudited Consolidated Balance Sheets. The Company expects to recognize these deferred revenue balances of $8,554 in fiscal 2023, $10,783 in fiscal 2024 and $2,022 in fiscal 2025 and thereafter.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defers certain selling and commission costs that meet the capitalization criteria under ASC 340-40. The Company also capitalizes certain costs to fulfill a contract related to its proprietary products if they are identifiable, generate or enhance resources used to satisfy future performance obligations and are expected to be recovered under ASC 340-40. Implementation fees are treated as nonrefundable upfront fees and the related implementation costs are required to be capitalized and amortized over the expected period of benefit, which is the period in which the Company expects to recover the costs and enhance its ability to satisfy future performance obligations.</w:t>
      </w:r>
    </w:p>
    <w:p>
      <w:pPr>
        <w:spacing w:after="0" w:line="15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Company utilizes the portfolio approach to account for both the cost of obtaining a contract and the cost of fulfilling a contract. These capitalized costs are amortized over the expected period of benefit, which has been determined to be over 7 years based on the Company’s average client life and other qualitative factors, including rate of technological changes. The Company does not incur any additional costs to obtain or fulfill contracts upon renewal. The Company recognizes additional selling and commission costs and fulfillment costs when an existing client purchases additional services. These additional costs only relate to the additional services purchased and do not relate to the renewal of previous services.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deferred contract costs and the related amortization expense for these deferred contract costs: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2022</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168,638</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200,553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211,181</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142,703</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353,884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March 31, 2022</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3"/>
        </w:trPr>
        <w:tc>
          <w:tcPr>
            <w:tcW w:w="4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168,638</w:t>
            </w:r>
          </w:p>
        </w:tc>
      </w:tr>
      <w:tr>
        <w:trPr>
          <w:trHeight w:val="25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37,865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95,677</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264,315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50"/>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 Ended March 31, 2023</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
        </w:trPr>
        <w:tc>
          <w:tcPr>
            <w:tcW w:w="4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0"/>
        </w:trPr>
        <w:tc>
          <w:tcPr>
            <w:tcW w:w="4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Capitalized Costs</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Ending Balance</w:t>
            </w: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to obtain a new contract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61,327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211,181</w:t>
            </w:r>
          </w:p>
        </w:tc>
      </w:tr>
      <w:tr>
        <w:trPr>
          <w:trHeight w:val="229"/>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to fulfill a contract</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142,703</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353,884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Deferred contract costs are recorded within Deferred contract costs and Long-term deferred contract costs on the Unaudited Consolidated Balance Sheets. Amortization of deferred contract costs is primarily recorded in Cost of revenues and Sales and marketing in the Unaudited Consolidated Statements of Operations and Comprehensive Income.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89" w:lineRule="exact"/>
        <w:rPr>
          <w:sz w:val="20"/>
          <w:szCs w:val="20"/>
          <w:color w:val="auto"/>
        </w:rPr>
      </w:pPr>
    </w:p>
    <w:p>
      <w:pPr>
        <w:ind w:right="1040" w:firstLine="648"/>
        <w:spacing w:after="0" w:line="282" w:lineRule="auto"/>
        <w:rPr>
          <w:sz w:val="20"/>
          <w:szCs w:val="20"/>
          <w:color w:val="auto"/>
        </w:rPr>
      </w:pPr>
      <w:r>
        <w:rPr>
          <w:rFonts w:ascii="Times New Roman" w:cs="Times New Roman" w:eastAsia="Times New Roman" w:hAnsi="Times New Roman"/>
          <w:sz w:val="18"/>
          <w:szCs w:val="18"/>
          <w:color w:val="auto"/>
        </w:rPr>
        <w:t>The balance of the Company’s remaining performance obligations related to minimum monthly fees on its term-based contracts was approximately $62,268 as of March 31, 2023, which will be generally recognized over the next 24</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months. This balance excludes the value of unsatisfied performance obligations for contracts that have an original expected duration of one year or less and contracts for which the variable consideration is allocated entirely to wholly unsatisfied performance obligations.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Business Combinations</w:t>
      </w:r>
    </w:p>
    <w:p>
      <w:pPr>
        <w:spacing w:after="0" w:line="20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On January 18, 2022, the Company acquired all of the shares outstanding of Cloudsnap, Inc., ("Cloudsnap") through a merger for cash consideration of $50,002, which was paid upon closing. Cloudsnap is a provider of a flexible, low-code solution for integrating disparate business applications. This transaction enables the Company to deliver modern integrations and seamless data sharing between critical systems more efficiently and effectively, while helping to unify and automate business processes across clients' HR, finance, benefits, and other systems.</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allocation of the purchase price for Cloudsnap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January 18, 2022</w:t>
            </w:r>
          </w:p>
        </w:tc>
      </w:tr>
      <w:tr>
        <w:trPr>
          <w:trHeight w:val="23"/>
        </w:trPr>
        <w:tc>
          <w:tcPr>
            <w:tcW w:w="9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w:t>
            </w:r>
          </w:p>
        </w:tc>
      </w:tr>
      <w:tr>
        <w:trPr>
          <w:trHeight w:val="229"/>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33,628</w:t>
            </w:r>
          </w:p>
        </w:tc>
      </w:tr>
      <w:tr>
        <w:trPr>
          <w:trHeight w:val="230"/>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acquired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w:t>
            </w:r>
          </w:p>
        </w:tc>
      </w:tr>
      <w:tr>
        <w:trPr>
          <w:trHeight w:val="229"/>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did not record any material purchase accounting adjustments for Cloudsnap during the nine months ended March 31, 2023. The Company accounts for business combinations in accordance with ASC 805, Business Combinations. The Company applied the acquisition method of accounting and recorded the assets acquired and liabilities assumed at their respective estimated fair values as of the date of the acquisition with the excess consideration paid recorded as goodwill.</w:t>
      </w:r>
    </w:p>
    <w:p>
      <w:pPr>
        <w:spacing w:after="0" w:line="153"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The results from this acquisition have been included in the Company’s consolidated financial statements since the closing of the acquisition and are not material to the Company. Pro forma information is not presented because the effects of the acquisition are not material to the Company’s consolidated financial statements. The goodwill related to this acquisition is primarily attributable to the assembled workforce and growth opportunities from the expansion and enhancement of the Company’s product offerings. The goodwill associated with this acquisition is not deductible for income tax purposes. Direct costs related to the acquisition were immaterial and were expensed as incurred as General and administrative.</w:t>
      </w:r>
    </w:p>
    <w:p>
      <w:pPr>
        <w:sectPr>
          <w:pgSz w:w="11900" w:h="16838" w:orient="portrait"/>
          <w:cols w:equalWidth="0" w:num="1">
            <w:col w:w="11240"/>
          </w:cols>
          <w:pgMar w:left="320" w:top="256" w:right="339" w:bottom="1440" w:gutter="0" w:footer="0" w:header="0"/>
        </w:sectPr>
      </w:pP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Balance Sheet Information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details of selected consolidated balance sheet items: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Activity in the allowance for credit losses related to accounts receivable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June 30, 2022</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Charged to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2023</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internal-use software and accumulated amortization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280" w:hanging="1167"/>
        <w:spacing w:after="0"/>
        <w:tabs>
          <w:tab w:leader="none" w:pos="2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841</w:t>
      </w:r>
    </w:p>
    <w:p>
      <w:pPr>
        <w:spacing w:after="0" w:line="49" w:lineRule="exact"/>
        <w:rPr>
          <w:rFonts w:ascii="Times New Roman" w:cs="Times New Roman" w:eastAsia="Times New Roman" w:hAnsi="Times New Roman"/>
          <w:sz w:val="18"/>
          <w:szCs w:val="18"/>
          <w:color w:val="auto"/>
        </w:rPr>
      </w:pPr>
    </w:p>
    <w:p>
      <w:pPr>
        <w:ind w:left="2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43" w:lineRule="exact"/>
        <w:rPr>
          <w:sz w:val="20"/>
          <w:szCs w:val="20"/>
          <w:color w:val="auto"/>
        </w:rPr>
      </w:pPr>
    </w:p>
    <w:p>
      <w:pPr>
        <w:ind w:left="2140" w:hanging="1027"/>
        <w:spacing w:after="0"/>
        <w:tabs>
          <w:tab w:leader="none" w:pos="2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26035</wp:posOffset>
            </wp:positionV>
            <wp:extent cx="9429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51435</wp:posOffset>
            </wp:positionV>
            <wp:extent cx="9429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404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193,156</w:t>
            </w: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232,049</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04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(153,675)</w:t>
            </w:r>
          </w:p>
        </w:tc>
        <w:tc>
          <w:tcPr>
            <w:tcW w:w="0" w:type="dxa"/>
            <w:vAlign w:val="bottom"/>
          </w:tcPr>
          <w:p>
            <w:pPr>
              <w:spacing w:after="0"/>
              <w:rPr>
                <w:sz w:val="1"/>
                <w:szCs w:val="1"/>
                <w:color w:val="auto"/>
              </w:rPr>
            </w:pPr>
          </w:p>
        </w:tc>
      </w:tr>
      <w:tr>
        <w:trPr>
          <w:trHeight w:val="27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 net</w:t>
            </w:r>
          </w:p>
        </w:tc>
        <w:tc>
          <w:tcPr>
            <w:tcW w:w="446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61,985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78,374</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430"/>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4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Amortization of capitalized internal-use software costs is primarily included in Cost of revenues and amounted to $6,308 and $7,984 for the three months ended March 31, 2022 and 2023, respectively, and $18,523 and $22,504 for the nine months ended March 31, 2022 and 2023,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major classes of property and equipment, net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55,073</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Time clocks rented by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7,951</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135,668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137,954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(77,887)</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amounted to $4,098 and $4,633 for the three months ended March 31, 2022 and 2023, respectively, and $11,914 and $13,666 for the nine months ended March 31, 2022 and 2023, respectively.</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changes in goodwill during the nine months ended March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2022</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101,949</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2"/>
          </w:tcPr>
          <w:p>
            <w:pPr>
              <w:jc w:val="center"/>
              <w:ind w:left="937"/>
              <w:spacing w:after="0"/>
              <w:rPr>
                <w:sz w:val="20"/>
                <w:szCs w:val="20"/>
                <w:color w:val="auto"/>
              </w:rPr>
            </w:pPr>
            <w:r>
              <w:rPr>
                <w:rFonts w:ascii="Times New Roman" w:cs="Times New Roman" w:eastAsia="Times New Roman" w:hAnsi="Times New Roman"/>
                <w:sz w:val="18"/>
                <w:szCs w:val="18"/>
                <w:color w:val="auto"/>
                <w:w w:val="96"/>
              </w:rPr>
              <w:t>105</w:t>
            </w:r>
          </w:p>
        </w:tc>
        <w:tc>
          <w:tcPr>
            <w:tcW w:w="0" w:type="dxa"/>
            <w:vAlign w:val="bottom"/>
          </w:tcPr>
          <w:p>
            <w:pPr>
              <w:spacing w:after="0"/>
              <w:rPr>
                <w:sz w:val="1"/>
                <w:szCs w:val="1"/>
                <w:color w:val="auto"/>
              </w:rPr>
            </w:pPr>
          </w:p>
        </w:tc>
      </w:tr>
      <w:tr>
        <w:trPr>
          <w:trHeight w:val="27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102,054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Refer to Note 4 for further details on current year acquisition activity.</w:t>
            </w:r>
          </w:p>
        </w:tc>
        <w:tc>
          <w:tcPr>
            <w:tcW w:w="3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The Company’s amortizable intangible assets and estimated useful lives were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24"/>
                <w:szCs w:val="24"/>
                <w:color w:val="auto"/>
              </w:rPr>
            </w:pPr>
          </w:p>
        </w:tc>
        <w:tc>
          <w:tcPr>
            <w:tcW w:w="1480" w:type="dxa"/>
            <w:vAlign w:val="bottom"/>
            <w:gridSpan w:val="4"/>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useful life (years)</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43,129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7"/>
              </w:rPr>
              <w:t>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center"/>
              <w:ind w:left="977"/>
              <w:spacing w:after="0"/>
              <w:rPr>
                <w:sz w:val="20"/>
                <w:szCs w:val="20"/>
                <w:color w:val="auto"/>
              </w:rPr>
            </w:pPr>
            <w:r>
              <w:rPr>
                <w:rFonts w:ascii="Times New Roman" w:cs="Times New Roman" w:eastAsia="Times New Roman" w:hAnsi="Times New Roman"/>
                <w:sz w:val="18"/>
                <w:szCs w:val="18"/>
                <w:color w:val="auto"/>
                <w:w w:val="97"/>
              </w:rPr>
              <w:t>7.8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Non-solicitation agreements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center"/>
              <w:ind w:left="977"/>
              <w:spacing w:after="0"/>
              <w:rPr>
                <w:sz w:val="20"/>
                <w:szCs w:val="20"/>
                <w:color w:val="auto"/>
              </w:rPr>
            </w:pPr>
            <w:r>
              <w:rPr>
                <w:rFonts w:ascii="Times New Roman" w:cs="Times New Roman" w:eastAsia="Times New Roman" w:hAnsi="Times New Roman"/>
                <w:sz w:val="18"/>
                <w:szCs w:val="18"/>
                <w:color w:val="auto"/>
                <w:w w:val="97"/>
              </w:rPr>
              <w:t>3.1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center"/>
              <w:ind w:left="977"/>
              <w:spacing w:after="0"/>
              <w:rPr>
                <w:sz w:val="20"/>
                <w:szCs w:val="20"/>
                <w:color w:val="auto"/>
              </w:rPr>
            </w:pPr>
            <w:r>
              <w:rPr>
                <w:rFonts w:ascii="Times New Roman" w:cs="Times New Roman" w:eastAsia="Times New Roman" w:hAnsi="Times New Roman"/>
                <w:sz w:val="18"/>
                <w:szCs w:val="18"/>
                <w:color w:val="auto"/>
                <w:w w:val="97"/>
              </w:rPr>
              <w:t>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68,569</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(31,405)</w:t>
            </w:r>
          </w:p>
        </w:tc>
        <w:tc>
          <w:tcPr>
            <w:tcW w:w="1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acquired intangible assets was $2,630 and $2,770 for the three months ended March 31, 2022 and 2023, respectively, and $5,982 and $8,311 for the nine months ended March 31, 2022 and 2023, respectively, and is included in Cost of revenues and General and administrative.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Future amortization expense for acquired intangible assets as of March 31,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Remainder of fiscal 2023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2025</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Fiscal 2027</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accrued expenses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00" w:hanging="987"/>
        <w:spacing w:after="0"/>
        <w:tabs>
          <w:tab w:leader="none" w:pos="21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2,637</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9,943</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8,888</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7,269</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4,893</w:t>
      </w:r>
    </w:p>
    <w:p>
      <w:pPr>
        <w:spacing w:after="0" w:line="61" w:lineRule="exact"/>
        <w:rPr>
          <w:rFonts w:ascii="Times New Roman" w:cs="Times New Roman" w:eastAsia="Times New Roman" w:hAnsi="Times New Roman"/>
          <w:sz w:val="17"/>
          <w:szCs w:val="17"/>
          <w:color w:val="auto"/>
        </w:rPr>
      </w:pPr>
    </w:p>
    <w:p>
      <w:pPr>
        <w:ind w:left="2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3,534</w:t>
      </w:r>
    </w:p>
    <w:p>
      <w:pPr>
        <w:spacing w:after="0" w:line="75" w:lineRule="exact"/>
        <w:rPr>
          <w:sz w:val="20"/>
          <w:szCs w:val="20"/>
          <w:color w:val="auto"/>
        </w:rPr>
      </w:pPr>
    </w:p>
    <w:p>
      <w:pPr>
        <w:ind w:left="2020" w:hanging="907"/>
        <w:spacing w:after="0"/>
        <w:tabs>
          <w:tab w:leader="none" w:pos="20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37,164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695325</wp:posOffset>
            </wp:positionH>
            <wp:positionV relativeFrom="paragraph">
              <wp:posOffset>59055</wp:posOffset>
            </wp:positionV>
            <wp:extent cx="9429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March 31,</w:t>
      </w:r>
    </w:p>
    <w:p>
      <w:pPr>
        <w:spacing w:after="0" w:line="1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15" w:lineRule="exact"/>
        <w:rPr>
          <w:sz w:val="20"/>
          <w:szCs w:val="20"/>
          <w:color w:val="auto"/>
        </w:rPr>
      </w:pPr>
    </w:p>
    <w:p>
      <w:pPr>
        <w:sectPr>
          <w:pgSz w:w="11900" w:h="16838" w:orient="portrait"/>
          <w:cols w:equalWidth="0" w:num="2">
            <w:col w:w="7940" w:space="720"/>
            <w:col w:w="2580"/>
          </w:cols>
          <w:pgMar w:left="320" w:top="256" w:right="339" w:bottom="1440" w:gutter="0" w:footer="0" w:header="0"/>
        </w:sectPr>
      </w:pPr>
    </w:p>
    <w:tbl>
      <w:tblPr>
        <w:tblLayout w:type="fixed"/>
        <w:tblInd w:w="0" w:type="dxa"/>
        <w:tblCellMar>
          <w:top w:w="0" w:type="dxa"/>
          <w:left w:w="0" w:type="dxa"/>
          <w:bottom w:w="0" w:type="dxa"/>
          <w:right w:w="0" w:type="dxa"/>
        </w:tblCellMar>
      </w:tblPr>
      <w:tr>
        <w:trPr>
          <w:trHeight w:val="27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personnel costs</w:t>
            </w:r>
          </w:p>
        </w:tc>
        <w:tc>
          <w:tcPr>
            <w:tcW w:w="20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CCEEFF"/>
            </w:tcBorders>
            <w:shd w:val="clear" w:color="auto" w:fill="CCEEFF"/>
          </w:tcPr>
          <w:p>
            <w:pPr>
              <w:spacing w:after="0"/>
              <w:rPr>
                <w:sz w:val="23"/>
                <w:szCs w:val="23"/>
                <w:color w:val="auto"/>
              </w:rPr>
            </w:pPr>
          </w:p>
        </w:tc>
        <w:tc>
          <w:tcPr>
            <w:tcW w:w="88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84,897</w:t>
            </w: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86,699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23,475</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26,444</w:t>
            </w: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144,281</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Corporate Investments and Funds Held for Clients</w:t>
            </w: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0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20" w:type="dxa"/>
            <w:vAlign w:val="bottom"/>
            <w:gridSpan w:val="5"/>
          </w:tcPr>
          <w:p>
            <w:pPr>
              <w:ind w:left="660"/>
              <w:spacing w:after="0"/>
              <w:rPr>
                <w:sz w:val="20"/>
                <w:szCs w:val="20"/>
                <w:color w:val="auto"/>
              </w:rPr>
            </w:pPr>
            <w:r>
              <w:rPr>
                <w:rFonts w:ascii="Times New Roman" w:cs="Times New Roman" w:eastAsia="Times New Roman" w:hAnsi="Times New Roman"/>
                <w:sz w:val="18"/>
                <w:szCs w:val="18"/>
                <w:color w:val="auto"/>
              </w:rPr>
              <w:t>Corporate investments and funds held for clients consisted of the following:</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gridSpan w:val="3"/>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167,566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337,203</w:t>
            </w:r>
          </w:p>
        </w:tc>
        <w:tc>
          <w:tcPr>
            <w:tcW w:w="10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4,130,658</w:t>
            </w:r>
          </w:p>
        </w:tc>
        <w:tc>
          <w:tcPr>
            <w:tcW w:w="100" w:type="dxa"/>
            <w:vAlign w:val="bottom"/>
          </w:tcPr>
          <w:p>
            <w:pPr>
              <w:spacing w:after="0"/>
              <w:rPr>
                <w:sz w:val="22"/>
                <w:szCs w:val="22"/>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2"/>
                <w:szCs w:val="22"/>
                <w:color w:val="auto"/>
              </w:rPr>
            </w:pPr>
          </w:p>
        </w:tc>
        <w:tc>
          <w:tcPr>
            <w:tcW w:w="6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6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gridSpan w:val="2"/>
            <w:vMerge w:val="restart"/>
          </w:tcPr>
          <w:p>
            <w:pPr>
              <w:ind w:left="2080"/>
              <w:spacing w:after="0"/>
              <w:rPr>
                <w:sz w:val="20"/>
                <w:szCs w:val="20"/>
                <w:color w:val="auto"/>
              </w:rPr>
            </w:pPr>
            <w:r>
              <w:rPr>
                <w:rFonts w:ascii="Times New Roman" w:cs="Times New Roman" w:eastAsia="Times New Roman" w:hAnsi="Times New Roman"/>
                <w:sz w:val="14"/>
                <w:szCs w:val="14"/>
                <w:b w:val="1"/>
                <w:bCs w:val="1"/>
                <w:color w:val="auto"/>
              </w:rPr>
              <w:t>Type of Issue</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gains</w:t>
            </w: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2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2,605,158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2,605,158</w:t>
            </w: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151,851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118,722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84,027</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600,076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597,257</w:t>
            </w:r>
          </w:p>
        </w:tc>
        <w:tc>
          <w:tcPr>
            <w:tcW w:w="0" w:type="dxa"/>
            <w:vAlign w:val="bottom"/>
          </w:tcPr>
          <w:p>
            <w:pPr>
              <w:spacing w:after="0"/>
              <w:rPr>
                <w:sz w:val="1"/>
                <w:szCs w:val="1"/>
                <w:color w:val="auto"/>
              </w:rPr>
            </w:pPr>
          </w:p>
        </w:tc>
      </w:tr>
      <w:tr>
        <w:trPr>
          <w:trHeight w:val="25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3,438,926</w:t>
            </w:r>
          </w:p>
        </w:tc>
        <w:tc>
          <w:tcPr>
            <w:tcW w:w="100" w:type="dxa"/>
            <w:vAlign w:val="bottom"/>
          </w:tcPr>
          <w:p>
            <w:pPr>
              <w:spacing w:after="0"/>
              <w:rPr>
                <w:sz w:val="22"/>
                <w:szCs w:val="22"/>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3,436,107</w:t>
            </w:r>
          </w:p>
        </w:tc>
        <w:tc>
          <w:tcPr>
            <w:tcW w:w="0" w:type="dxa"/>
            <w:vAlign w:val="bottom"/>
          </w:tcPr>
          <w:p>
            <w:pPr>
              <w:spacing w:after="0"/>
              <w:rPr>
                <w:sz w:val="1"/>
                <w:szCs w:val="1"/>
                <w:color w:val="auto"/>
              </w:rPr>
            </w:pPr>
          </w:p>
        </w:tc>
      </w:tr>
      <w:tr>
        <w:trPr>
          <w:trHeight w:val="21"/>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available-for-sale securities were included in Funds held for clients at June 30, 2022 and March 31, 2023.</w:t>
      </w:r>
    </w:p>
    <w:p>
      <w:pPr>
        <w:spacing w:after="0" w:line="185"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Cash and cash equivalents and funds held for clients’ cash and cash equivalents included demand deposit accounts, money market funds, commercial paper, certificates of deposit and U.S. treasury securities at June 30, 2022 and March 31, 2023.</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Classification of investments on the Unaudited Consolidated Balance Sheets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8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2023</w:t>
            </w:r>
          </w:p>
        </w:tc>
      </w:tr>
      <w:tr>
        <w:trPr>
          <w:trHeight w:val="23"/>
        </w:trPr>
        <w:tc>
          <w:tcPr>
            <w:tcW w:w="8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Funds held for clients</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3,987,776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3,202,415</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3,436,107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Available-for-sale securities that had been in an unrealized loss position for a period of less and greater than 12 months as of June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had fair market value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440" w:type="dxa"/>
            <w:vAlign w:val="bottom"/>
            <w:gridSpan w:val="3"/>
          </w:tcPr>
          <w:p>
            <w:pPr>
              <w:ind w:left="30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4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11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53,756</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1"/>
                <w:szCs w:val="21"/>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spacing w:after="0"/>
              <w:rPr>
                <w:sz w:val="22"/>
                <w:szCs w:val="22"/>
                <w:color w:val="auto"/>
              </w:rPr>
            </w:pPr>
          </w:p>
        </w:tc>
        <w:tc>
          <w:tcPr>
            <w:tcW w:w="4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129,943</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20"/>
                <w:szCs w:val="20"/>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285,651</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285,651</w:t>
            </w:r>
          </w:p>
        </w:tc>
        <w:tc>
          <w:tcPr>
            <w:tcW w:w="0" w:type="dxa"/>
            <w:vAlign w:val="bottom"/>
          </w:tcPr>
          <w:p>
            <w:pPr>
              <w:spacing w:after="0"/>
              <w:rPr>
                <w:sz w:val="1"/>
                <w:szCs w:val="1"/>
                <w:color w:val="auto"/>
              </w:rPr>
            </w:pPr>
          </w:p>
        </w:tc>
      </w:tr>
      <w:tr>
        <w:trPr>
          <w:trHeight w:val="22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80" w:type="dxa"/>
            <w:vAlign w:val="bottom"/>
            <w:gridSpan w:val="5"/>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260" w:type="dxa"/>
            <w:vAlign w:val="bottom"/>
          </w:tcPr>
          <w:p>
            <w:pPr>
              <w:spacing w:after="0"/>
              <w:rPr>
                <w:sz w:val="13"/>
                <w:szCs w:val="13"/>
                <w:color w:val="auto"/>
              </w:rPr>
            </w:pPr>
          </w:p>
        </w:tc>
        <w:tc>
          <w:tcPr>
            <w:tcW w:w="2840" w:type="dxa"/>
            <w:vAlign w:val="bottom"/>
            <w:gridSpan w:val="5"/>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Securities in an unrealized loss</w:t>
            </w:r>
          </w:p>
        </w:tc>
        <w:tc>
          <w:tcPr>
            <w:tcW w:w="5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position for less than 12 months</w:t>
            </w:r>
          </w:p>
        </w:tc>
        <w:tc>
          <w:tcPr>
            <w:tcW w:w="260" w:type="dxa"/>
            <w:vAlign w:val="bottom"/>
          </w:tcPr>
          <w:p>
            <w:pPr>
              <w:spacing w:after="0"/>
              <w:rPr>
                <w:sz w:val="16"/>
                <w:szCs w:val="16"/>
                <w:color w:val="auto"/>
              </w:rPr>
            </w:pPr>
          </w:p>
        </w:tc>
        <w:tc>
          <w:tcPr>
            <w:tcW w:w="28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position for greater than 12 months</w:t>
            </w:r>
          </w:p>
        </w:tc>
        <w:tc>
          <w:tcPr>
            <w:tcW w:w="520" w:type="dxa"/>
            <w:vAlign w:val="bottom"/>
          </w:tcPr>
          <w:p>
            <w:pPr>
              <w:spacing w:after="0"/>
              <w:rPr>
                <w:sz w:val="16"/>
                <w:szCs w:val="16"/>
                <w:color w:val="auto"/>
              </w:rPr>
            </w:pPr>
          </w:p>
        </w:tc>
        <w:tc>
          <w:tcPr>
            <w:tcW w:w="13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unrealized losses</w:t>
            </w:r>
          </w:p>
        </w:tc>
        <w:tc>
          <w:tcPr>
            <w:tcW w:w="280" w:type="dxa"/>
            <w:vAlign w:val="bottom"/>
          </w:tcPr>
          <w:p>
            <w:pPr>
              <w:spacing w:after="0"/>
              <w:rPr>
                <w:sz w:val="16"/>
                <w:szCs w:val="16"/>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93,799</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57,747</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0" w:type="dxa"/>
            <w:vAlign w:val="bottom"/>
          </w:tcPr>
          <w:p>
            <w:pPr>
              <w:spacing w:after="0"/>
              <w:rPr>
                <w:sz w:val="1"/>
                <w:szCs w:val="1"/>
                <w:color w:val="auto"/>
              </w:rPr>
            </w:pPr>
          </w:p>
        </w:tc>
      </w:tr>
      <w:tr>
        <w:trPr>
          <w:trHeight w:val="25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57,363</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116,173</w:t>
            </w:r>
          </w:p>
        </w:tc>
        <w:tc>
          <w:tcPr>
            <w:tcW w:w="0" w:type="dxa"/>
            <w:vAlign w:val="bottom"/>
          </w:tcPr>
          <w:p>
            <w:pPr>
              <w:spacing w:after="0"/>
              <w:rPr>
                <w:sz w:val="1"/>
                <w:szCs w:val="1"/>
                <w:color w:val="auto"/>
              </w:rPr>
            </w:pPr>
          </w:p>
        </w:tc>
      </w:tr>
      <w:tr>
        <w:trPr>
          <w:trHeight w:val="21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0" w:type="dxa"/>
            <w:vAlign w:val="bottom"/>
          </w:tcPr>
          <w:p>
            <w:pPr>
              <w:spacing w:after="0"/>
              <w:rPr>
                <w:sz w:val="1"/>
                <w:szCs w:val="1"/>
                <w:color w:val="auto"/>
              </w:rPr>
            </w:pPr>
          </w:p>
        </w:tc>
      </w:tr>
      <w:tr>
        <w:trPr>
          <w:trHeight w:val="26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w:t>
            </w:r>
          </w:p>
        </w:tc>
        <w:tc>
          <w:tcPr>
            <w:tcW w:w="0" w:type="dxa"/>
            <w:vAlign w:val="bottom"/>
          </w:tcPr>
          <w:p>
            <w:pPr>
              <w:spacing w:after="0"/>
              <w:rPr>
                <w:sz w:val="1"/>
                <w:szCs w:val="1"/>
                <w:color w:val="auto"/>
              </w:rPr>
            </w:pPr>
          </w:p>
        </w:tc>
      </w:tr>
      <w:tr>
        <w:trPr>
          <w:trHeight w:val="191"/>
        </w:trPr>
        <w:tc>
          <w:tcPr>
            <w:tcW w:w="2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Total available-for-sale</w:t>
            </w: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tcPr>
          <w:p>
            <w:pPr>
              <w:spacing w:after="0"/>
              <w:rPr>
                <w:sz w:val="16"/>
                <w:szCs w:val="16"/>
                <w:color w:val="auto"/>
              </w:rPr>
            </w:pP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316,915</w:t>
            </w:r>
          </w:p>
        </w:tc>
        <w:tc>
          <w:tcPr>
            <w:tcW w:w="100" w:type="dxa"/>
            <w:vAlign w:val="bottom"/>
          </w:tcPr>
          <w:p>
            <w:pPr>
              <w:spacing w:after="0"/>
              <w:rPr>
                <w:sz w:val="16"/>
                <w:szCs w:val="16"/>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48,849</w:t>
            </w:r>
          </w:p>
        </w:tc>
        <w:tc>
          <w:tcPr>
            <w:tcW w:w="100" w:type="dxa"/>
            <w:vAlign w:val="bottom"/>
          </w:tcPr>
          <w:p>
            <w:pPr>
              <w:spacing w:after="0"/>
              <w:rPr>
                <w:sz w:val="16"/>
                <w:szCs w:val="1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80" w:type="dxa"/>
            <w:vAlign w:val="bottom"/>
          </w:tcPr>
          <w:p>
            <w:pPr>
              <w:spacing w:after="0"/>
              <w:rPr>
                <w:sz w:val="16"/>
                <w:szCs w:val="16"/>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365,764</w:t>
            </w:r>
          </w:p>
        </w:tc>
        <w:tc>
          <w:tcPr>
            <w:tcW w:w="0" w:type="dxa"/>
            <w:vAlign w:val="bottom"/>
          </w:tcPr>
          <w:p>
            <w:pPr>
              <w:spacing w:after="0"/>
              <w:rPr>
                <w:sz w:val="1"/>
                <w:szCs w:val="1"/>
                <w:color w:val="auto"/>
              </w:rPr>
            </w:pPr>
          </w:p>
        </w:tc>
      </w:tr>
      <w:tr>
        <w:trPr>
          <w:trHeight w:val="226"/>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regularly reviews the composition of its portfolio to determine the existence of credit impairment. The Company did not recognize any credit impairment losses during the three or nine months ended March 31, 2022 or 2023. All securities in the Company’s portfolio held an A-1 rating or better as of March 31, 2023.</w:t>
      </w:r>
    </w:p>
    <w:p>
      <w:pPr>
        <w:spacing w:after="0" w:line="13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make any material reclassification adjustments out of accumulated other comprehensive income for realized gains and losses on the sale of available-for-sale securities during the three or nine months ended March 31, 2022 or 2023. There were no realized gains or losses on the sale of available-for-sale securities for the three or nine months ended March 31, 2022 or 2023.</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maturities of available-for-sale securities at March 31, 2023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8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or less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339,603</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One year to two years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137,505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to three years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118,717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118,336</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Three years to five years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600,076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597,257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w:t>
      </w:r>
    </w:p>
    <w:p>
      <w:pPr>
        <w:spacing w:after="0" w:line="189" w:lineRule="exact"/>
        <w:rPr>
          <w:sz w:val="20"/>
          <w:szCs w:val="20"/>
          <w:color w:val="auto"/>
        </w:rPr>
      </w:pPr>
    </w:p>
    <w:p>
      <w:pPr>
        <w:ind w:right="200" w:firstLine="648"/>
        <w:spacing w:after="0" w:line="289"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31"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84"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4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measures certain cash and cash equivalents, accounts receivable, accounts payable and client fund obligations at fair value on a recurring basis using Level 1 inputs. The Company considers the recorded value of these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to approximate the fair value of the respective assets and liabilities at June 30, 2022 and March 31, 2023 based upon the short-term nature of these assets and liabilities.</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Marketable securities, consisting of securities classified as available-for-sale as well as certain cash equivalents, are recorded at fair value on a recurring basis using Level 2 inputs obtained from an independent pricing service. Available-for-sale securities include commercial paper, corporate bonds, asset-backed securities, certificates of deposit, U.S. treasury securities, U.S. government agency and other securities. The independent pricing service utilizes a variety of inputs including benchmark yields, broker/dealer quoted prices, reported trades, issuer spreads as well as other available market data. The Company, on a sample basis, validates the pricing from the independent pricing service against another third-party pricing source for reasonableness. The Company has not adjusted any prices obtained by the independent pricing service, as it believes they are appropriately valued. There were no available-for-sale securities classified in Level 3 of the fair value hierarchy at June 30, 2022 or March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level for the Company’s cash and cash equivalents and available-for-sale securities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139,756</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3,653,697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3,640,427</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31,836</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166,987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4,127,532</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3,780,183</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347,349</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83"/>
        </w:trPr>
        <w:tc>
          <w:tcPr>
            <w:tcW w:w="5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
        </w:trPr>
        <w:tc>
          <w:tcPr>
            <w:tcW w:w="5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20" w:type="dxa"/>
            <w:vAlign w:val="bottom"/>
          </w:tcPr>
          <w:p>
            <w:pPr>
              <w:spacing w:after="0"/>
              <w:rPr>
                <w:sz w:val="16"/>
                <w:szCs w:val="16"/>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6"/>
                <w:szCs w:val="16"/>
                <w:color w:val="auto"/>
              </w:rPr>
            </w:pPr>
          </w:p>
        </w:tc>
        <w:tc>
          <w:tcPr>
            <w:tcW w:w="11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50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233,692</w:t>
            </w:r>
          </w:p>
        </w:tc>
        <w:tc>
          <w:tcPr>
            <w:tcW w:w="8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Funds held for clients'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2,601,578</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117,798</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84,027</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597,257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597,257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3,436,107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2,835,270</w:t>
            </w: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600,837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5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Recorded at Fair Value on a Non-Recurring Basis</w:t>
      </w:r>
    </w:p>
    <w:p>
      <w:pPr>
        <w:spacing w:after="0" w:line="18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assets acquired and liabilities assumed in business combinations at fair value. Refer to Note 4 for further details on the fair value measurements of certain assets and liabilities recorded at fair value on a non-recurring basis.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July 2019, the Company entered into a revolving credit agreement with PNC Bank, National Association, and other lenders, which is secured by substantially all of the Company’s assets, subject to certain restrictions. In August 2022, the Company entered into a first amendment to the aforementioned credit agreement to increase the borrowing capacity of our revolving credit facility ("credit facility") to $550,000, which may be increased up to $825,000, subject to obtaining additional lender commitments and certain approvals and satisfying other requirements. The amended credit agreement extends the maturity date of the credit facility to August 2027 and replaces the interest rate based on London Interbank Offered Rate with an interest rate based on secured overnight financing rate ("SOFR"). The Company had no borrowings at June 30, 2022 or March 31, 2023.</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proceeds of any borrowings are to be used to fund working capital, capital expenditures and general corporate purposes, including permitted acquisitions, permitted investments, permitted distributions and share repurchases. The Company may generally borrow, prepay and reborrow under the credit facility and terminate or reduce the lenders’ commitments at any time prior to revolving credit facility expiration without a premium or a penalty, other than customary “breakage” costs.</w:t>
      </w:r>
    </w:p>
    <w:p>
      <w:pPr>
        <w:spacing w:after="0" w:line="13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Any borrowings under the credit facility will generally bear interest, at the Company’s option, at a rate per annum determined by reference to either the Term SOFR rate plus the SOFR Adjustment or an adjusted base rate, in each case plus an applicable margin ranging from 0.875% to 1.500% and 0.0% to 0.500%, respectively, based on the then-applicable net total leverage ratio. Additionally, the Company is required to pay certain commitment, letter of credit fronting and letter of credit participation fees on available and/or undrawn portions of the credit facility.</w:t>
      </w:r>
    </w:p>
    <w:p>
      <w:pPr>
        <w:spacing w:after="0" w:line="13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is required to comply with certain customary affirmative and negative covenants, including a requirement to maintain a maximum net total leverage ratio of not greater than 4.00 to 1.00, (with a step up to 4.50 to 1.00 for the 4 consecutive fiscal quarters following a fiscal quarter in which certain permitted acquisitions are consummated), and a minimum interest coverage ratio of not less than 2.00 to 1.00. As of March 31, 2023, the Company was in compliance with all of the aforementioned covenants.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maintained a 2008 Equity Incentive Plan (the “2008 Plan”) and continues to maintain a 2014 Equity Incentive Plan (the “2014 Plan”) pursuant to which the Company has reserved shares of its common stock for issuance to its employees, directors and non-employee third parties. The 2014 Plan serves as the successor to the 2008 Plan and permits the granting of restricted stock units and other equity incentives at the discretion of the compensation committee of the Company’s board of directors. No new awards have been or will be issued under the 2008 Plan since the effective date of the 2014 Plan. The number of shares of common stock reserved for issuance under the 2014 Plan may increase each calendar year, continuing through and including January 1, 2024. The number of shares added each year may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51"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2023, the Company had 13,742 shares allocated to the plans, of which 1,767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changes in the number of shares available for grant under the Company’s equity incentive plans during the nine months ended March 31, 2023:</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3"/>
                <w:szCs w:val="13"/>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95"/>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5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July 1, 2022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0"/>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in settlement of taxes and/or exercise price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0"/>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removed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82"/>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 for grant at March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Shares removed represents forfeitures of shares and shares withheld in settlement of taxes and/or payment of exercise price related to grants made under the 2008 Plan. As noted above, no new awards will be issued under the 2008 Plan, and there were no awards outstanding under the 2008 Plan as of March 31, 2023.</w:t>
      </w:r>
    </w:p>
    <w:p>
      <w:pPr>
        <w:spacing w:after="0" w:line="149" w:lineRule="exact"/>
        <w:rPr>
          <w:sz w:val="20"/>
          <w:szCs w:val="20"/>
          <w:color w:val="auto"/>
        </w:rPr>
      </w:pPr>
    </w:p>
    <w:p>
      <w:pPr>
        <w:ind w:right="360" w:firstLine="648"/>
        <w:spacing w:after="0" w:line="312" w:lineRule="auto"/>
        <w:rPr>
          <w:sz w:val="20"/>
          <w:szCs w:val="20"/>
          <w:color w:val="auto"/>
        </w:rPr>
      </w:pPr>
      <w:r>
        <w:rPr>
          <w:rFonts w:ascii="Times New Roman" w:cs="Times New Roman" w:eastAsia="Times New Roman" w:hAnsi="Times New Roman"/>
          <w:sz w:val="17"/>
          <w:szCs w:val="17"/>
          <w:color w:val="auto"/>
        </w:rPr>
        <w:t>Stock-based compensation expense related to restricted stock units (“RSUs”), market share units (“MSUs”) and the Employee Stock Purchase Plan is included in the following line items in the accompanying unaudited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272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Nine Months Ended March 31,</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13,460</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28,759</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11,485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31,380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44,640</w:t>
            </w: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24,395</w:t>
            </w:r>
          </w:p>
        </w:tc>
        <w:tc>
          <w:tcPr>
            <w:tcW w:w="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capitalized $1,886 and $2,888 of stock-based compensation expense in its capitalized internal-use software costs in the three months ended March 31, 2022 and 2023, respectively, and $5,312 and $8,984 during the nine months ended March 31, 2022 and 2023, respectively.</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There were no stock options granted during the nine months ended March 31, 2023. The table below presents stock option activity during the nine months ended March 31,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58"/>
        </w:trPr>
        <w:tc>
          <w:tcPr>
            <w:tcW w:w="5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62"/>
        </w:trPr>
        <w:tc>
          <w:tcPr>
            <w:tcW w:w="5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0" w:type="dxa"/>
            <w:vAlign w:val="bottom"/>
          </w:tcPr>
          <w:p>
            <w:pPr>
              <w:spacing w:after="0"/>
              <w:rPr>
                <w:sz w:val="14"/>
                <w:szCs w:val="14"/>
                <w:color w:val="auto"/>
              </w:rPr>
            </w:pPr>
          </w:p>
        </w:tc>
        <w:tc>
          <w:tcPr>
            <w:tcW w:w="13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5040" w:type="dxa"/>
            <w:vAlign w:val="bottom"/>
          </w:tcPr>
          <w:p>
            <w:pPr>
              <w:spacing w:after="0"/>
              <w:rPr>
                <w:sz w:val="16"/>
                <w:szCs w:val="16"/>
                <w:color w:val="auto"/>
              </w:rPr>
            </w:pPr>
          </w:p>
        </w:tc>
        <w:tc>
          <w:tcPr>
            <w:tcW w:w="14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120" w:type="dxa"/>
            <w:vAlign w:val="bottom"/>
          </w:tcPr>
          <w:p>
            <w:pPr>
              <w:spacing w:after="0"/>
              <w:rPr>
                <w:sz w:val="16"/>
                <w:szCs w:val="16"/>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July 1, 2022</w:t>
            </w:r>
          </w:p>
        </w:tc>
        <w:tc>
          <w:tcPr>
            <w:tcW w:w="1480" w:type="dxa"/>
            <w:vAlign w:val="bottom"/>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548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85,515</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480" w:type="dxa"/>
            <w:vAlign w:val="bottom"/>
            <w:tcBorders>
              <w:bottom w:val="single" w:sz="8" w:color="auto"/>
            </w:tcBorders>
          </w:tcPr>
          <w:p>
            <w:pPr>
              <w:jc w:val="center"/>
              <w:ind w:left="934"/>
              <w:spacing w:after="0"/>
              <w:rPr>
                <w:sz w:val="20"/>
                <w:szCs w:val="20"/>
                <w:color w:val="auto"/>
              </w:rPr>
            </w:pPr>
            <w:r>
              <w:rPr>
                <w:rFonts w:ascii="Times New Roman" w:cs="Times New Roman" w:eastAsia="Times New Roman" w:hAnsi="Times New Roman"/>
                <w:sz w:val="18"/>
                <w:szCs w:val="18"/>
                <w:color w:val="auto"/>
                <w:w w:val="97"/>
              </w:rPr>
              <w:t>(253)</w:t>
            </w:r>
          </w:p>
        </w:tc>
        <w:tc>
          <w:tcPr>
            <w:tcW w:w="24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 balance at March 31, 2023</w:t>
            </w:r>
          </w:p>
        </w:tc>
        <w:tc>
          <w:tcPr>
            <w:tcW w:w="1480" w:type="dxa"/>
            <w:vAlign w:val="bottom"/>
            <w:tcBorders>
              <w:bottom w:val="single" w:sz="8" w:color="auto"/>
            </w:tcBorders>
            <w:shd w:val="clear" w:color="auto" w:fill="CCEEFF"/>
          </w:tcPr>
          <w:p>
            <w:pPr>
              <w:jc w:val="center"/>
              <w:ind w:left="974"/>
              <w:spacing w:after="0"/>
              <w:rPr>
                <w:sz w:val="20"/>
                <w:szCs w:val="20"/>
                <w:color w:val="auto"/>
              </w:rPr>
            </w:pPr>
            <w:r>
              <w:rPr>
                <w:rFonts w:ascii="Times New Roman" w:cs="Times New Roman" w:eastAsia="Times New Roman" w:hAnsi="Times New Roman"/>
                <w:sz w:val="18"/>
                <w:szCs w:val="18"/>
                <w:color w:val="auto"/>
                <w:w w:val="96"/>
              </w:rPr>
              <w:t>295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exercisable at March 31, 2023</w:t>
            </w:r>
          </w:p>
        </w:tc>
        <w:tc>
          <w:tcPr>
            <w:tcW w:w="1480" w:type="dxa"/>
            <w:vAlign w:val="bottom"/>
            <w:tcBorders>
              <w:bottom w:val="single" w:sz="8" w:color="auto"/>
            </w:tcBorders>
          </w:tcPr>
          <w:p>
            <w:pPr>
              <w:jc w:val="center"/>
              <w:ind w:left="974"/>
              <w:spacing w:after="0"/>
              <w:rPr>
                <w:sz w:val="20"/>
                <w:szCs w:val="20"/>
                <w:color w:val="auto"/>
              </w:rPr>
            </w:pPr>
            <w:r>
              <w:rPr>
                <w:rFonts w:ascii="Times New Roman" w:cs="Times New Roman" w:eastAsia="Times New Roman" w:hAnsi="Times New Roman"/>
                <w:sz w:val="18"/>
                <w:szCs w:val="18"/>
                <w:color w:val="auto"/>
                <w:w w:val="96"/>
              </w:rPr>
              <w:t>295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51,664</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options exercised was $1,819 and $2,011 during the three months ended March 31, 2022 and 2023, respectively, and $49,446 and $51,638 during the nine months ended March 31, 2022 and 2023, respectively.</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Company grants RSUs under the 2014 Plan with terms determined at the discretion of the compensation committee of the Company’s board of directors. RSUs generally vest over four years following the grant date and have time-based vesting conditions.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restricted stock unit activity during the nine months ended March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96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July 1, 2022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168.44</w:t>
            </w:r>
          </w:p>
        </w:tc>
      </w:tr>
      <w:tr>
        <w:trPr>
          <w:trHeight w:val="250"/>
        </w:trPr>
        <w:tc>
          <w:tcPr>
            <w:tcW w:w="9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257.88</w:t>
            </w:r>
          </w:p>
        </w:tc>
      </w:tr>
      <w:tr>
        <w:trPr>
          <w:trHeight w:val="263"/>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vested</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RSUs forfeited</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162.78</w:t>
            </w:r>
          </w:p>
        </w:tc>
      </w:tr>
      <w:tr>
        <w:trPr>
          <w:trHeight w:val="277"/>
        </w:trPr>
        <w:tc>
          <w:tcPr>
            <w:tcW w:w="9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 balance at March 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At March 31, 2023, there was $142,316 of total unrecognized compensation cost, net of estimated forfeitures, related to unvested restricted stock units granted. That cost is expected to be recognized over a weighted average period of 1.9 years.</w:t>
      </w:r>
    </w:p>
    <w:p>
      <w:pPr>
        <w:spacing w:after="0" w:line="13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also grants MSUs under the 2014 Plan with terms determined at the discretion of the compensation committee of the Company's board of directors. The actual number of MSUs that will be eligible to vest is based on the achievement of a relative total shareholder return (“TSR”) target as compared to the TSR realized by each of the companies comprising the Russell 3000 Index over an approximately three-year period. The MSUs cliff-vest at the end of the TSR measurement period, and up to 200% of the target number of shares subject to each MSU are eligible to be earned.</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represents market share unit activity during the nine months ended March 31,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180" w:type="dxa"/>
            <w:vAlign w:val="bottom"/>
          </w:tcPr>
          <w:p>
            <w:pPr>
              <w:spacing w:after="0"/>
              <w:rPr>
                <w:sz w:val="16"/>
                <w:szCs w:val="16"/>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23"/>
        </w:trPr>
        <w:tc>
          <w:tcPr>
            <w:tcW w:w="8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0"/>
        </w:trPr>
        <w:tc>
          <w:tcPr>
            <w:tcW w:w="9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 balance at July 1, 2022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263.83</w:t>
            </w:r>
          </w:p>
        </w:tc>
      </w:tr>
      <w:tr>
        <w:trPr>
          <w:trHeight w:val="250"/>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MSUs 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387.67</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MSUs forfeited</w:t>
            </w:r>
          </w:p>
        </w:tc>
        <w:tc>
          <w:tcPr>
            <w:tcW w:w="102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313.81</w:t>
            </w:r>
          </w:p>
        </w:tc>
      </w:tr>
      <w:tr>
        <w:trPr>
          <w:trHeight w:val="256"/>
        </w:trPr>
        <w:tc>
          <w:tcPr>
            <w:tcW w:w="9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MSU balance at March 31, 2023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317.94</w:t>
            </w:r>
          </w:p>
        </w:tc>
      </w:tr>
      <w:tr>
        <w:trPr>
          <w:trHeight w:val="20"/>
        </w:trPr>
        <w:tc>
          <w:tcPr>
            <w:tcW w:w="8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grant date fair value of the MSUs using a Monte Carlo simulation model that included the following assumptions:</w:t>
      </w:r>
    </w:p>
    <w:p>
      <w:pPr>
        <w:spacing w:after="0" w:line="24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5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47.4 - 47.5%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51.0 - 52.7%</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2.92 - 3.04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2.75 - 3.04</w:t>
            </w:r>
          </w:p>
        </w:tc>
      </w:tr>
      <w:tr>
        <w:trPr>
          <w:trHeight w:val="263"/>
        </w:trPr>
        <w:tc>
          <w:tcPr>
            <w:tcW w:w="818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0.43 - 0.47%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3.11 - 4.01%</w:t>
            </w:r>
          </w:p>
        </w:tc>
      </w:tr>
    </w:tbl>
    <w:p>
      <w:pPr>
        <w:spacing w:after="0" w:line="25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March 31, 2023, there was $28,481 of total unrecognized compensation cost, net of estimated forfeitures, related to unvested MSUs. That cost is expected to be recognized over a period of 2.2 years.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Litigation</w:t>
      </w:r>
    </w:p>
    <w:p>
      <w:pPr>
        <w:spacing w:after="0" w:line="189"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On November 16, 2020, a potential class action complaint was filed against the Company with the Circuit Court of Cook County alleging that the Company violated the Illinois Biometric Information Privacy Act. The complaint seeks statutory damages, attorney’s fees and other costs. The Company is unable to estimate any reasonably possible loss, or range of loss, with respect to this matter at this time. The Company intends to vigorously defend against this lawsuit.</w:t>
      </w:r>
    </w:p>
    <w:p>
      <w:pPr>
        <w:spacing w:after="0" w:line="15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litigation arising in the ordinary course of business. Many of these matters are covered in whole or in part by insurance. In the opinion of the Company’s management, the ultimate disposition of any matters currently outstanding or threatened will not have a material adverse effect on the Company’s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financial position, results of operations, or liquidity. However, these matters are subject to inherent uncertainties and could materially impact the Company’s financial position, results of operations, or liquidity based on the final disposition of these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Company’s quarterly provision for income taxes is based on the annual effective rate method. The Company’s quarterly provision for income taxes also includes the tax impact of certain unusual or infrequently occurring items, if any, including changes in judgment about valuation allowances and effects of changes in tax laws or rates, and other discrete items in the interim period in which they occur.</w:t>
      </w:r>
    </w:p>
    <w:p>
      <w:pPr>
        <w:spacing w:after="0" w:line="135"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(the "IRA") was signed into law and contains a number of tax related provisions. The Company evaluated the provisions of the IRA and concluded that it does not have a material impact on the Company's consolidated financial statements.</w:t>
      </w:r>
    </w:p>
    <w:p>
      <w:pPr>
        <w:spacing w:after="0" w:line="108" w:lineRule="exact"/>
        <w:rPr>
          <w:sz w:val="20"/>
          <w:szCs w:val="20"/>
          <w:color w:val="auto"/>
        </w:rPr>
      </w:pPr>
    </w:p>
    <w:p>
      <w:pPr>
        <w:ind w:right="220"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26.0% and 29.3% for the three months ended March 31, 2022 and 2023, respectively. The Company’s effective tax rate for the three months ended March 31, 2022 was higher than the federal statutory rate of 21% primarily due to an increase in non-deductible stock-based compensation under Internal Revenue Code Section 162(m), partially offset by research and development tax credits. The Company's effective tax rate for the three months ended March 31, 2023 was higher than the federal statutory rate of 21% primarily due to an increase to non-deductible stock-based compensation under Internal Revenue Code Section 162(m) and state and local income taxes.</w:t>
      </w:r>
    </w:p>
    <w:p>
      <w:pPr>
        <w:spacing w:after="0" w:line="212"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The Company's effective tax rate was (16.4)% and 2.9% for the nine months ended March 31, 2022 and 2023, respectively. The Company's effective tax rate for the nine months ended March 31, 2022 was lower than the federal statutory rate of 21% primarily due to excess tax benefits from employee stock-based compensation, research and development tax credits, and state and local income taxes. The Company's effective tax rate for the nine months ended March 31, 2023 was lower than the federal statutory rate of 21% primarily due to excess tax benefits from employee stock-based compensation, research and development tax credits and a decrease in the valuation allowance.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Basic net income per common share is computed using the weighted-average number of common shares outstanding during the period. Diluted net income per share is computed using the weighted-average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market share units as of the balance sheet date. The following table presents the calculation of basic and diluted net income per share: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tcPr>
          <w:p>
            <w:pPr>
              <w:spacing w:after="0"/>
              <w:rPr>
                <w:sz w:val="15"/>
                <w:szCs w:val="15"/>
                <w:color w:val="auto"/>
              </w:rPr>
            </w:pPr>
          </w:p>
        </w:tc>
        <w:tc>
          <w:tcPr>
            <w:tcW w:w="246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34,846</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57,616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103,568</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55,114</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55,788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54,996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55,653</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effect of potentially dilutive shares: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stock options, restricted stock units and market share</w:t>
            </w:r>
          </w:p>
        </w:tc>
        <w:tc>
          <w:tcPr>
            <w:tcW w:w="90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4"/>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units</w:t>
            </w: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56,367</w:t>
            </w: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56,555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56,560</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21"/>
                <w:szCs w:val="21"/>
                <w:color w:val="auto"/>
              </w:rPr>
            </w:pP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918"/>
        </w:trPr>
        <w:tc>
          <w:tcPr>
            <w:tcW w:w="5040" w:type="dxa"/>
            <w:vAlign w:val="bottom"/>
          </w:tcPr>
          <w:p>
            <w:pPr>
              <w:spacing w:after="0"/>
              <w:rPr>
                <w:sz w:val="24"/>
                <w:szCs w:val="24"/>
                <w:color w:val="auto"/>
              </w:rPr>
            </w:pPr>
          </w:p>
        </w:tc>
        <w:tc>
          <w:tcPr>
            <w:tcW w:w="9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0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outstanding restricted stock units and market share units as of March 31, 2022 and 2023 that were excluded from the diluted per share calculation for the periods presented because to include them would have been antidilutive: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640" w:type="dxa"/>
            <w:vAlign w:val="bottom"/>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3"/>
          </w:tcPr>
          <w:p>
            <w:pPr>
              <w:jc w:val="center"/>
              <w:ind w:left="8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gridSpan w:val="3"/>
          </w:tcPr>
          <w:p>
            <w:pPr>
              <w:jc w:val="center"/>
              <w:ind w:left="8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610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share units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0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7"/>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92"/>
        </w:trPr>
        <w:tc>
          <w:tcPr>
            <w:tcW w:w="610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items discussed below and impacts from the novel coronavirus disease (COVID-19) as discussed in “Item 1A. Risk Factors” of our Annual Report on Form 10-K for the fiscal year ended June 30, 2022 filed with the SEC on August 5,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We are a leading cloud-based provider of human capital management, or HCM, and payroll software solutions that deliver a comprehensive platform for the modern workforce. Our HCM and payroll platform offers an intuitive, easy-to-use product suite that helps businesses attract and retain talent, build culture and connection with their employees, and streamline and automate HR and payroll processes.</w:t>
      </w:r>
    </w:p>
    <w:p>
      <w:pPr>
        <w:spacing w:after="0" w:line="135"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Effective management of human capital is a core function in all organizations and requires a significant commitment of resources. Our cloud-based software solutions, combined with our unified database architecture, are highly flexible and configurable and feature a modern, intuitive user experience. Our platform offers automated data integration with hundreds of third-party partner systems, such as 401(k), benefits and insurance provider systems. We plan to continue to invest in research and development efforts that will allow us to offer a broader selection of products to new and existing clients focused on experiences that solve our clients’ challenges.</w:t>
      </w:r>
    </w:p>
    <w:p>
      <w:pPr>
        <w:spacing w:after="0" w:line="1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significant opportunity to grow our business by increasing our number of clients and we intend to invest in our business to achieve this purpose. We market and sell our solutions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of solutions that clients purchase from us. To do so, we must continue to enhance and grow the number of solutions we offer to advance our platform.</w:t>
      </w:r>
    </w:p>
    <w:p>
      <w:pPr>
        <w:spacing w:after="0" w:line="143"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We also believe that delivering a positive service experience is an essential element of our ability to sell our solutions and retain our clients. We supplement our comprehensive software solutions with an integrated implementation and client service organization, all of which are designed to meet the needs of our clients and prospects. We expect to continue to invest in and grow our implementation and client service organization as our client base grows.</w:t>
      </w:r>
    </w:p>
    <w:p>
      <w:pPr>
        <w:spacing w:after="0" w:line="11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will continue to invest across our entire organization as we continue to grow our business over the long term. These investments include increasing the number of personnel across all functional areas, along with improving our solutions and infrastructure to support our growth. The timing and amount of these investments vary based on the rate at which we add new clients and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Paylocity Holding Corporation is a Delaware corporation, which was formed in November 2013. Our business operations are conducted by our wholly owned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18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Growth</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Our recurring revenue model and high annual revenue retention rates provide significant visibility into our future operating results and cash flow from operations. This visibility enables us to better manage and invest in our business. Total revenues increased from $246.0 million for the three months ended March 31, 2022 to $339.9 million for the three months ended March 31, 2023, representing a 38% year-over-year increase. Total revenues increased from $623.7 million for the nine months ended March 31, 2022 to $866.1 million for the nine months ended March 31, 2023, representing a</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39% year-over-year increase. The increase in year-over-year revenue growth was driven by the strong performance by our sales team and also increases in client workforce levels and growth in interest income on funds held for clients attributable to rising interest rates and higher average daily balances for funds held for clients due to new clients and increases in client workforce levels as compared to the prior fiscal year. Our revenue growth in future periods may be impacted by fluctuations in client employee counts, potential increases in client losses, a changing interest rate environment, uncertainties around market and economic conditions including inflation risk, among other factors.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Adjusted EBITDA</w:t>
      </w:r>
    </w:p>
    <w:p>
      <w:pPr>
        <w:spacing w:after="0" w:line="202"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We disclose Adjusted Gross Profit and Adjusted EBITDA because we use them to evaluate our performance, and we believe Adjusted Gross Profit and Adjusted EBITDA assist in the comparison of our performance across reporting periods by excluding certain items that we do not believe are indicative of our core operating performance. We believe these metrics are used in the financial community, and we present them to enhance investors’ understanding of our operating performance and cash flows.</w:t>
      </w:r>
    </w:p>
    <w:p>
      <w:pPr>
        <w:spacing w:after="0" w:line="13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Adjusted Gross Profit and Adjusted EBITDA are not measurements of financial performance under generally accepted accounting principles in the United States (“GAAP”), and you should not consider Adjusted Gross Profit as an alternative to gross profit or Adjusted EBITDA as an alternative to net income or cash provided by operating activities, in each case as determined in accordance with GAAP. In addition, our definition of Adjusted Gross Profit and Adjusted EBITDA may be different than the definition utilized for similarly-titled measures used by other companies.</w:t>
      </w:r>
    </w:p>
    <w:p>
      <w:pPr>
        <w:spacing w:after="0" w:line="13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Gross Profit as gross profit before amortization of capitalized internal-use software costs, amortization of certain acquired intangibles, stock-based compensation expense and employer payroll taxes related to stock releases and option exercises, and other items as defined below. We define Adjusted EBITDA as net income before interest expense, income tax expense (benefit), depreciation and amortization expense, stock-based compensation expense and employer payroll taxes related to stock releases and option exercises and other items as defined below.</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sets forth our Adjusted Gross Profit and Adjusted EBITDA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8"/>
                <w:szCs w:val="18"/>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179,764</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638,592</w:t>
            </w:r>
          </w:p>
        </w:tc>
      </w:tr>
      <w:tr>
        <w:trPr>
          <w:trHeight w:val="24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85,717</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274,628</w:t>
            </w:r>
          </w:p>
        </w:tc>
      </w:tr>
      <w:tr>
        <w:trPr>
          <w:trHeight w:val="47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24"/>
                <w:szCs w:val="24"/>
                <w:color w:val="auto"/>
              </w:rPr>
            </w:pPr>
          </w:p>
        </w:tc>
        <w:tc>
          <w:tcPr>
            <w:tcW w:w="18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24"/>
                <w:szCs w:val="24"/>
                <w:color w:val="auto"/>
              </w:rPr>
            </w:pPr>
          </w:p>
        </w:tc>
      </w:tr>
      <w:tr>
        <w:trPr>
          <w:trHeight w:val="190"/>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Gross Profit to Adjusted Gross Profit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170,432</w:t>
            </w:r>
          </w:p>
        </w:tc>
        <w:tc>
          <w:tcPr>
            <w:tcW w:w="8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244,143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414,096</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595,812</w:t>
            </w: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internal-use software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18,523</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certain acquired intangibles</w:t>
            </w:r>
          </w:p>
        </w:tc>
        <w:tc>
          <w:tcPr>
            <w:tcW w:w="3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5,561</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14,696</w:t>
            </w: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items (1)</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81"/>
        </w:trPr>
        <w:tc>
          <w:tcPr>
            <w:tcW w:w="5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Gross Profit</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179,764</w:t>
            </w:r>
          </w:p>
        </w:tc>
        <w:tc>
          <w:tcPr>
            <w:tcW w:w="80" w:type="dxa"/>
            <w:vAlign w:val="bottom"/>
            <w:tcBorders>
              <w:top w:val="single" w:sz="8" w:color="CCEEFF"/>
              <w:bottom w:val="single" w:sz="8" w:color="auto"/>
            </w:tcBorders>
            <w:shd w:val="clear" w:color="auto" w:fill="CCEEFF"/>
          </w:tcPr>
          <w:p>
            <w:pPr>
              <w:spacing w:after="0"/>
              <w:rPr>
                <w:sz w:val="24"/>
                <w:szCs w:val="24"/>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442,545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638,592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31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from Net income to Adjusted EBITDA</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34,846</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103,568</w:t>
            </w: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12,221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13,036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36,419</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44,481</w:t>
            </w:r>
          </w:p>
        </w:tc>
      </w:tr>
      <w:tr>
        <w:trPr>
          <w:trHeight w:val="25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60,271</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151,690</w:t>
            </w: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and employer payroll taxes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4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to stock releases and option exercises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24,640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74,866</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122,492</w:t>
            </w: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items (2)</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82"/>
        </w:trPr>
        <w:tc>
          <w:tcPr>
            <w:tcW w:w="5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EBITDA</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85,717</w:t>
            </w:r>
          </w:p>
        </w:tc>
        <w:tc>
          <w:tcPr>
            <w:tcW w:w="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178,456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acquisition-related costs.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nonrecurring costs including acquisition and other transaction-related costs and lease exit activity.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derive the majority of our revenues from recurring fees attributable to our cloud-based HCM and payroll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We charge implementation fees for professional services provided to implement our HCM and payroll solutions. Implementations of our payroll solutions typically require one to eight weeks, depending on the size and complexity of each client, at which point the new client’s payroll is first processed using our solution. We implement additional HCM products as requested by clients and leverage the data within our payroll solution to accelerate our implementation processes. Our average client size has continued to be over 100 employees.</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number of client employees on our platform and the mix of products purchased by a client as well as the timing of services provided with respect to those client employees can vary each period. As such, the number of client employees on our system is not a good indicator of our financial results in any given period. Recurring and other revenue accounted for 100% and 92% of our total revenues for the three months ended March 31, 2022 and 2023, respectively, and 100% and 94% for the nine months ended March 31, 2022 and 2023, respectively.</w:t>
      </w:r>
    </w:p>
    <w:p>
      <w:pPr>
        <w:spacing w:after="0" w:line="13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While the majority of our agreements with clients are generally cancellable by the client on 60 days’ notice or less, we also have term agreements, which are generally two years in length. Our agreements do not include general rights of return and do not provide clients with the right to take possession of the software supporting the services being provided. We recognize recurring fees in the period in which services are provided and the related performance obligations have been satisfied. We defer implementation fees related to our proprietary products over a period generally up to 24 months.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demand deposit accounts with financial institutions with which we have automated clearing house, or ACH, arrangements. We also earn interest by investing a portion of funds held for clients in highly liquid, investment-grade marketable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Cost of revenues includes costs to provide our HCM and payroll solutions which primarily consists of employee-related expenses, including wages, stock-based compensation, bonuses and benefits, relating to the provision of ongoing client support and implementation activities, payroll tax filing, distribution of printed checks and other materials as well as delivery costs, computing costs, amortization of certain acquired intangibles and bank fees associated with client fund transfers. Costs related to recurring support are generally expensed as incurred. Implementation costs related to our proprietary products are capitalized and amortized over a period of 7 years. Our cost of revenues is expected to increase in absolute dollars for the foreseeable future as we increase our client base. However, we expect to realize cost efficiencies over the long term as our business scales, resulting in improved operating leverage and increased margins.</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We also capitalize a portion of our internal-use software costs, which are then primarily amortized as Cost of revenues. We amortized $6.3 million and $8.0 million of capitalized internal-use software costs during the three months ended March 31, 2022 and 2023, respectively, and $18.5 million and $22.5 million of capitalized internal-use software costs during the nine months ended March 31, 2022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consist primarily of employee-related expenses for our direct sales and marketing staff, including wages, commissions, stock-based compensation, bonuses, benefits, marketing expenses and other related costs. Our sales personnel earn commissions and bonuses for attainment of certain performance criteria based on new sales throughout the fiscal year. We capitalize certain selling and commission costs related to new contracts or purchases of additional services by our existing clients and amortize them over a period of 7 years.</w:t>
      </w:r>
    </w:p>
    <w:p>
      <w:pPr>
        <w:spacing w:after="0" w:line="13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for our research and development and product management teams,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3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nine months ended March 31, 2022 and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460" w:type="dxa"/>
            <w:vAlign w:val="bottom"/>
            <w:gridSpan w:val="4"/>
          </w:tcPr>
          <w:p>
            <w:pPr>
              <w:jc w:val="center"/>
              <w:ind w:left="4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6"/>
                <w:szCs w:val="16"/>
                <w:color w:val="auto"/>
              </w:rPr>
            </w:pPr>
          </w:p>
        </w:tc>
      </w:tr>
      <w:tr>
        <w:trPr>
          <w:trHeight w:val="23"/>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9"/>
        </w:trPr>
        <w:tc>
          <w:tcPr>
            <w:tcW w:w="5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gridSpan w:val="3"/>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portion of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38,893</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Expensed portion of research and development</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25,670</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42,323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123,445</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9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36,584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162,338</w:t>
            </w:r>
          </w:p>
        </w:tc>
      </w:tr>
    </w:tbl>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costs, including wages, stock-based compensation, bonuses and benefits for our finance and accounting, legal, information systems, human resources and other administrative departments. Additional expenses include consulting and professional fees, occupancy costs, insurance and other corporate expenses. We expect our general and administrative expenses to continue to increase in absolute dollars as our company continues to grow.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Other income (expense) generally consists of interest income related to interest earned on our cash and cash equivalents, net of losses on disposals of property and equipment and interest expense related to our revolving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r>
      <w:tr>
        <w:trPr>
          <w:trHeight w:val="195"/>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9"/>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center"/>
              <w:ind w:lef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3"/>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9"/>
                <w:szCs w:val="19"/>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620,827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816,010</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50,135</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866,145</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209,608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270,333</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595,812</w:t>
            </w: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154,856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220,821</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123,445</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44,632</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145,872</w:t>
            </w: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123,054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348,328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490,138</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105,674</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23"/>
        </w:trPr>
        <w:tc>
          <w:tcPr>
            <w:tcW w:w="50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106,645</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103,568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statements of operations data as a percentage of total revenues for each of the periods indicated.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left="4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0"/>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23"/>
        </w:trPr>
        <w:tc>
          <w:tcPr>
            <w:tcW w:w="47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2022 and 2023</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 in thousands)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7"/>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4"/>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vMerge w:val="continue"/>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25,687</w:t>
            </w:r>
          </w:p>
        </w:tc>
        <w:tc>
          <w:tcPr>
            <w:tcW w:w="100" w:type="dxa"/>
            <w:vAlign w:val="bottom"/>
            <w:shd w:val="clear" w:color="auto" w:fill="CCEEFF"/>
          </w:tcPr>
          <w:p>
            <w:pPr>
              <w:spacing w:after="0"/>
              <w:rPr>
                <w:sz w:val="19"/>
                <w:szCs w:val="19"/>
                <w:color w:val="auto"/>
              </w:rPr>
            </w:pPr>
          </w:p>
        </w:tc>
        <w:tc>
          <w:tcPr>
            <w:tcW w:w="4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2,448 %</w:t>
            </w:r>
          </w:p>
        </w:tc>
        <w:tc>
          <w:tcPr>
            <w:tcW w:w="0" w:type="dxa"/>
            <w:vAlign w:val="bottom"/>
          </w:tcPr>
          <w:p>
            <w:pPr>
              <w:spacing w:after="0"/>
              <w:rPr>
                <w:sz w:val="1"/>
                <w:szCs w:val="1"/>
                <w:color w:val="auto"/>
              </w:rPr>
            </w:pPr>
          </w:p>
        </w:tc>
      </w:tr>
      <w:tr>
        <w:trPr>
          <w:trHeight w:val="234"/>
        </w:trPr>
        <w:tc>
          <w:tcPr>
            <w:tcW w:w="4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20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three months ended March 31, 2023 increased by $69.2 million, or 28%, to $314.2 million from $245.0 million for three months ended March 31, 2022. Recurring and other revenue increased primarily as a result of incremental revenues from new and existing clients due to the strong performance by our sales team and also increases in client workforce levels as compared to the prior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three months ended March 31, 2023 increased by $24.7 million, or 2,448%, to $25.7 million from $1.0 million for the three months ended March 31, 2022. Interest income on funds held for clients increased primarily due to higher interest rates and higher average daily balances for funds held due to the addition of new clients to our client base and also increases in client workforce levels as compared to the prior fiscal year.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w w:val="96"/>
              </w:rPr>
              <w:t>75,538</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95,714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20,176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Cost of revenues for the three months ended March 31, 2023 increased by $20.2 million, or 27%, to $95.7 million from $75.5 million for the three months ended March 31, 2022. Cost of revenues increased primarily as a result of the continued growth of our business, in particular, $11.3 million in additional employee-related costs resulting from additional personnel necessary to provide services to new and existing clients and $4.1 million in additional delivery and other processing costs. Gross margin increased from 69% for the three months ended March 31, 2022 to 72% for the three months ended March 31, 2023, which was primarily driven by total revenue growth and improved operating leverage.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52,752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74,064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21,312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three months ended March 31, 2023 increased by $21.3 million, or 40%, to $74.1 million from $52.8 million for the three months ended March 31, 2022. The increase in sales and marketing expense was primarily due to $14.2 million of additional employee-related costs, including those incurred to expand our sales team. The increase was also driven by $3.7 million of additional stock-based compensation costs associated with our equity incentive plan.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25,670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42,323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16,653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2023 increased by $16.7 million, or 65%, to $42.3 million from $25.7 million for the three months ended March 31, 2022. The increase in research and development expenses was primarily due to $13.4 million of additional employee-related costs related to additional development personnel and $3.8 million of additional stock-based compensation costs associated with our equity incentive plan, partially offset by $3.2 million in higher period-over-period capitalized internal-use software costs.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44,632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47,379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2,747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2023 increased by $2.7 million, or 6%, to $47.4 million from $44.6 million for the three months ended March 31, 2022. The increase in general and administrative expense was primarily due to $3.2 million in additional employee-related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for the three months ended March 31, 2023 increased $1.4 million as compared to the three months ended March 31, 2022. The change in other income (expense) was primarily due to higher interest income earned on our cash and cash equivalents as a result of higher interest rates.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ind w:right="40" w:firstLine="648"/>
        <w:spacing w:after="0" w:line="232" w:lineRule="auto"/>
        <w:rPr>
          <w:sz w:val="20"/>
          <w:szCs w:val="20"/>
          <w:color w:val="auto"/>
        </w:rPr>
      </w:pPr>
      <w:r>
        <w:rPr>
          <w:rFonts w:ascii="Times New Roman" w:cs="Times New Roman" w:eastAsia="Times New Roman" w:hAnsi="Times New Roman"/>
          <w:sz w:val="18"/>
          <w:szCs w:val="18"/>
          <w:color w:val="auto"/>
        </w:rPr>
        <w:t>Our effective tax rate was 26.0% and 29.3% for the three months ended March 31, 2022 and 2023, respectively. Our effective tax rate for the three months ended March 31, 2022 was higher than the federal statutory rate of 21% primarily due to an increase in non-deductible stock-based compensation under Internal Revenue Code Section 162(m), partially offset by research and development tax credits. Our effective tax rate for the three months ended March 31, 2023 was higher than the federal statutory rate of 21% primarily due to an increase to non-deductible stock-based compensation under Internal Revenue Code Section 162(m) and state and local income taxes.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March 31, 2022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20" w:type="dxa"/>
            <w:vAlign w:val="bottom"/>
            <w:gridSpan w:val="3"/>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Recurring and other revenue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620,827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816,010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30"/>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funds held for clients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2,877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50,135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1,643 %</w:t>
            </w:r>
          </w:p>
        </w:tc>
        <w:tc>
          <w:tcPr>
            <w:tcW w:w="0" w:type="dxa"/>
            <w:vAlign w:val="bottom"/>
          </w:tcPr>
          <w:p>
            <w:pPr>
              <w:spacing w:after="0"/>
              <w:rPr>
                <w:sz w:val="1"/>
                <w:szCs w:val="1"/>
                <w:color w:val="auto"/>
              </w:rPr>
            </w:pPr>
          </w:p>
        </w:tc>
      </w:tr>
      <w:tr>
        <w:trPr>
          <w:trHeight w:val="234"/>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and Other Revenue</w:t>
      </w:r>
    </w:p>
    <w:p>
      <w:pPr>
        <w:spacing w:after="0" w:line="18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Recurring and other revenue for the nine months ended March 31, 2023 increased by $195.2 million, or 31%, to $816.0 million from $620.8 million for nine months ended March 31, 2022. Recurring and other revenue increased primarily as a result of incremental revenues from new and existing clients due to the strong performance by our sales team and also increases in client workforce levels as compared to the prior fiscal year.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on Funds Held for Clients</w:t>
      </w:r>
    </w:p>
    <w:p>
      <w:pPr>
        <w:spacing w:after="0" w:line="20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Interest income on funds held for clients for the nine months ended March 31, 2023 increased by $47.3 million, or 1,643%, to $50.1 million from $2.9 million for the nine months ended March 31, 2022. Interest income on funds held for clients increased primarily due to higher interest rates and higher average daily balances for funds held due to the addition of new clients to our client base and also increases in client workforce levels as compared to the prior fiscal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209,608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270,333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60,725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4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Cost of revenues for the nine months ended March 31, 2023 increased by $60.7 million, or 29%, to $270.3 million from $209.6 million for the nine months ended March 31, 2022. Cost of revenues increased primarily as a result of the continued growth of our business, in particular, $32.4 million in additional employee-related costs resulting from additional personnel necessary to provide services to new and existing clients, $14.3 million in additional delivery and other processing costs, and $4.6 million in additional stock-based compensation costs associated with our equity incentive plan. Gross margin increased from 66% for the nine months ended March 31, 2022 to 69% for the nine months ended March 31, 2023, which was primarily driven by total revenue growth and improved operating leverage.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 thousands)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154,856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220,821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65,965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expenses for the nine months ended March 31, 2023 increased by $66.0 million, or 43%, to $220.8 million from $154.9 million for the nine months ended March 31, 2022. The increase in sales and marketing expense was primarily due to $42.0 million of additional employee-related costs, including those incurred to expand our sales team. The increase was also driven by $13.1 million of additional stock-based compensation costs associated with our equity incentive plan and $6.6 million in additional marketing lead generation costs.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00" w:type="dxa"/>
            <w:vAlign w:val="bottom"/>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74,024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123,445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49,421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March 31, 2023 increased by $49.4 million, or 67%, to $123.4 million from $74.0 million for the nine months ended March 31, 2022. The increase in research and development expenses was primarily due to $35.3 million of additional employee-related costs related to additional development personnel and $14.8 million of additional stock-based compensation costs associated with our equity incentive plan, partially offset by $4.6 million in higher period-over-period capitalized internal-use software costs.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vMerge w:val="continue"/>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119,448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145,872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26,424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revenues</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ind w:right="5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March 31, 2023 increased by $26.4 million, or 22%, to $145.9 million from $119.4 million for the nine months ended March 31, 2022. The increase in general and administrative expense was primarily due to $13.3 million of additional stock-based compensation costs associated with our equity incentive plan and $11.7 million in additional employee-related costs.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8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for the nine months ended March 31, 2023 increased $1.8 million as compared to the nine months ended March 31, 2022. The change in other income (expense) was primarily due to higher interest income earned on our cash and cash equivalents as a result of higher interest rates.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73"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18"/>
          <w:szCs w:val="18"/>
          <w:color w:val="auto"/>
        </w:rPr>
        <w:t>Our effective tax rate was (16.4)% and 2.9% for the nine months ended March 31, 2022 and 2023, respectively. Our effective tax rate for the nine months ended March 31, 2022 was lower than the federal statutory rate of 21% primarily due to excess tax benefits from employee stock-based compensation, research and development tax credits, and state and local income taxes. Our effective tax rate for the nine months ended March 31, 2023 was lower than the federal statutory rate of 21% primarily due to excess tax benefits from employee stock-based compensation, research and development tax credits and a decrease in the valuation allowance.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 and Seasonality</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 The seasonal fluctuations in revenues also positively impact gross profits during our fiscal third quarter. Our historical results for our fiscal third quarter should not be considered a reliable indicator of our future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may differ from our estimates under different assumptions or conditions and, to the extent that there are differences between our estimates and actual results, our future financial statement presentation, financial condition, results of operations and cash flows will be affected.</w:t>
      </w:r>
    </w:p>
    <w:p>
      <w:pPr>
        <w:spacing w:after="0" w:line="148"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Accounting estimates used in the preparation of these consolidated financial statements change as new events occur, as more experience is acquired, as additional information is obtained and as the operating environment changes. Our critical accounting policies and use of estimates are disclosed in our audited consolidated financial statements for the year ended June 30, 2022 included in our Annual Report on Form 10-K filed with the SEC on August 5,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primary liquidity needs are related to the funding of general business requirements, including working capital requirements, research and development, and capital expenditures. As of March 31, 2023, our principal source of liquidity was $233.7 million of cash and cash equivalents. In August 2022, we amended the credit agreement entered in July 2019 to increase the borrowing capacity under our revolving credit facility to $550.0 million, which may be increased up to $825.0 million. No amounts were drawn on the revolving credit facility as of March 31, 2023. Refer to Note 8 of the Notes to the Unaudited Consolidated Financial Statements for additional detail on the amended credit agreement.</w:t>
      </w:r>
    </w:p>
    <w:p>
      <w:pPr>
        <w:spacing w:after="0" w:line="1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invest portions of our excess cash and cash equivalents in highly liquid, investment-grade marketable securities. These investments may consist of commercial paper, corporate debt issuances, asset-backed debt securities, certificates of deposit, U.S. treasury securities, U.S. government agency securities and other securities with credit quality ratings of A-1 or higher. As of March 31, 2023, we did not have any corporate investments classified as available-for-sale securities.</w:t>
      </w:r>
    </w:p>
    <w:p>
      <w:pPr>
        <w:spacing w:after="0" w:line="13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order to grow our business, we intend to increase our personnel and related expenses and to make significant investments in our platform, data centers and general infrastructure. The timing and amount of these investments will vary based on our financial condition, the rate at which we add new clients and new personnel and the scale of our module development, data centers and other activities. Many of these investments will occur in advance of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acquisitions and other investments principally with cash flows from operations, and to the extent that our liquidity needs exceed our cash from operations, we would look to our cash on hand or utilize the borrowing capacity under our credit facility to satisfy those needs.</w:t>
      </w:r>
    </w:p>
    <w:p>
      <w:pPr>
        <w:spacing w:after="0" w:line="148"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Funds held for clients and client fund obligations will vary substantially from period to period as a result of the timing of payroll and tax obligations due. Our payroll processing activities involve the movement of significant funds from accounts of employers to employees and relevant taxing authorities.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eleven major U.S. banks to execute ACH and wire transfers to support our client payroll and tax services. We believe we have sufficient capacity under these ACH arrangements to handle all transaction volumes for the foreseeable future. We primarily collect fees for our services via ACH transactions at the same time we debit the client’s account for payroll and tax obligations and thus are able to reduce collectability and accounts receivable risks.</w:t>
      </w:r>
    </w:p>
    <w:p>
      <w:pPr>
        <w:spacing w:after="0" w:line="165" w:lineRule="exact"/>
        <w:rPr>
          <w:sz w:val="20"/>
          <w:szCs w:val="20"/>
          <w:color w:val="auto"/>
        </w:rPr>
      </w:pPr>
    </w:p>
    <w:p>
      <w:pPr>
        <w:ind w:right="140" w:firstLine="648"/>
        <w:spacing w:after="0" w:line="312" w:lineRule="auto"/>
        <w:rPr>
          <w:sz w:val="20"/>
          <w:szCs w:val="20"/>
          <w:color w:val="auto"/>
        </w:rPr>
      </w:pPr>
      <w:r>
        <w:rPr>
          <w:rFonts w:ascii="Times New Roman" w:cs="Times New Roman" w:eastAsia="Times New Roman" w:hAnsi="Times New Roman"/>
          <w:sz w:val="17"/>
          <w:szCs w:val="17"/>
          <w:color w:val="auto"/>
        </w:rPr>
        <w:t>We believe our current cash and cash equivalents, future cash flow from operations, and access to our credit facility will be sufficient to meet our ongoing working capital, capital expenditure and other liquidity requirements for at least the next 12 months, and thereafter, for the foreseeable future.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data regarding cash flows for the periods indicated:</w:t>
      </w:r>
    </w:p>
    <w:p>
      <w:pPr>
        <w:spacing w:after="0" w:line="2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18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206,107</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available-for-sale securities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(557,403)</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and maturities of available-for-sale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298,113</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(30,726)</w:t>
            </w:r>
          </w:p>
        </w:tc>
      </w:tr>
      <w:tr>
        <w:trPr>
          <w:trHeight w:val="229"/>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30"/>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(298,752)</w:t>
            </w: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change in client fund obligations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(785,361)</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Borrowings under credit facility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w:t>
            </w:r>
          </w:p>
        </w:tc>
      </w:tr>
      <w:tr>
        <w:trPr>
          <w:trHeight w:val="229"/>
        </w:trPr>
        <w:tc>
          <w:tcPr>
            <w:tcW w:w="8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(84,174)</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r>
      <w:tr>
        <w:trPr>
          <w:trHeight w:val="223"/>
        </w:trPr>
        <w:tc>
          <w:tcPr>
            <w:tcW w:w="81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2,503,472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(861,958)</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funds held for clients'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2,327,487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(954,603)</w:t>
            </w:r>
          </w:p>
        </w:tc>
      </w:tr>
      <w:tr>
        <w:trPr>
          <w:trHeight w:val="21"/>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was $105.4 million and $206.1 million for the nine months ended March 31, 2022 and 2023, respectively. The change in net cash provided by operating activities from the nine months ended March 31, 2022 to the nine months ended March 31, 2023 was primarily due to improved operating results after adjusting for non-cash items including stock-based compensation expense, depreciation and amortization expense and deferred income tax expense (benefit), accompanied by net changes in operating assets and liabilities during the nine months ended March 31, 2023 as compared to the nine months ended March 31, 2022.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$281.4 million and $298.8 million for the nine months ended March 31, 2022 and 2023, respectively. The net cash used in investing activities is significantly impacted by the timing of purchases and sales and maturities of investments as we invest portions of funds held for clients in highly liquid, investment-grade marketable securities. The amount of funds held for clients invested will vary based on timing of client funds collected and payments due to client employees and taxing and other regulatory authorities.</w:t>
      </w:r>
    </w:p>
    <w:p>
      <w:pPr>
        <w:spacing w:after="0" w:line="15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change in net cash used in investing activities was primarily due to $341.9 million in additional purchases of available-for-sale securities, partially offset by $212.2 million in additional proceeds from the sales and maturities of available-for-sale securities and a $107.6 million decrease in amounts paid for acquisitions, net of cash acquired, during the nine months ended March 31, 2023 as compared to the nine months ended March 31,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(used in) financing activities was $2,503.5 million and $(862.0) million for the nine months ended March 31, 2022 and 2023, respectively. The change in net cash provided by (used in) financing activities was primarily the result of a decrease in the change in client fund obligations of $3,350.2 million due to the timing of client funds collected and related remittance of those funds to client employees and taxing authorities during the nine months ended March 31, 2023 as compared to the nine months ended March 31, 2022.</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March 31, 2023, our principal commitments consisted of $84.1 million in operating lease obligations, of which $10.3 million is due in the next twelve months. We also had $64.4 million in purchase obligations, of which $34.0 million is due in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expect to continue to invest in capital spending as we continue to grow our business and expand and enhance our operating facilities,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$15.4 million and $8.8 million for the nine months ended March 31, 2022 and 2023, respectively, exclusive of capitalized internal-use software costs of $26.3 million and $30.7 million for the same periods,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Refer to Note 2 of the Notes to the Unaudited Consolidated Financial Statements for a discussion of recently issued accounting standards.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primarily in the United States and are exposed to market risks in the ordinary course of our business. These risks primarily include interest rate and certain other exposures including risks relating to changes in the general economic conditions in the United States. Refer to “Part I. Item 1A. Risk Factors” on our Annual Report on Form 10-K filed with the SEC on August 5, 2022 for risks related to our business as well as risks related to the COVID-19 pandemic.</w:t>
      </w:r>
    </w:p>
    <w:p>
      <w:pPr>
        <w:spacing w:after="0" w:line="153"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We have not used, nor do we intend to use, derivatives to mitigate the impact of interest rate or other exposure or for trading or speculative purposes.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of March 31, 2023, we had cash and cash equivalents of $233.7 million and funds held for clients of $3,202.4 million. We deposit our cash and cash equivalents and significant portions of our funds held for clients in demand deposit accounts with various financial institutions. We invest portions of our excess cash and cash equivalents and funds held for clients in marketable securities including money market funds, commercial paper, corporate debt issuances, asset-backed debt securities, certificates of deposit, U.S. treasury securities, U.S. government agency securities and other. Our investment policy is focused on generating higher yields from these investments while preserving liquidity and capital. However, as a result of our investing activities, we are exposed to changes in interest rates that may materially affect our financial statements.</w:t>
      </w:r>
    </w:p>
    <w:p>
      <w:pPr>
        <w:spacing w:after="0" w:line="16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 falling rate environment, a decline in interest rates would decrease our interest income earned on both cash and cash equivalents and funds held for clients. An increase in the overall interest rate environment may cause the market value of our investments in fixed rate available-for-sale securities to decline. If we are forced to sell some or all of these securities at lower market values, we may incur investment losses. However, because we classify all marketable securities as available-for-sale, no gains or losses are recognized due to changes in interest rates until such securities are sold or decreases in fair value are deemed due to expected credit losses. We have not recorded any credit impairment losses on our portfolio to date.</w:t>
      </w:r>
    </w:p>
    <w:p>
      <w:pPr>
        <w:spacing w:after="0" w:line="14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Based upon a sensitivity model that measures market value changes caused by interest rate fluctuations, an immediate 100-basis point increase in interest rates would have resulted in a decrease in the market value of our available-for-sale securities by $5.9 million as of March 31, 2023. An immediate 100-basis point decrease in interest rates would have resulted in an increase in the market value of our available-for-sale securities by $5.9 million as of March 31, 2023. Fluctuations in the value of our available-for-sale securities caused by changes in interest rates are recorded in other comprehensive income and are only realized if we sell the underlying securities.</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12529"/>
        </w:rPr>
        <w:t xml:space="preserve">Additionally, as described in </w:t>
      </w:r>
      <w:r>
        <w:rPr>
          <w:rFonts w:ascii="Times New Roman" w:cs="Times New Roman" w:eastAsia="Times New Roman" w:hAnsi="Times New Roman"/>
          <w:sz w:val="18"/>
          <w:szCs w:val="18"/>
          <w:color w:val="000000"/>
        </w:rPr>
        <w:t>Note 8 of the Notes to the Unaudited Consolidated Financial Statements,</w:t>
      </w:r>
      <w:r>
        <w:rPr>
          <w:rFonts w:ascii="Times New Roman" w:cs="Times New Roman" w:eastAsia="Times New Roman" w:hAnsi="Times New Roman"/>
          <w:sz w:val="18"/>
          <w:szCs w:val="18"/>
          <w:color w:val="212529"/>
        </w:rPr>
        <w:t xml:space="preserve"> we entered into a first amendment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credit agreement that provides for a revolving credit facility (“credit facility”) in the aggregate amount of </w:t>
      </w:r>
      <w:r>
        <w:rPr>
          <w:rFonts w:ascii="Times New Roman" w:cs="Times New Roman" w:eastAsia="Times New Roman" w:hAnsi="Times New Roman"/>
          <w:sz w:val="18"/>
          <w:szCs w:val="18"/>
          <w:color w:val="000000"/>
        </w:rPr>
        <w:t>$550.0</w:t>
      </w:r>
      <w:r>
        <w:rPr>
          <w:rFonts w:ascii="Times New Roman" w:cs="Times New Roman" w:eastAsia="Times New Roman" w:hAnsi="Times New Roman"/>
          <w:sz w:val="18"/>
          <w:szCs w:val="18"/>
          <w:color w:val="212529"/>
        </w:rPr>
        <w:t xml:space="preserve"> million, which may be increased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$825.0 </w:t>
      </w:r>
      <w:r>
        <w:rPr>
          <w:rFonts w:ascii="Times New Roman" w:cs="Times New Roman" w:eastAsia="Times New Roman" w:hAnsi="Times New Roman"/>
          <w:sz w:val="18"/>
          <w:szCs w:val="18"/>
          <w:color w:val="212529"/>
        </w:rPr>
        <w:t>million. Borrowings under the credit facility generally bear interest at a rate based upon the Term Secured Overnight Financing Rate (“SOFR”) plus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 xml:space="preserve">the SOFR Adjustment or an adjusted base rate plus an applicable margin based on our then-applicable net total leverage ratio. As of </w:t>
      </w:r>
      <w:r>
        <w:rPr>
          <w:rFonts w:ascii="Times New Roman" w:cs="Times New Roman" w:eastAsia="Times New Roman" w:hAnsi="Times New Roman"/>
          <w:sz w:val="18"/>
          <w:szCs w:val="18"/>
          <w:color w:val="000000"/>
        </w:rPr>
        <w:t>March 31, 2023</w:t>
      </w:r>
      <w:r>
        <w:rPr>
          <w:rFonts w:ascii="Times New Roman" w:cs="Times New Roman" w:eastAsia="Times New Roman" w:hAnsi="Times New Roman"/>
          <w:sz w:val="18"/>
          <w:szCs w:val="18"/>
          <w:color w:val="212529"/>
        </w:rPr>
        <w:t>, there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were no amounts drawn on the credit facility. To the extent that we draw additional amounts under the credit facility, we may be exposed to increased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market risk from changes in the underlying index rates, which affects our interest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8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43"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Co-Chief Executive Officers and Chief Financial Officer, has evaluated the effectiveness of our disclosure controls and procedures as of March 31, 2023, the end of the period covered by this Quarterly Report on Form 10-Q. Based upon such evaluation, our Co-Chief Executive Officers and Chief Financial Officer have concluded that our disclosure controls and procedures were effective as of such date.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three-month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6" w:right="3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disclosed in “Item 1A. Risk Factors” of our Annual Report on Form 10-K for the fiscal year ended June 30, 2022 filed with the SEC on August 5,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 Sales of Unregistered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(b)Use of Proceeds</w:t>
      </w:r>
    </w:p>
    <w:p>
      <w:pPr>
        <w:spacing w:after="0" w:line="1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required by this Item is set forth in the Index to Exhibits immediately following this page.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56"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980" w:type="dxa"/>
            <w:vAlign w:val="bottom"/>
            <w:gridSpan w:val="9"/>
          </w:tcPr>
          <w:p>
            <w:pPr>
              <w:ind w:left="46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82"/>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 Nos.</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980" w:type="dxa"/>
            <w:vAlign w:val="bottom"/>
            <w:gridSpan w:val="9"/>
          </w:tcPr>
          <w:p>
            <w:pPr>
              <w:ind w:left="1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Second Amended and Restated Certificate of Incorporation (filed as Exhibit 3.1 of Paylocity Holding Corporation’s Current Report on</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Form 8-K on December 3, 2021 (Registration No. 001-36348)).</w:t>
              </w:r>
            </w:hyperlink>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60" w:type="dxa"/>
            <w:vAlign w:val="bottom"/>
            <w:gridSpan w:val="2"/>
          </w:tcPr>
          <w:p>
            <w:pPr>
              <w:ind w:left="20"/>
              <w:spacing w:after="0"/>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Second Amended and Restated Bylaws of Paylocity Holding Corporation (filed as Exhibit 3.2 of Paylocity Holding Corporation’s</w:t>
              </w:r>
            </w:hyperlink>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534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Current Report on Form 8-K on December 3, 2021 (File No. 001-36348)).</w:t>
              </w:r>
            </w:hyperlink>
          </w:p>
        </w:tc>
        <w:tc>
          <w:tcPr>
            <w:tcW w:w="4000" w:type="dxa"/>
            <w:vAlign w:val="bottom"/>
            <w:tcBorders>
              <w:top w:val="single" w:sz="8" w:color="0000FF"/>
            </w:tcBorders>
            <w:gridSpan w:val="2"/>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Co-Chief Executive Officer pursuant to Securities Exchange Act Rules 13a-4 and 15d-14 as adopted pursuant to Section</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20" w:type="dxa"/>
            <w:vAlign w:val="bottom"/>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4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3"/>
        </w:trPr>
        <w:tc>
          <w:tcPr>
            <w:tcW w:w="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Securities Exchange Act Rules 13a-4 and 15d-14 as adopted pursuant to Section 302</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2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of the Sarbanes-Oxley Act of 2002.</w:t>
            </w:r>
          </w:p>
        </w:tc>
        <w:tc>
          <w:tcPr>
            <w:tcW w:w="40" w:type="dxa"/>
            <w:vAlign w:val="bottom"/>
            <w:gridSpan w:val="2"/>
          </w:tcPr>
          <w:p>
            <w:pPr>
              <w:spacing w:after="0"/>
              <w:rPr>
                <w:sz w:val="14"/>
                <w:szCs w:val="14"/>
                <w:color w:val="auto"/>
              </w:rPr>
            </w:pPr>
          </w:p>
        </w:tc>
      </w:tr>
      <w:tr>
        <w:trPr>
          <w:trHeight w:val="20"/>
        </w:trPr>
        <w:tc>
          <w:tcPr>
            <w:tcW w:w="5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Co-Chief Executive</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4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220" w:type="dxa"/>
            <w:vAlign w:val="bottom"/>
            <w:gridSpan w:val="4"/>
          </w:tcPr>
          <w:p>
            <w:pPr>
              <w:spacing w:after="0"/>
              <w:rPr>
                <w:sz w:val="14"/>
                <w:szCs w:val="14"/>
                <w:color w:val="auto"/>
              </w:rPr>
            </w:pPr>
          </w:p>
        </w:tc>
      </w:tr>
      <w:tr>
        <w:trPr>
          <w:trHeight w:val="20"/>
        </w:trPr>
        <w:tc>
          <w:tcPr>
            <w:tcW w:w="1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540" w:type="dxa"/>
            <w:vAlign w:val="bottom"/>
            <w:gridSpan w:val="5"/>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63"/>
        </w:trPr>
        <w:tc>
          <w:tcPr>
            <w:tcW w:w="1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100" w:type="dxa"/>
            <w:vAlign w:val="bottom"/>
          </w:tcPr>
          <w:p>
            <w:pPr>
              <w:spacing w:after="0"/>
              <w:rPr>
                <w:sz w:val="22"/>
                <w:szCs w:val="22"/>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18 U.S.C. 1350, adopted pursuant to Section 906 of the Sarbanes-Oxley Act of 2002, by Chief Financial</w:t>
            </w:r>
          </w:p>
        </w:tc>
      </w:tr>
      <w:tr>
        <w:trPr>
          <w:trHeight w:val="169"/>
        </w:trPr>
        <w:tc>
          <w:tcPr>
            <w:tcW w:w="20" w:type="dxa"/>
            <w:vAlign w:val="bottom"/>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320" w:type="dxa"/>
            <w:vAlign w:val="bottom"/>
            <w:tcBorders>
              <w:top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Officer.</w:t>
            </w:r>
          </w:p>
        </w:tc>
        <w:tc>
          <w:tcPr>
            <w:tcW w:w="540" w:type="dxa"/>
            <w:vAlign w:val="bottom"/>
            <w:gridSpan w:val="6"/>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r>
      <w:tr>
        <w:trPr>
          <w:trHeight w:val="259"/>
        </w:trPr>
        <w:tc>
          <w:tcPr>
            <w:tcW w:w="20" w:type="dxa"/>
            <w:vAlign w:val="bottom"/>
          </w:tcPr>
          <w:p>
            <w:pPr>
              <w:spacing w:after="0"/>
              <w:rPr>
                <w:sz w:val="22"/>
                <w:szCs w:val="22"/>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20" w:type="dxa"/>
            <w:vAlign w:val="bottom"/>
          </w:tcPr>
          <w:p>
            <w:pPr>
              <w:spacing w:after="0"/>
              <w:rPr>
                <w:sz w:val="24"/>
                <w:szCs w:val="24"/>
                <w:color w:val="auto"/>
              </w:rPr>
            </w:pPr>
          </w:p>
        </w:tc>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3"/>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6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70"/>
        </w:trPr>
        <w:tc>
          <w:tcPr>
            <w:tcW w:w="260" w:type="dxa"/>
            <w:vAlign w:val="bottom"/>
            <w:tcBorders>
              <w:bottom w:val="single" w:sz="8" w:color="auto"/>
            </w:tcBorders>
            <w:gridSpan w:val="2"/>
          </w:tcPr>
          <w:p>
            <w:pPr>
              <w:spacing w:after="0"/>
              <w:rPr>
                <w:sz w:val="23"/>
                <w:szCs w:val="23"/>
                <w:color w:val="auto"/>
              </w:rPr>
            </w:pPr>
          </w:p>
        </w:tc>
        <w:tc>
          <w:tcPr>
            <w:tcW w:w="1120" w:type="dxa"/>
            <w:vAlign w:val="bottom"/>
            <w:tcBorders>
              <w:bottom w:val="single" w:sz="8" w:color="auto"/>
            </w:tcBorders>
            <w:gridSpan w:val="4"/>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67"/>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980" w:type="dxa"/>
            <w:vAlign w:val="bottom"/>
            <w:gridSpan w:val="18"/>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82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0" w:type="dxa"/>
            <w:vAlign w:val="bottom"/>
            <w:gridSpan w:val="6"/>
          </w:tcPr>
          <w:p>
            <w:pPr>
              <w:ind w:left="4160"/>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39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PAYLOCITY HOLDING CORPORATION</w:t>
            </w:r>
          </w:p>
        </w:tc>
      </w:tr>
      <w:tr>
        <w:trPr>
          <w:trHeight w:val="283"/>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5, 2023</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Steven R. Beauchamp</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Steven R. Beauchamp</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Co-Chief Executive Officer (Principal Executive Officer) and</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5, 2023</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Toby J. Williams</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 and Director</w:t>
            </w:r>
          </w:p>
        </w:tc>
      </w:tr>
      <w:tr>
        <w:trPr>
          <w:trHeight w:val="28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May 5, 2023</w:t>
            </w: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Ryan Glenn</w:t>
            </w:r>
          </w:p>
        </w:tc>
      </w:tr>
      <w:tr>
        <w:trPr>
          <w:trHeight w:val="214"/>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tcPr>
          <w:p>
            <w:pPr>
              <w:ind w:left="20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Ryan Glenn</w:t>
            </w:r>
          </w:p>
        </w:tc>
      </w:tr>
      <w:tr>
        <w:trPr>
          <w:trHeight w:val="184"/>
        </w:trPr>
        <w:tc>
          <w:tcPr>
            <w:tcW w:w="54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740" w:type="dxa"/>
            <w:vAlign w:val="bottom"/>
          </w:tcPr>
          <w:p>
            <w:pPr>
              <w:ind w:left="2000"/>
              <w:spacing w:after="0" w:line="184" w:lineRule="exact"/>
              <w:rPr>
                <w:sz w:val="20"/>
                <w:szCs w:val="20"/>
                <w:color w:val="auto"/>
              </w:rPr>
            </w:pPr>
            <w:r>
              <w:rPr>
                <w:rFonts w:ascii="Times New Roman" w:cs="Times New Roman" w:eastAsia="Times New Roman" w:hAnsi="Times New Roman"/>
                <w:sz w:val="18"/>
                <w:szCs w:val="18"/>
                <w:b w:val="1"/>
                <w:bCs w:val="1"/>
                <w:color w:val="auto"/>
              </w:rPr>
              <w:t>Title:</w:t>
            </w:r>
          </w:p>
        </w:tc>
        <w:tc>
          <w:tcPr>
            <w:tcW w:w="49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w:t>
            </w:r>
          </w:p>
        </w:tc>
      </w:t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909"/>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7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37</w:t>
            </w:r>
          </w:p>
        </w:tc>
        <w:tc>
          <w:tcPr>
            <w:tcW w:w="4900" w:type="dxa"/>
            <w:vAlign w:val="bottom"/>
          </w:tcPr>
          <w:p>
            <w:pPr>
              <w:spacing w:after="0"/>
              <w:rPr>
                <w:sz w:val="24"/>
                <w:szCs w:val="24"/>
                <w:color w:val="auto"/>
              </w:rPr>
            </w:pPr>
          </w:p>
        </w:tc>
      </w:tr>
    </w:tbl>
    <w:p>
      <w:pPr>
        <w:sectPr>
          <w:pgSz w:w="11900" w:h="16838" w:orient="portrait"/>
          <w:cols w:equalWidth="0" w:num="1">
            <w:col w:w="11220"/>
          </w:cols>
          <w:pgMar w:left="320" w:top="256" w:right="35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R. Beauchamp, certify that:</w:t>
      </w:r>
    </w:p>
    <w:p>
      <w:pPr>
        <w:spacing w:after="0" w:line="185"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560" w:firstLine="648"/>
        <w:spacing w:after="0" w:line="266"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2023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Toby J. Williams, certify that:</w:t>
      </w:r>
    </w:p>
    <w:p>
      <w:pPr>
        <w:spacing w:after="0" w:line="18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560" w:firstLine="648"/>
        <w:spacing w:after="0" w:line="266"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2023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9"/>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ectPr>
          <w:pgSz w:w="11900" w:h="16838" w:orient="portrait"/>
          <w:cols w:equalWidth="0" w:num="1">
            <w:col w:w="11240"/>
          </w:cols>
          <w:pgMar w:left="320" w:top="1103"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302(a)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Glenn, certify that:</w:t>
      </w:r>
    </w:p>
    <w:p>
      <w:pPr>
        <w:spacing w:after="0" w:line="18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Paylocity Holding Corporation (the “Company”);</w:t>
      </w:r>
    </w:p>
    <w:p>
      <w:pPr>
        <w:spacing w:after="0" w:line="198" w:lineRule="exact"/>
        <w:rPr>
          <w:rFonts w:ascii="Times New Roman" w:cs="Times New Roman" w:eastAsia="Times New Roman" w:hAnsi="Times New Roman"/>
          <w:sz w:val="18"/>
          <w:szCs w:val="18"/>
          <w:color w:val="auto"/>
        </w:rPr>
      </w:pPr>
    </w:p>
    <w:p>
      <w:pPr>
        <w:ind w:left="340" w:right="80" w:firstLine="640"/>
        <w:spacing w:after="0" w:line="266"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320" w:firstLine="640"/>
        <w:spacing w:after="0" w:line="282" w:lineRule="auto"/>
        <w:tabs>
          <w:tab w:leader="none" w:pos="131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340" w:right="40" w:firstLine="640"/>
        <w:spacing w:after="0" w:line="276"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3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179" w:lineRule="exact"/>
        <w:rPr>
          <w:rFonts w:ascii="Times New Roman" w:cs="Times New Roman" w:eastAsia="Times New Roman" w:hAnsi="Times New Roman"/>
          <w:sz w:val="17"/>
          <w:szCs w:val="17"/>
          <w:color w:val="auto"/>
        </w:rPr>
      </w:pPr>
    </w:p>
    <w:p>
      <w:pPr>
        <w:ind w:left="980" w:right="20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980" w:right="22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right="140" w:firstLine="648"/>
        <w:spacing w:after="0" w:line="266"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980" w:right="560" w:firstLine="648"/>
        <w:spacing w:after="0" w:line="266"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fiscal quarter ended March 31, 2023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80" w:firstLine="640"/>
        <w:spacing w:after="0" w:line="312" w:lineRule="auto"/>
        <w:tabs>
          <w:tab w:leader="none" w:pos="1312"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80" w:right="80" w:firstLine="648"/>
        <w:spacing w:after="0" w:line="282" w:lineRule="auto"/>
        <w:tabs>
          <w:tab w:leader="none" w:pos="194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80" w:firstLine="648"/>
        <w:spacing w:after="0" w:line="282" w:lineRule="auto"/>
        <w:tabs>
          <w:tab w:leader="none" w:pos="19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05"/>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ectPr>
          <w:pgSz w:w="11900" w:h="16838" w:orient="portrait"/>
          <w:cols w:equalWidth="0" w:num="1">
            <w:col w:w="11240"/>
          </w:cols>
          <w:pgMar w:left="320" w:top="1103"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R. Beauchamp</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R. Beauchamp</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Co-Chief Executive Officer (Principal Executive Officer) and</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CO-CHIEF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undersigned, the Co-Chief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period ended March 31,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Toby J. Williams</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Toby J. Williams</w:t>
            </w:r>
          </w:p>
        </w:tc>
      </w:tr>
      <w:tr>
        <w:trPr>
          <w:trHeight w:val="364"/>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President, Co-Chief Executive Officer (Principal Executive Officer)</w:t>
            </w:r>
          </w:p>
        </w:tc>
      </w:tr>
      <w:tr>
        <w:trPr>
          <w:trHeight w:val="238"/>
        </w:trPr>
        <w:tc>
          <w:tcPr>
            <w:tcW w:w="59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Director</w:t>
            </w:r>
          </w:p>
        </w:tc>
      </w:tr>
    </w:tbl>
    <w:p>
      <w:pPr>
        <w:spacing w:after="0" w:line="24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10-Q of the Company for the period ended March 31, 2023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2023</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Ryan Glenn</w:t>
            </w:r>
          </w:p>
        </w:tc>
      </w:tr>
      <w:tr>
        <w:trPr>
          <w:trHeight w:val="412"/>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Ryan Glenn</w:t>
            </w:r>
          </w:p>
        </w:tc>
      </w:tr>
      <w:tr>
        <w:trPr>
          <w:trHeight w:val="418"/>
        </w:trPr>
        <w:tc>
          <w:tcPr>
            <w:tcW w:w="5960" w:type="dxa"/>
            <w:vAlign w:val="bottom"/>
          </w:tcPr>
          <w:p>
            <w:pPr>
              <w:ind w:left="52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 and Treasurer (Principal Financial Officer)</w:t>
            </w:r>
          </w:p>
        </w:tc>
      </w:tr>
    </w:tbl>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lowerLetter"/>
      <w:start w:val="1"/>
    </w:lvl>
  </w:abstractNum>
  <w:abstractNum w:abstractNumId="3">
    <w:nsid w:val="12200854"/>
    <w:multiLevelType w:val="hybridMultilevel"/>
    <w:lvl w:ilvl="0">
      <w:lvlJc w:val="left"/>
      <w:lvlText w:val="(%1)"/>
      <w:numFmt w:val="lowerLetter"/>
      <w:start w:val="2"/>
    </w:lvl>
  </w:abstractNum>
  <w:abstractNum w:abstractNumId="4">
    <w:nsid w:val="4DB127F8"/>
    <w:multiLevelType w:val="hybridMultilevel"/>
    <w:lvl w:ilvl="0">
      <w:lvlJc w:val="left"/>
      <w:lvlText w:val="(%1)"/>
      <w:numFmt w:val="lowerLetter"/>
      <w:start w:val="3"/>
    </w:lvl>
  </w:abstractNum>
  <w:abstractNum w:abstractNumId="5">
    <w:nsid w:val="216231B"/>
    <w:multiLevelType w:val="hybridMultilevel"/>
    <w:lvl w:ilvl="0">
      <w:lvlJc w:val="left"/>
      <w:lvlText w:val="(%1)"/>
      <w:numFmt w:val="lowerLetter"/>
      <w:start w:val="4"/>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7" Type="http://schemas.openxmlformats.org/officeDocument/2006/relationships/hyperlink" Target="https://www.sec.gov/Archives/edgar/data/1591698/000159169821000013/pcty-20211201xexhibit31.htm" TargetMode="External"/><Relationship Id="rId68" Type="http://schemas.openxmlformats.org/officeDocument/2006/relationships/hyperlink" Target="https://www.sec.gov/Archives/edgar/data/1591698/000159169821000013/pcty-20211201x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2023-05-05T09:06:06Z</dcterms:created>
  <dcterms:modified xsi:type="dcterms:W3CDTF">2023-05-05T09:06:06Z</dcterms:modified>
</cp:coreProperties>
</file>