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p>
      <w:pPr>
        <w:spacing w:after="0" w:line="1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2" w:lineRule="exact"/>
        <w:rPr>
          <w:sz w:val="24"/>
          <w:szCs w:val="24"/>
          <w:color w:val="auto"/>
        </w:rPr>
      </w:pPr>
    </w:p>
    <w:p>
      <w:pPr>
        <w:ind w:left="428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62" w:lineRule="exact"/>
        <w:rPr>
          <w:sz w:val="24"/>
          <w:szCs w:val="24"/>
          <w:color w:val="auto"/>
        </w:rPr>
      </w:pPr>
    </w:p>
    <w:tbl>
      <w:tblPr>
        <w:tblLayout w:type="fixed"/>
        <w:tblInd w:w="82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40" w:type="dxa"/>
            <w:vAlign w:val="bottom"/>
            <w:gridSpan w:val="2"/>
          </w:tcPr>
          <w:p>
            <w:pPr>
              <w:jc w:val="center"/>
              <w:ind w:right="982"/>
              <w:spacing w:after="0"/>
              <w:rPr>
                <w:sz w:val="20"/>
                <w:szCs w:val="20"/>
                <w:color w:val="auto"/>
              </w:rPr>
            </w:pPr>
            <w:r>
              <w:rPr>
                <w:rFonts w:ascii="Times New Roman" w:cs="Times New Roman" w:eastAsia="Times New Roman" w:hAnsi="Times New Roman"/>
                <w:sz w:val="14"/>
                <w:szCs w:val="14"/>
                <w:color w:val="auto"/>
              </w:rPr>
              <w:t>46-4066644</w:t>
            </w:r>
          </w:p>
        </w:tc>
        <w:tc>
          <w:tcPr>
            <w:tcW w:w="2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80" w:type="dxa"/>
            <w:vAlign w:val="bottom"/>
          </w:tcPr>
          <w:p>
            <w:pPr>
              <w:spacing w:after="0"/>
              <w:rPr>
                <w:sz w:val="16"/>
                <w:szCs w:val="16"/>
                <w:color w:val="auto"/>
              </w:rPr>
            </w:pPr>
          </w:p>
        </w:tc>
        <w:tc>
          <w:tcPr>
            <w:tcW w:w="2340" w:type="dxa"/>
            <w:vAlign w:val="bottom"/>
            <w:gridSpan w:val="2"/>
          </w:tcPr>
          <w:p>
            <w:pPr>
              <w:jc w:val="center"/>
              <w:ind w:left="37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7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Schaumburg, Illinois 60173</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(847) 463-3200</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6"/>
        </w:trPr>
        <w:tc>
          <w:tcPr>
            <w:tcW w:w="5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1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1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Name of Exchange on which registered</w:t>
            </w:r>
          </w:p>
        </w:tc>
      </w:tr>
      <w:tr>
        <w:trPr>
          <w:trHeight w:val="20"/>
        </w:trPr>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920" w:type="dxa"/>
            <w:vAlign w:val="bottom"/>
            <w:gridSpan w:val="3"/>
          </w:tcPr>
          <w:p>
            <w:pPr>
              <w:jc w:val="center"/>
              <w:ind w:right="808"/>
              <w:spacing w:after="0"/>
              <w:rPr>
                <w:sz w:val="20"/>
                <w:szCs w:val="20"/>
                <w:color w:val="auto"/>
              </w:rPr>
            </w:pPr>
            <w:r>
              <w:rPr>
                <w:rFonts w:ascii="Times New Roman" w:cs="Times New Roman" w:eastAsia="Times New Roman" w:hAnsi="Times New Roman"/>
                <w:sz w:val="12"/>
                <w:szCs w:val="12"/>
                <w:color w:val="auto"/>
                <w:w w:val="98"/>
              </w:rPr>
              <w:t>Common Stock, par value $0.001 per share</w:t>
            </w:r>
          </w:p>
        </w:tc>
        <w:tc>
          <w:tcPr>
            <w:tcW w:w="1400" w:type="dxa"/>
            <w:vAlign w:val="bottom"/>
          </w:tcPr>
          <w:p>
            <w:pPr>
              <w:spacing w:after="0"/>
              <w:rPr>
                <w:sz w:val="16"/>
                <w:szCs w:val="16"/>
                <w:color w:val="auto"/>
              </w:rPr>
            </w:pPr>
          </w:p>
        </w:tc>
        <w:tc>
          <w:tcPr>
            <w:tcW w:w="2460" w:type="dxa"/>
            <w:vAlign w:val="bottom"/>
            <w:gridSpan w:val="2"/>
          </w:tcPr>
          <w:p>
            <w:pPr>
              <w:jc w:val="center"/>
              <w:ind w:right="1560"/>
              <w:spacing w:after="0"/>
              <w:rPr>
                <w:sz w:val="20"/>
                <w:szCs w:val="20"/>
                <w:color w:val="auto"/>
              </w:rPr>
            </w:pPr>
            <w:r>
              <w:rPr>
                <w:rFonts w:ascii="Times New Roman" w:cs="Times New Roman" w:eastAsia="Times New Roman" w:hAnsi="Times New Roman"/>
                <w:sz w:val="12"/>
                <w:szCs w:val="12"/>
                <w:color w:val="auto"/>
                <w:w w:val="97"/>
              </w:rPr>
              <w:t>PCTY</w:t>
            </w:r>
          </w:p>
        </w:tc>
        <w:tc>
          <w:tcPr>
            <w:tcW w:w="2760" w:type="dxa"/>
            <w:vAlign w:val="bottom"/>
            <w:gridSpan w:val="3"/>
          </w:tcPr>
          <w:p>
            <w:pPr>
              <w:ind w:left="780"/>
              <w:spacing w:after="0"/>
              <w:rPr>
                <w:sz w:val="20"/>
                <w:szCs w:val="20"/>
                <w:color w:val="auto"/>
              </w:rPr>
            </w:pPr>
            <w:r>
              <w:rPr>
                <w:rFonts w:ascii="Times New Roman" w:cs="Times New Roman" w:eastAsia="Times New Roman" w:hAnsi="Times New Roman"/>
                <w:sz w:val="12"/>
                <w:szCs w:val="12"/>
                <w:color w:val="auto"/>
                <w:w w:val="96"/>
              </w:rPr>
              <w:t>The NASDAQ Global Select Market LLC</w:t>
            </w:r>
          </w:p>
        </w:tc>
      </w:tr>
      <w:tr>
        <w:trPr>
          <w:trHeight w:val="387"/>
        </w:trPr>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6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92" w:lineRule="exact"/>
        <w:rPr>
          <w:sz w:val="24"/>
          <w:szCs w:val="24"/>
          <w:color w:val="auto"/>
        </w:rPr>
      </w:pPr>
    </w:p>
    <w:p>
      <w:pPr>
        <w:ind w:right="4140"/>
        <w:spacing w:after="0" w:line="431"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color w:val="auto"/>
        </w:rPr>
        <w:t>o</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x</w:t>
      </w:r>
    </w:p>
    <w:p>
      <w:pPr>
        <w:spacing w:after="0" w:line="1" w:lineRule="exact"/>
        <w:rPr>
          <w:sz w:val="24"/>
          <w:szCs w:val="24"/>
          <w:color w:val="auto"/>
        </w:rPr>
      </w:pPr>
    </w:p>
    <w:p>
      <w:pPr>
        <w:ind w:right="200"/>
        <w:spacing w:after="0" w:line="30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o</w:t>
      </w:r>
    </w:p>
    <w:p>
      <w:pPr>
        <w:spacing w:after="0" w:line="56" w:lineRule="exact"/>
        <w:rPr>
          <w:sz w:val="24"/>
          <w:szCs w:val="24"/>
          <w:color w:val="auto"/>
        </w:rPr>
      </w:pPr>
    </w:p>
    <w:p>
      <w:pPr>
        <w:ind w:right="160"/>
        <w:spacing w:after="0" w:line="30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o</w:t>
      </w:r>
    </w:p>
    <w:p>
      <w:pPr>
        <w:spacing w:after="0" w:line="56"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020" w:type="dxa"/>
            <w:vAlign w:val="bottom"/>
          </w:tcPr>
          <w:p>
            <w:pPr>
              <w:ind w:left="380"/>
              <w:spacing w:after="0"/>
              <w:rPr>
                <w:sz w:val="20"/>
                <w:szCs w:val="20"/>
                <w:color w:val="auto"/>
              </w:rPr>
            </w:pPr>
            <w:r>
              <w:rPr>
                <w:rFonts w:ascii="Arial" w:cs="Arial" w:eastAsia="Arial" w:hAnsi="Arial"/>
                <w:sz w:val="13"/>
                <w:szCs w:val="13"/>
                <w:color w:val="auto"/>
              </w:rPr>
              <w:t>x</w:t>
            </w:r>
          </w:p>
        </w:tc>
        <w:tc>
          <w:tcPr>
            <w:tcW w:w="528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Accelerated filer</w:t>
            </w:r>
          </w:p>
        </w:tc>
        <w:tc>
          <w:tcPr>
            <w:tcW w:w="1320" w:type="dxa"/>
            <w:vAlign w:val="bottom"/>
          </w:tcPr>
          <w:p>
            <w:pPr>
              <w:ind w:left="1240"/>
              <w:spacing w:after="0"/>
              <w:rPr>
                <w:sz w:val="20"/>
                <w:szCs w:val="20"/>
                <w:color w:val="auto"/>
              </w:rPr>
            </w:pPr>
            <w:r>
              <w:rPr>
                <w:rFonts w:ascii="Arial" w:cs="Arial" w:eastAsia="Arial" w:hAnsi="Arial"/>
                <w:sz w:val="13"/>
                <w:szCs w:val="13"/>
                <w:color w:val="auto"/>
                <w:w w:val="82"/>
              </w:rPr>
              <w:t>o</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020" w:type="dxa"/>
            <w:vAlign w:val="bottom"/>
          </w:tcPr>
          <w:p>
            <w:pPr>
              <w:ind w:left="380"/>
              <w:spacing w:after="0"/>
              <w:rPr>
                <w:sz w:val="20"/>
                <w:szCs w:val="20"/>
                <w:color w:val="auto"/>
              </w:rPr>
            </w:pPr>
            <w:r>
              <w:rPr>
                <w:rFonts w:ascii="Arial" w:cs="Arial" w:eastAsia="Arial" w:hAnsi="Arial"/>
                <w:sz w:val="13"/>
                <w:szCs w:val="13"/>
                <w:color w:val="auto"/>
              </w:rPr>
              <w:t>o</w:t>
            </w:r>
          </w:p>
        </w:tc>
        <w:tc>
          <w:tcPr>
            <w:tcW w:w="528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20" w:type="dxa"/>
            <w:vAlign w:val="bottom"/>
          </w:tcPr>
          <w:p>
            <w:pPr>
              <w:ind w:left="1240"/>
              <w:spacing w:after="0"/>
              <w:rPr>
                <w:sz w:val="20"/>
                <w:szCs w:val="20"/>
                <w:color w:val="auto"/>
              </w:rPr>
            </w:pPr>
            <w:r>
              <w:rPr>
                <w:rFonts w:ascii="Arial" w:cs="Arial" w:eastAsia="Arial" w:hAnsi="Arial"/>
                <w:sz w:val="13"/>
                <w:szCs w:val="13"/>
                <w:color w:val="auto"/>
                <w:w w:val="82"/>
              </w:rPr>
              <w:t>o</w:t>
            </w:r>
          </w:p>
        </w:tc>
      </w:tr>
      <w:tr>
        <w:trPr>
          <w:trHeight w:val="257"/>
        </w:trPr>
        <w:tc>
          <w:tcPr>
            <w:tcW w:w="15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5280" w:type="dxa"/>
            <w:vAlign w:val="bottom"/>
          </w:tcPr>
          <w:p>
            <w:pPr>
              <w:ind w:left="25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320" w:type="dxa"/>
            <w:vAlign w:val="bottom"/>
          </w:tcPr>
          <w:p>
            <w:pPr>
              <w:ind w:left="1240"/>
              <w:spacing w:after="0"/>
              <w:rPr>
                <w:sz w:val="20"/>
                <w:szCs w:val="20"/>
                <w:color w:val="auto"/>
              </w:rPr>
            </w:pPr>
            <w:r>
              <w:rPr>
                <w:rFonts w:ascii="Arial" w:cs="Arial" w:eastAsia="Arial" w:hAnsi="Arial"/>
                <w:sz w:val="13"/>
                <w:szCs w:val="13"/>
                <w:color w:val="auto"/>
                <w:w w:val="82"/>
              </w:rPr>
              <w:t>o</w:t>
            </w:r>
          </w:p>
        </w:tc>
      </w:tr>
    </w:tbl>
    <w:p>
      <w:pPr>
        <w:spacing w:after="0" w:line="202" w:lineRule="exact"/>
        <w:rPr>
          <w:sz w:val="24"/>
          <w:szCs w:val="24"/>
          <w:color w:val="auto"/>
        </w:rPr>
      </w:pPr>
    </w:p>
    <w:p>
      <w:pPr>
        <w:ind w:right="160"/>
        <w:spacing w:after="0" w:line="30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56"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3"/>
          <w:szCs w:val="13"/>
          <w:color w:val="auto"/>
        </w:rPr>
        <w:t>x</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w:cs="Arial" w:eastAsia="Arial" w:hAnsi="Arial"/>
          <w:sz w:val="13"/>
          <w:szCs w:val="13"/>
          <w:color w:val="auto"/>
        </w:rPr>
        <w:t>o</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x</w:t>
      </w:r>
    </w:p>
    <w:p>
      <w:pPr>
        <w:spacing w:after="0" w:line="120" w:lineRule="exact"/>
        <w:rPr>
          <w:sz w:val="24"/>
          <w:szCs w:val="24"/>
          <w:color w:val="auto"/>
        </w:rPr>
      </w:pPr>
    </w:p>
    <w:p>
      <w:pPr>
        <w:ind w:right="140"/>
        <w:spacing w:after="0" w:line="299"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of the registrant as of December 31, 2021, the last day of registrant’s most recently completed second fiscal quarter, was $9.4 billion (based on the closing price for shares of the registrant’s common stock as reported by the NASDAQ Global Select Market for the last business day prior to that date).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July 29, 2022, there were 55,277,660 shares of the registrant’s common stock issued and outstanding.</w:t>
      </w:r>
    </w:p>
    <w:p>
      <w:pPr>
        <w:spacing w:after="0" w:line="1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5" w:lineRule="exact"/>
        <w:rPr>
          <w:sz w:val="24"/>
          <w:szCs w:val="24"/>
          <w:color w:val="auto"/>
        </w:rPr>
      </w:pPr>
    </w:p>
    <w:p>
      <w:pPr>
        <w:ind w:right="600"/>
        <w:spacing w:after="0" w:line="299" w:lineRule="auto"/>
        <w:rPr>
          <w:sz w:val="20"/>
          <w:szCs w:val="20"/>
          <w:color w:val="auto"/>
        </w:rPr>
      </w:pPr>
      <w:r>
        <w:rPr>
          <w:rFonts w:ascii="Times New Roman" w:cs="Times New Roman" w:eastAsia="Times New Roman" w:hAnsi="Times New Roman"/>
          <w:sz w:val="13"/>
          <w:szCs w:val="13"/>
          <w:color w:val="auto"/>
        </w:rPr>
        <w:t>The information required by Part III of this Report, to the extent not set forth herein, is incorporated herein by reference from the Proxy Statement relating to the registrant’s 2023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20" w:type="dxa"/>
            <w:vAlign w:val="bottom"/>
            <w:gridSpan w:val="1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0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 2022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2"/>
              </w:rPr>
              <w:t>PART I</w:t>
            </w:r>
          </w:p>
        </w:tc>
        <w:tc>
          <w:tcPr>
            <w:tcW w:w="600" w:type="dxa"/>
            <w:vAlign w:val="bottom"/>
            <w:gridSpan w:val="5"/>
            <w:vMerge w:val="restart"/>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40" w:type="dxa"/>
            <w:vAlign w:val="bottom"/>
            <w:tcBorders>
              <w:bottom w:val="single" w:sz="8" w:color="0000FF"/>
            </w:tcBorders>
            <w:gridSpan w:val="2"/>
            <w:vMerge w:val="continue"/>
          </w:tcPr>
          <w:p>
            <w:pPr>
              <w:spacing w:after="0"/>
              <w:rPr>
                <w:sz w:val="17"/>
                <w:szCs w:val="17"/>
                <w:color w:val="auto"/>
              </w:rPr>
            </w:pPr>
          </w:p>
        </w:tc>
        <w:tc>
          <w:tcPr>
            <w:tcW w:w="60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5"/>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20" w:type="dxa"/>
            <w:vAlign w:val="bottom"/>
            <w:gridSpan w:val="2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4"/>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gridSpan w:val="4"/>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Borders>
              <w:top w:val="single" w:sz="8" w:color="0000FF"/>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5"/>
          </w:tcPr>
          <w:p>
            <w:pPr>
              <w:spacing w:after="0"/>
              <w:rPr>
                <w:sz w:val="24"/>
                <w:szCs w:val="24"/>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20" w:type="dxa"/>
            <w:vAlign w:val="bottom"/>
            <w:gridSpan w:val="6"/>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5"/>
          </w:tcPr>
          <w:p>
            <w:pPr>
              <w:spacing w:after="0"/>
              <w:rPr>
                <w:sz w:val="24"/>
                <w:szCs w:val="24"/>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5"/>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600" w:type="dxa"/>
            <w:vAlign w:val="bottom"/>
            <w:gridSpan w:val="5"/>
          </w:tcPr>
          <w:p>
            <w:pPr>
              <w:spacing w:after="0"/>
              <w:rPr>
                <w:sz w:val="24"/>
                <w:szCs w:val="24"/>
                <w:color w:val="auto"/>
              </w:rPr>
            </w:pP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7"/>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480" w:type="dxa"/>
            <w:vAlign w:val="bottom"/>
            <w:gridSpan w:val="4"/>
          </w:tcPr>
          <w:p>
            <w:pPr>
              <w:spacing w:after="0"/>
              <w:rPr>
                <w:sz w:val="24"/>
                <w:szCs w:val="24"/>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0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600" w:type="dxa"/>
            <w:vAlign w:val="bottom"/>
            <w:gridSpan w:val="5"/>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600" w:type="dxa"/>
            <w:vAlign w:val="bottom"/>
            <w:gridSpan w:val="5"/>
          </w:tcPr>
          <w:p>
            <w:pPr>
              <w:spacing w:after="0"/>
              <w:rPr>
                <w:sz w:val="24"/>
                <w:szCs w:val="24"/>
                <w:color w:val="auto"/>
              </w:rPr>
            </w:pP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7"/>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480" w:type="dxa"/>
            <w:vAlign w:val="bottom"/>
            <w:gridSpan w:val="4"/>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7"/>
        </w:trPr>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gridSpan w:val="4"/>
          </w:tcPr>
          <w:p>
            <w:pPr>
              <w:spacing w:after="0"/>
              <w:rPr>
                <w:sz w:val="24"/>
                <w:szCs w:val="24"/>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5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80" w:type="dxa"/>
            <w:vAlign w:val="bottom"/>
            <w:gridSpan w:val="4"/>
          </w:tcPr>
          <w:p>
            <w:pPr>
              <w:spacing w:after="0"/>
              <w:rPr>
                <w:sz w:val="22"/>
                <w:szCs w:val="22"/>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6"/>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560"/>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3"/>
              </w:rPr>
              <w:t>Item 11.</w:t>
            </w:r>
          </w:p>
        </w:tc>
        <w:tc>
          <w:tcPr>
            <w:tcW w:w="600" w:type="dxa"/>
            <w:vAlign w:val="bottom"/>
            <w:gridSpan w:val="5"/>
          </w:tcPr>
          <w:p>
            <w:pPr>
              <w:spacing w:after="0"/>
              <w:rPr>
                <w:sz w:val="24"/>
                <w:szCs w:val="24"/>
                <w:color w:val="auto"/>
              </w:rPr>
            </w:pPr>
          </w:p>
        </w:tc>
        <w:tc>
          <w:tcPr>
            <w:tcW w:w="4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13.</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420" w:type="dxa"/>
            <w:vAlign w:val="bottom"/>
            <w:gridSpan w:val="2"/>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the impact of the novel coronavirus disease (“COVID-19”) on the U.S. economy, including changes in interest rates, business disruptions, reductions in employment and an increase in business failures; the impact of COVID-19 on Paylocity’s employees and clients, and other risks and potential factors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73"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320" w:firstLine="648"/>
        <w:spacing w:after="0" w:line="242" w:lineRule="auto"/>
        <w:rPr>
          <w:sz w:val="20"/>
          <w:szCs w:val="20"/>
          <w:color w:val="auto"/>
        </w:rPr>
      </w:pPr>
      <w:r>
        <w:rPr>
          <w:rFonts w:ascii="Times New Roman" w:cs="Times New Roman" w:eastAsia="Times New Roman" w:hAnsi="Times New Roman"/>
          <w:sz w:val="18"/>
          <w:szCs w:val="18"/>
          <w:color w:val="auto"/>
        </w:rPr>
        <w:t xml:space="preserve">We are a leading cloud-based provider of human capital management, or HCM, and payroll software solutions that deliver a comprehensive platform for the modern workforce. </w:t>
      </w:r>
      <w:r>
        <w:rPr>
          <w:rFonts w:ascii="Times New Roman" w:cs="Times New Roman" w:eastAsia="Times New Roman" w:hAnsi="Times New Roman"/>
          <w:sz w:val="18"/>
          <w:szCs w:val="18"/>
          <w:color w:val="333333"/>
        </w:rPr>
        <w:t>Our HCM and payroll platform offers an intuitive, easy-to-use product suite that helps businesses attract and retain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talent, build culture and connection with their employees, and streamline and automate HR and payroll processes. </w:t>
      </w:r>
      <w:r>
        <w:rPr>
          <w:rFonts w:ascii="Times New Roman" w:cs="Times New Roman" w:eastAsia="Times New Roman" w:hAnsi="Times New Roman"/>
          <w:sz w:val="18"/>
          <w:szCs w:val="18"/>
          <w:color w:val="000000"/>
        </w:rPr>
        <w:t>Excluding clients acquired through</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acquisitions, as of June 30, 2022, we provided our software-as-a-service, or SaaS, solutions to approximately 33,300 clients across the U.S., which on average had over 100 employees.</w:t>
      </w:r>
    </w:p>
    <w:p>
      <w:pPr>
        <w:spacing w:after="0" w:line="18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Effective management of human capital is a core function in all organizations and requires a significant commitment of resources. </w:t>
      </w:r>
      <w:r>
        <w:rPr>
          <w:rFonts w:ascii="Times New Roman" w:cs="Times New Roman" w:eastAsia="Times New Roman" w:hAnsi="Times New Roman"/>
          <w:sz w:val="18"/>
          <w:szCs w:val="18"/>
          <w:color w:val="333333"/>
        </w:rPr>
        <w:t>Organizations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are faced with an ever-changing employment landscape, including numerous federal, state and local regulations across multiple jurisdictions,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w:t>
      </w:r>
      <w:r>
        <w:rPr>
          <w:rFonts w:ascii="Times New Roman" w:cs="Times New Roman" w:eastAsia="Times New Roman" w:hAnsi="Times New Roman"/>
          <w:sz w:val="18"/>
          <w:szCs w:val="18"/>
          <w:color w:val="000000"/>
        </w:rPr>
        <w:t>Many companies also are operating without the infrastructure, expertise or personnel to implement or support large and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complex systems in today’s dynamic environment. Existing solutions offered by third-party payroll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 to value, and providing their employees with the most engaging experience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HCM and payroll software solutions provide the following key benefits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171450</wp:posOffset>
            </wp:positionV>
            <wp:extent cx="4286250" cy="197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6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Single &amp; Flexible End-to-End Platform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The foundation of our platform is a single employee system of record that supports the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employee lifecycle: Talent, Payroll, Core HR, Workforce Management, and Benefits. Our platform centralizes payroll and HCM data, minimizing inconsistent and incomplete information that can be produced when using multiple databases.</w:t>
      </w:r>
    </w:p>
    <w:p>
      <w:pPr>
        <w:spacing w:after="0" w:line="170"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b w:val="1"/>
          <w:bCs w:val="1"/>
          <w:color w:val="auto"/>
        </w:rPr>
        <w:t xml:space="preserve">Employee Experience </w:t>
      </w:r>
      <w:r>
        <w:rPr>
          <w:rFonts w:ascii="Times New Roman" w:cs="Times New Roman" w:eastAsia="Times New Roman" w:hAnsi="Times New Roman"/>
          <w:sz w:val="18"/>
          <w:szCs w:val="18"/>
          <w:color w:val="auto"/>
        </w:rPr>
        <w:t>–We embed employee experiences throughout the platform that help employees feel connected to their work whether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hybrid, remote, on-the-go, or do not have computers or email addresses. Our platform provides tools to communicate, connect to organizations and peers, and focus on career development and growth, which drives engagement and adoption of self-service processes – and drives HR automation and digital transformation.</w:t>
      </w:r>
    </w:p>
    <w:p>
      <w:pPr>
        <w:spacing w:after="0" w:line="176" w:lineRule="exact"/>
        <w:rPr>
          <w:rFonts w:ascii="Times New Roman" w:cs="Times New Roman" w:eastAsia="Times New Roman" w:hAnsi="Times New Roman"/>
          <w:sz w:val="18"/>
          <w:szCs w:val="18"/>
          <w:color w:val="333333"/>
        </w:rPr>
      </w:pPr>
    </w:p>
    <w:p>
      <w:pPr>
        <w:ind w:left="660" w:right="540" w:hanging="328"/>
        <w:spacing w:after="0" w:line="26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Insights &amp; Recommendations </w:t>
      </w:r>
      <w:r>
        <w:rPr>
          <w:rFonts w:ascii="Times New Roman" w:cs="Times New Roman" w:eastAsia="Times New Roman" w:hAnsi="Times New Roman"/>
          <w:sz w:val="18"/>
          <w:szCs w:val="18"/>
          <w:color w:val="auto"/>
        </w:rPr>
        <w:t>– Our clients have access to their data for reporting and compliance needs, but we also provide prescriptive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on how to interpret the data and where to focus next to achieve their goals. Our dashboards use advanced AI to deliver actionable next steps to improve efficiency and build a healthier workforce.</w:t>
      </w:r>
    </w:p>
    <w:p>
      <w:pPr>
        <w:spacing w:after="0" w:line="170" w:lineRule="exact"/>
        <w:rPr>
          <w:rFonts w:ascii="Times New Roman" w:cs="Times New Roman" w:eastAsia="Times New Roman" w:hAnsi="Times New Roman"/>
          <w:sz w:val="18"/>
          <w:szCs w:val="18"/>
          <w:color w:val="auto"/>
        </w:rPr>
      </w:pPr>
    </w:p>
    <w:p>
      <w:pPr>
        <w:ind w:left="660" w:right="660" w:hanging="328"/>
        <w:spacing w:after="0" w:line="28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Customer Service </w:t>
      </w:r>
      <w:r>
        <w:rPr>
          <w:rFonts w:ascii="Times New Roman" w:cs="Times New Roman" w:eastAsia="Times New Roman" w:hAnsi="Times New Roman"/>
          <w:sz w:val="18"/>
          <w:szCs w:val="18"/>
          <w:color w:val="auto"/>
        </w:rPr>
        <w:t>- We supplement our comprehensive software solutions with an integrated implementation and client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all of which are designed to meet the needs of our clients and prospects.</w:t>
      </w:r>
    </w:p>
    <w:p>
      <w:pPr>
        <w:spacing w:after="0" w:line="154"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Seamless Integration with Extensive Ecosystem of Partners</w:t>
      </w:r>
      <w:r>
        <w:rPr>
          <w:rFonts w:ascii="Times New Roman" w:cs="Times New Roman" w:eastAsia="Times New Roman" w:hAnsi="Times New Roman"/>
          <w:sz w:val="18"/>
          <w:szCs w:val="18"/>
          <w:color w:val="auto"/>
        </w:rPr>
        <w:t>. Our software solutions offer our clients automated data integration with hundreds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w:t>
      </w:r>
    </w:p>
    <w:p>
      <w:pPr>
        <w:spacing w:after="0" w:line="16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2020, 2021 and 2022. Our total revenues increased from $561.3 million in fiscal 2020 to $635.6 million in fiscal 2021, representing a 13% year-over-year increase, and to $852.7 million in fiscal 2022, representing a 34% year-over-year increase. Our recurring revenue model and high annual revenue retention rates provide significant visibility into our future operating results.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intend to strengthen and extend our position as a leading provider of cloud-based HCM and payroll software solutions. Key elements of our strategy include the following:</w:t>
      </w:r>
    </w:p>
    <w:p>
      <w:pPr>
        <w:spacing w:after="0" w:line="160" w:lineRule="exact"/>
        <w:rPr>
          <w:sz w:val="20"/>
          <w:szCs w:val="20"/>
          <w:color w:val="auto"/>
        </w:rPr>
      </w:pPr>
    </w:p>
    <w:p>
      <w:pPr>
        <w:ind w:left="660" w:right="4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Extend Technological Leadership</w:t>
      </w:r>
      <w:r>
        <w:rPr>
          <w:rFonts w:ascii="Times New Roman" w:cs="Times New Roman" w:eastAsia="Times New Roman" w:hAnsi="Times New Roman"/>
          <w:sz w:val="18"/>
          <w:szCs w:val="18"/>
          <w:color w:val="auto"/>
        </w:rPr>
        <w:t>. We believe that our organically developed cloud-based software solutions, combined with our unified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enhances the experience and usability of our products, providing what we believe to be a competitive advantage over alternative solutions. Our modern, intuitive user interface utilizes features found in many popular consumer application experiences, enabling users to use our solutions with limited training. We plan to continue our technology innovation, as we have done with our mobile applications, social features and analytics capabilities.</w:t>
      </w:r>
    </w:p>
    <w:p>
      <w:pPr>
        <w:spacing w:after="0" w:line="183"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 Our Client Base</w:t>
      </w:r>
      <w:r>
        <w:rPr>
          <w:rFonts w:ascii="Times New Roman" w:cs="Times New Roman" w:eastAsia="Times New Roman" w:hAnsi="Times New Roman"/>
          <w:sz w:val="18"/>
          <w:szCs w:val="18"/>
          <w:color w:val="auto"/>
        </w:rPr>
        <w:t>. We believe that our current client base represents only a small portion of the organizations that could benefit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Our clients typically have between 10 to 5,000 employees and while we provide our HCM and payroll software solutions to approximately 33,300 clients across the U.S. (excluding clients acquired through acquisitions) as of June 30, 2022, there are over 1.3 million businesses with 10 to 5,000 employees in the U.S., employing approximately 73 million people, according to the U.S. Census Bureau in 2019. We estimate that if clients were to buy our entire suite of existing solutions at list prices, they would spend approximately $440 per employee annually. We believe our realized target addressable market is approximately $18.6 billion assuming $255 realized per employee per year as our existing clients do not typically own our entire suite of solutions. As we continue to expand our product offerings, we believe that we have an opportunity to increase the amount clients spend on HCM solutions per employee and to expand our addressable market. As we expand our client base and number of employees, we will also grow our sales organization.</w:t>
      </w:r>
    </w:p>
    <w:p>
      <w:pPr>
        <w:spacing w:after="0" w:line="188"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Expand Our Product Offerings</w:t>
      </w:r>
      <w:r>
        <w:rPr>
          <w:rFonts w:ascii="Times New Roman" w:cs="Times New Roman" w:eastAsia="Times New Roman" w:hAnsi="Times New Roman"/>
          <w:sz w:val="18"/>
          <w:szCs w:val="18"/>
          <w:color w:val="auto"/>
        </w:rPr>
        <w:t>. We believe a significant part of our leadership position is the result of our investment and innovation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offerings. We plan to continue to invest in product development efforts that will allow us to offer a broader selection of products to new and existing clients.</w:t>
      </w:r>
    </w:p>
    <w:p>
      <w:pPr>
        <w:spacing w:after="0" w:line="173" w:lineRule="exact"/>
        <w:rPr>
          <w:rFonts w:ascii="Times New Roman" w:cs="Times New Roman" w:eastAsia="Times New Roman" w:hAnsi="Times New Roman"/>
          <w:sz w:val="18"/>
          <w:szCs w:val="18"/>
          <w:i w:val="1"/>
          <w:iCs w:val="1"/>
          <w:color w:val="auto"/>
        </w:rPr>
      </w:pPr>
    </w:p>
    <w:p>
      <w:pPr>
        <w:ind w:left="660" w:hanging="328"/>
        <w:spacing w:after="0" w:line="25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Develop Our Referral Network</w:t>
      </w:r>
      <w:r>
        <w:rPr>
          <w:rFonts w:ascii="Times New Roman" w:cs="Times New Roman" w:eastAsia="Times New Roman" w:hAnsi="Times New Roman"/>
          <w:sz w:val="18"/>
          <w:szCs w:val="18"/>
          <w:color w:val="auto"/>
        </w:rPr>
        <w:t>. We have developed a strong network of referral participants, such as 401(k) advisors,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insurance brokers, third-party administrators and HR consultants that recommend our solutions and provide referrals. We believe that our platform’s automated data integration with hundreds of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333333"/>
        </w:rPr>
        <w:t>HCM and payroll software solutions</w:t>
      </w:r>
      <w:r>
        <w:rPr>
          <w:rFonts w:ascii="Times New Roman" w:cs="Times New Roman" w:eastAsia="Times New Roman" w:hAnsi="Times New Roman"/>
          <w:sz w:val="18"/>
          <w:szCs w:val="18"/>
          <w:color w:val="auto"/>
        </w:rPr>
        <w:t xml:space="preserve"> deliver a unified platform for the modern workplace. </w:t>
      </w:r>
      <w:r>
        <w:rPr>
          <w:rFonts w:ascii="Times New Roman" w:cs="Times New Roman" w:eastAsia="Times New Roman" w:hAnsi="Times New Roman"/>
          <w:sz w:val="18"/>
          <w:szCs w:val="18"/>
          <w:color w:val="333333"/>
        </w:rPr>
        <w:t>We offer an intuitive, easy-to-use product suite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helps businesses attract and retain talent, build culture and connection with their employees and streamline and automate HR and payroll processes.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product suite includes the following categories: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Payroll</w:t>
      </w:r>
    </w:p>
    <w:p>
      <w:pPr>
        <w:spacing w:after="0" w:line="212" w:lineRule="exact"/>
        <w:rPr>
          <w:sz w:val="20"/>
          <w:szCs w:val="20"/>
          <w:color w:val="auto"/>
        </w:rPr>
      </w:pPr>
    </w:p>
    <w:p>
      <w:pPr>
        <w:ind w:left="660" w:right="100"/>
        <w:spacing w:after="0" w:line="242" w:lineRule="auto"/>
        <w:rPr>
          <w:sz w:val="20"/>
          <w:szCs w:val="20"/>
          <w:color w:val="auto"/>
        </w:rPr>
      </w:pPr>
      <w:r>
        <w:rPr>
          <w:rFonts w:ascii="Times New Roman" w:cs="Times New Roman" w:eastAsia="Times New Roman" w:hAnsi="Times New Roman"/>
          <w:sz w:val="18"/>
          <w:szCs w:val="18"/>
          <w:i w:val="1"/>
          <w:iCs w:val="1"/>
          <w:color w:val="auto"/>
        </w:rPr>
        <w:t>Payroll and Tax Service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Payroll and Tax Services solution is designed to simplify payroll, automate processes and manage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requirements within one system. Our payroll solution leverages data from our Time and Attendance and Human Capital Management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spacing w:after="0" w:line="181" w:lineRule="exact"/>
        <w:rPr>
          <w:sz w:val="20"/>
          <w:szCs w:val="20"/>
          <w:color w:val="auto"/>
        </w:rPr>
      </w:pPr>
    </w:p>
    <w:p>
      <w:pPr>
        <w:ind w:left="660"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Global Payroll – </w:t>
      </w:r>
      <w:r>
        <w:rPr>
          <w:rFonts w:ascii="Times New Roman" w:cs="Times New Roman" w:eastAsia="Times New Roman" w:hAnsi="Times New Roman"/>
          <w:sz w:val="18"/>
          <w:szCs w:val="18"/>
          <w:color w:val="auto"/>
        </w:rPr>
        <w:t>Our cloud-based global payroll solution enables U.S.-based companies to manage payroll for employees outside the U.S.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complex local and country-specific requirements across many countries. It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provides consolidated reporting capabilities to efficiently manage a global employee base with real-time access to payroll data.</w:t>
      </w:r>
    </w:p>
    <w:p>
      <w:pPr>
        <w:spacing w:after="0" w:line="210" w:lineRule="exact"/>
        <w:rPr>
          <w:sz w:val="20"/>
          <w:szCs w:val="20"/>
          <w:color w:val="auto"/>
        </w:rPr>
      </w:pPr>
    </w:p>
    <w:p>
      <w:pPr>
        <w:jc w:val="both"/>
        <w:ind w:left="660" w:righ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Expense Management </w:t>
      </w:r>
      <w:r>
        <w:rPr>
          <w:rFonts w:ascii="Times New Roman" w:cs="Times New Roman" w:eastAsia="Times New Roman" w:hAnsi="Times New Roman"/>
          <w:sz w:val="18"/>
          <w:szCs w:val="18"/>
          <w:color w:val="auto"/>
        </w:rPr>
        <w:t>– Our Expense Management solution enables mobile app capture of receipts and imports transactions from credit cards,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manual entry errors and minimizing employee and approver paperwork, while also eliminating spreadsheets, calculators and manual approvals through automated workflows that route approved expenses for payroll reimbursement.</w:t>
      </w:r>
    </w:p>
    <w:p>
      <w:pPr>
        <w:spacing w:after="0" w:line="174"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On Demand Payment </w:t>
      </w:r>
      <w:r>
        <w:rPr>
          <w:rFonts w:ascii="Times New Roman" w:cs="Times New Roman" w:eastAsia="Times New Roman" w:hAnsi="Times New Roman"/>
          <w:sz w:val="18"/>
          <w:szCs w:val="18"/>
          <w:color w:val="auto"/>
        </w:rPr>
        <w:t>– On Demand Payment provides employees with visibility into their earned wages in between pay cycles based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worked and offers financial flexibility to employees through access to a portion of their earned wages before their scheduled payday without impacting the client’s standard payroll process.</w:t>
      </w:r>
    </w:p>
    <w:p>
      <w:pPr>
        <w:spacing w:after="0" w:line="161" w:lineRule="exact"/>
        <w:rPr>
          <w:sz w:val="20"/>
          <w:szCs w:val="20"/>
          <w:color w:val="auto"/>
        </w:rPr>
      </w:pPr>
    </w:p>
    <w:p>
      <w:pPr>
        <w:ind w:left="660" w:right="7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Garnishments </w:t>
      </w:r>
      <w:r>
        <w:rPr>
          <w:rFonts w:ascii="Times New Roman" w:cs="Times New Roman" w:eastAsia="Times New Roman" w:hAnsi="Times New Roman"/>
          <w:sz w:val="18"/>
          <w:szCs w:val="18"/>
          <w:color w:val="auto"/>
        </w:rPr>
        <w:t>– Our Garnishments solution provides the calculation, setup and maintenance of historical deduction records and performs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validation against state and federal legislation to mitigate compliance risk and prevent costly penalties and errors.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7" w:lineRule="exact"/>
        <w:rPr>
          <w:sz w:val="20"/>
          <w:szCs w:val="20"/>
          <w:color w:val="auto"/>
        </w:rPr>
      </w:pPr>
    </w:p>
    <w:p>
      <w:pPr>
        <w:ind w:left="660"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Core HR </w:t>
      </w:r>
      <w:r>
        <w:rPr>
          <w:rFonts w:ascii="Times New Roman" w:cs="Times New Roman" w:eastAsia="Times New Roman" w:hAnsi="Times New Roman"/>
          <w:sz w:val="18"/>
          <w:szCs w:val="18"/>
          <w:color w:val="auto"/>
        </w:rPr>
        <w:t>– Our Human Capital Management solutions streamline HR processes using modern, mobile-enabled tools that help save time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automating 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73"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Self-Service </w:t>
      </w:r>
      <w:r>
        <w:rPr>
          <w:rFonts w:ascii="Times New Roman" w:cs="Times New Roman" w:eastAsia="Times New Roman" w:hAnsi="Times New Roman"/>
          <w:sz w:val="18"/>
          <w:szCs w:val="18"/>
          <w:color w:val="auto"/>
        </w:rPr>
        <w:t>– Our Employee Self-Service module provides employees with access to their information 24/7, which allows them to 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checks, request time off, clock in and out, update personal data and collaborate with teammates. Employees can also enroll in benefits, view coverage, access Learning Management System training or view course completion status on-the-go via our mobile app.</w:t>
      </w:r>
    </w:p>
    <w:p>
      <w:pPr>
        <w:spacing w:after="0" w:line="173" w:lineRule="exact"/>
        <w:rPr>
          <w:sz w:val="20"/>
          <w:szCs w:val="20"/>
          <w:color w:val="auto"/>
        </w:rPr>
      </w:pPr>
    </w:p>
    <w:p>
      <w:pPr>
        <w:ind w:left="660" w:right="3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Document Library </w:t>
      </w:r>
      <w:r>
        <w:rPr>
          <w:rFonts w:ascii="Times New Roman" w:cs="Times New Roman" w:eastAsia="Times New Roman" w:hAnsi="Times New Roman"/>
          <w:sz w:val="17"/>
          <w:szCs w:val="17"/>
          <w:color w:val="auto"/>
        </w:rPr>
        <w:t>– Our Document Library serves as a central location to securely store personal employee files such as offer letters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reviews to help clients stay compliant and organized by replacing manual processes and paper files. HR professionals can search electronic documents and easily upload, store and download documents while managing access with our role-based permission settings.</w:t>
      </w:r>
    </w:p>
    <w:p>
      <w:pPr>
        <w:spacing w:after="0" w:line="155" w:lineRule="exact"/>
        <w:rPr>
          <w:sz w:val="20"/>
          <w:szCs w:val="20"/>
          <w:color w:val="auto"/>
        </w:rPr>
      </w:pPr>
    </w:p>
    <w:p>
      <w:pPr>
        <w:ind w:left="66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Compliance Dashboard </w:t>
      </w:r>
      <w:r>
        <w:rPr>
          <w:rFonts w:ascii="Times New Roman" w:cs="Times New Roman" w:eastAsia="Times New Roman" w:hAnsi="Times New Roman"/>
          <w:sz w:val="18"/>
          <w:szCs w:val="18"/>
          <w:color w:val="auto"/>
        </w:rPr>
        <w:t>– With our Compliance Dashboard, clients save time and money by staying up to date with new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topics such as employment verification, Equal Employment Opportunity and compensation.</w:t>
      </w:r>
    </w:p>
    <w:p>
      <w:pPr>
        <w:spacing w:after="0" w:line="158"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HR Edge </w:t>
      </w:r>
      <w:r>
        <w:rPr>
          <w:rFonts w:ascii="Times New Roman" w:cs="Times New Roman" w:eastAsia="Times New Roman" w:hAnsi="Times New Roman"/>
          <w:sz w:val="18"/>
          <w:szCs w:val="18"/>
          <w:color w:val="auto"/>
        </w:rPr>
        <w:t>– HR Edge supports human resource leaders’ navigation through complex compliance requirements, social issues and HR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Workforce Management</w:t>
      </w:r>
    </w:p>
    <w:p>
      <w:pPr>
        <w:spacing w:after="0" w:line="227" w:lineRule="exact"/>
        <w:rPr>
          <w:sz w:val="20"/>
          <w:szCs w:val="20"/>
          <w:color w:val="auto"/>
        </w:rPr>
      </w:pPr>
    </w:p>
    <w:p>
      <w:pPr>
        <w:ind w:left="66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Time and Attendance </w:t>
      </w:r>
      <w:r>
        <w:rPr>
          <w:rFonts w:ascii="Times New Roman" w:cs="Times New Roman" w:eastAsia="Times New Roman" w:hAnsi="Times New Roman"/>
          <w:sz w:val="18"/>
          <w:szCs w:val="18"/>
          <w:color w:val="auto"/>
        </w:rPr>
        <w:t>– Our Time and Attendance solution accurately tracks time and attendance data, eliminating the need for manual tracking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and reducing administrative tasks. Employees can request and manage time off, edit timecards and manage schedule changes. A customizable supervisor dashboard provides at-a-glance visibility to missed punches, pending time off requests, attendance exceptions and more.</w:t>
      </w:r>
    </w:p>
    <w:p>
      <w:pPr>
        <w:spacing w:after="0" w:line="173"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Scheduling </w:t>
      </w:r>
      <w:r>
        <w:rPr>
          <w:rFonts w:ascii="Times New Roman" w:cs="Times New Roman" w:eastAsia="Times New Roman" w:hAnsi="Times New Roman"/>
          <w:sz w:val="18"/>
          <w:szCs w:val="18"/>
          <w:color w:val="auto"/>
        </w:rPr>
        <w:t>– Clients can automate schedule tracking by creating and adjusting work schedules as needed, including leveraging templates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policies based on duration, time between shifts and availability without having to manually correct payroll data. Managers and employees can easily manage their schedules from our mobile app to ensure the appropriate shift coverage.</w:t>
      </w:r>
    </w:p>
    <w:p>
      <w:pPr>
        <w:spacing w:after="0" w:line="173" w:lineRule="exact"/>
        <w:rPr>
          <w:sz w:val="20"/>
          <w:szCs w:val="20"/>
          <w:color w:val="auto"/>
        </w:rPr>
      </w:pPr>
    </w:p>
    <w:p>
      <w:pPr>
        <w:ind w:left="66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Time Collection </w:t>
      </w:r>
      <w:r>
        <w:rPr>
          <w:rFonts w:ascii="Times New Roman" w:cs="Times New Roman" w:eastAsia="Times New Roman" w:hAnsi="Times New Roman"/>
          <w:sz w:val="18"/>
          <w:szCs w:val="18"/>
          <w:color w:val="auto"/>
        </w:rPr>
        <w:t>– Our wide variety of time collection devices include kiosks, state-of-the-art time clocks, and mobile and web applications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unique needs of different companies while enabling employees to clock in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wherever business is conducted. Advanced features include specifying geographic parameters for mobile punch-in, requiring employees to punch in with a photo, answering attestation prompts and temperature checks.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w:t>
      </w:r>
    </w:p>
    <w:p>
      <w:pPr>
        <w:spacing w:after="0" w:line="227"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Recruiting </w:t>
      </w:r>
      <w:r>
        <w:rPr>
          <w:rFonts w:ascii="Times New Roman" w:cs="Times New Roman" w:eastAsia="Times New Roman" w:hAnsi="Times New Roman"/>
          <w:sz w:val="18"/>
          <w:szCs w:val="18"/>
          <w:color w:val="auto"/>
        </w:rPr>
        <w:t>– Recruiting helps clients find the right candidates by offering intuitive tools to streamline talent acquisition processes from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to candidate acceptance. By modernizing the experience, clients can conveniently reach candidates wherever they are, including through embedded text messaging, and instantly track conversations in our platform. HR professionals can customize job applications and reach more candidates by automatically posting to online job portals. To promote an inclusive culture, clients can activate masking of certain candidate details to promote recruiting without bias, while still collecting all essential details, including diversity information. Additionally, our solution provides clients with the ability to auto-fill and simplify background checks, maintain and track personal and confidential data, and have real-time access to candidate information to enable timely staffing decisions. Recruiters can communicate with modern candidates in the ways they expect, including email and text messaging from right within our platform.</w:t>
      </w:r>
    </w:p>
    <w:p>
      <w:pPr>
        <w:spacing w:after="0" w:line="185"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Onboarding </w:t>
      </w:r>
      <w:r>
        <w:rPr>
          <w:rFonts w:ascii="Times New Roman" w:cs="Times New Roman" w:eastAsia="Times New Roman" w:hAnsi="Times New Roman"/>
          <w:sz w:val="18"/>
          <w:szCs w:val="18"/>
          <w:color w:val="auto"/>
        </w:rPr>
        <w:t>– Onboarding enables new employees to complete all pre-hire tasks through digital data collection to gather important personal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18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Learning Management </w:t>
      </w:r>
      <w:r>
        <w:rPr>
          <w:rFonts w:ascii="Times New Roman" w:cs="Times New Roman" w:eastAsia="Times New Roman" w:hAnsi="Times New Roman"/>
          <w:sz w:val="18"/>
          <w:szCs w:val="18"/>
          <w:color w:val="auto"/>
        </w:rPr>
        <w:t>– Our Learning Management solution (LMS) allows clients to easily assign courses tailored to training their employees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skills, policies, products, and 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The client’s custom content is supplemented by a library of standard trainings provided by Paylocity to help in areas like anti-harassment, new hire, workplace safety, diversity in recruiting and many more. Clients can also empower their employees to create trainings so that internal subject matter experts can share their expertise with colleagues. LMS also offers numerous diversity, equity, inclusion and accessibility courses, modules, and instructional kits to help ensure employees are educated to support a diverse workforce.</w:t>
      </w:r>
    </w:p>
    <w:p>
      <w:pPr>
        <w:spacing w:after="0" w:line="185"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Management </w:t>
      </w:r>
      <w:r>
        <w:rPr>
          <w:rFonts w:ascii="Times New Roman" w:cs="Times New Roman" w:eastAsia="Times New Roman" w:hAnsi="Times New Roman"/>
          <w:sz w:val="18"/>
          <w:szCs w:val="18"/>
          <w:color w:val="auto"/>
        </w:rPr>
        <w:t>– Our Performance Management tools enable transparent, two-way communication, allowing teams to have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conversations. 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18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Management </w:t>
      </w:r>
      <w:r>
        <w:rPr>
          <w:rFonts w:ascii="Times New Roman" w:cs="Times New Roman" w:eastAsia="Times New Roman" w:hAnsi="Times New Roman"/>
          <w:sz w:val="18"/>
          <w:szCs w:val="18"/>
          <w:color w:val="auto"/>
        </w:rPr>
        <w:t>– Compensation Management helps clients ensure alignment between organizational goals, budgets and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in an 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receives—including not just pay, but also benefits, time off, and more.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27"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Benefits Management </w:t>
      </w:r>
      <w:r>
        <w:rPr>
          <w:rFonts w:ascii="Times New Roman" w:cs="Times New Roman" w:eastAsia="Times New Roman" w:hAnsi="Times New Roman"/>
          <w:sz w:val="18"/>
          <w:szCs w:val="18"/>
          <w:color w:val="auto"/>
        </w:rPr>
        <w:t>– Clients can plan and administer competitive benefits packages in one place while offering a smooth, mobile-friendly enrollment and management experience for employees with our Employee Benefits Management tool. Benefit administrators can add enrollment rules, manage benefit offerings for different employee groups, customize user plan limits, and view plan documentation, among other features. Employees can manage their own elections in Employee Self Service or via the mobile app, access open</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enrollment, account balances and more. Clients can also use embedded experiences like notifications and training to help employees easily stay apprised of important dates and understand the benefit options available to them.</w:t>
      </w:r>
    </w:p>
    <w:p>
      <w:pPr>
        <w:spacing w:after="0" w:line="160"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Third-Party Administrative (TPA) Solutions </w:t>
      </w:r>
      <w:r>
        <w:rPr>
          <w:rFonts w:ascii="Times New Roman" w:cs="Times New Roman" w:eastAsia="Times New Roman" w:hAnsi="Times New Roman"/>
          <w:sz w:val="18"/>
          <w:szCs w:val="18"/>
          <w:color w:val="auto"/>
        </w:rPr>
        <w:t>– Our TPA solutions are designed to modernize the administration of HSA, FSA,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It also eases the administration of COBRA coverage and retiree billing.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Experiences</w:t>
      </w:r>
    </w:p>
    <w:p>
      <w:pPr>
        <w:spacing w:after="0" w:line="227" w:lineRule="exact"/>
        <w:rPr>
          <w:sz w:val="20"/>
          <w:szCs w:val="20"/>
          <w:color w:val="auto"/>
        </w:rPr>
      </w:pPr>
    </w:p>
    <w:p>
      <w:pPr>
        <w:ind w:left="660"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Community </w:t>
      </w:r>
      <w:r>
        <w:rPr>
          <w:rFonts w:ascii="Times New Roman" w:cs="Times New Roman" w:eastAsia="Times New Roman" w:hAnsi="Times New Roman"/>
          <w:sz w:val="18"/>
          <w:szCs w:val="18"/>
          <w:color w:val="auto"/>
        </w:rPr>
        <w:t>– Community is an integrated part of our platform that streamlines communication and fosters a culture of engagement not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broadcast emails, antiquated intranets or break room bulletin boards. It empowers clients to engage all employees—even those that are remote, on-the-go or do not have corporate email, which is more critical than ever in the new hybrid world of work. With Community, clients can optimize “broadcast” communications with a company feed that streamlines announcements into a single location. Announcements can be managed, sent and tracked with an intuitive dashboard. Clients can support their employees at scale with Ask an Expert groups where employees can pose questions to designated group experts who manage questions from a dashboard. Community also offers premium capabilities such as one-to-one and one-to many chat functionality to improve real-time communication; the ability to upload, create, edit, and share files; the automatic creation of team groups for supervisors and direct reports; updated user profiles allowing employees to list interests, team members, education, skills or hobbies and enhanced directory and search capability to easily find, follow and engage with co-workers.</w:t>
      </w:r>
    </w:p>
    <w:p>
      <w:pPr>
        <w:spacing w:after="0" w:line="188" w:lineRule="exact"/>
        <w:rPr>
          <w:sz w:val="20"/>
          <w:szCs w:val="20"/>
          <w:color w:val="auto"/>
        </w:rPr>
      </w:pPr>
    </w:p>
    <w:p>
      <w:pPr>
        <w:ind w:left="660"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Premium Video </w:t>
      </w:r>
      <w:r>
        <w:rPr>
          <w:rFonts w:ascii="Times New Roman" w:cs="Times New Roman" w:eastAsia="Times New Roman" w:hAnsi="Times New Roman"/>
          <w:sz w:val="18"/>
          <w:szCs w:val="18"/>
          <w:color w:val="auto"/>
        </w:rPr>
        <w:t>– Premium Video provides clients the ability to record, upload and embed videos across our HCM platform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morale, engagement and productivity. Clients can embed videos seamlessly into tasks that are critical to their business such as leadership announcements, job postings, onboarding, performance journals, surveys and more.</w:t>
      </w:r>
    </w:p>
    <w:p>
      <w:pPr>
        <w:spacing w:after="0" w:line="173" w:lineRule="exact"/>
        <w:rPr>
          <w:sz w:val="20"/>
          <w:szCs w:val="20"/>
          <w:color w:val="auto"/>
        </w:rPr>
      </w:pPr>
    </w:p>
    <w:p>
      <w:pPr>
        <w:ind w:left="660"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Surveys </w:t>
      </w:r>
      <w:r>
        <w:rPr>
          <w:rFonts w:ascii="Times New Roman" w:cs="Times New Roman" w:eastAsia="Times New Roman" w:hAnsi="Times New Roman"/>
          <w:sz w:val="18"/>
          <w:szCs w:val="18"/>
          <w:color w:val="auto"/>
        </w:rPr>
        <w:t>– Our Surveys tool help clients gather valuable employee feedback to encourage ongoing and transparent conversations while staying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touch with their workforce.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Peer Recognition </w:t>
      </w:r>
      <w:r>
        <w:rPr>
          <w:rFonts w:ascii="Times New Roman" w:cs="Times New Roman" w:eastAsia="Times New Roman" w:hAnsi="Times New Roman"/>
          <w:sz w:val="18"/>
          <w:szCs w:val="18"/>
          <w:color w:val="auto"/>
        </w:rPr>
        <w:t>– Peer Recognition promotes positive interactions by allowing employees to recognize and celebrate colleagues’ achievements.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also gives employees the ability to post accolades on their profiles and share with co-workers.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Insights &amp; Recommendations</w:t>
      </w:r>
    </w:p>
    <w:p>
      <w:pPr>
        <w:spacing w:after="0" w:line="22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Modern Workforce Index </w:t>
      </w:r>
      <w:r>
        <w:rPr>
          <w:rFonts w:ascii="Times New Roman" w:cs="Times New Roman" w:eastAsia="Times New Roman" w:hAnsi="Times New Roman"/>
          <w:sz w:val="18"/>
          <w:szCs w:val="18"/>
          <w:color w:val="auto"/>
        </w:rPr>
        <w:t>– Leveraging data from more than 33,000 clients, our patent-pending Modern Workforce Index (MWI) puts sophisticated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 into an HR intelligence dashboard that gives clients insight into employee sentiment, performance metrics, and engagement. With MWI, clients can identify gaps and get smart, actionable recommendations on how to improve their organization’s health by increasing employee productivity and reducing turnover.</w:t>
      </w:r>
    </w:p>
    <w:p>
      <w:pPr>
        <w:spacing w:after="0" w:line="180"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Insights </w:t>
      </w:r>
      <w:r>
        <w:rPr>
          <w:rFonts w:ascii="Times New Roman" w:cs="Times New Roman" w:eastAsia="Times New Roman" w:hAnsi="Times New Roman"/>
          <w:sz w:val="18"/>
          <w:szCs w:val="18"/>
          <w:color w:val="auto"/>
        </w:rPr>
        <w:t>– With our Data Insights solution, our clients can evaluate the health of their organizations with actionable insights in areas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 turnover, labor costs and composition of their employee populations so they can customize, fund and deploy strategies to support diverse employees and identify needs of underrepresented groups.</w:t>
      </w:r>
    </w:p>
    <w:p>
      <w:pPr>
        <w:spacing w:after="0" w:line="173"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 Clients can build and customize reports within our platform. We also offer hundreds of standard reports that clients can use as is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to suit their needs. New reports are added regularly in response to regulatory changes, compliance updates and client feedback.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Support Teams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supplement our comprehensive software platform with an integrated implementation and client service organization with deep subject matter expertise. Our core operation consists of various specialists, including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implementation teams, account managers, payroll processing and tax service teams. Delivering a positive experience and a high level of support is an essential element of our ability to sell our solutions and retain clients.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and Training Services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clients are typically either migrating to our platform from a competitive solution or are adopting their first online HCM and payroll solution. These organizations often have limited internal resources and rely on us to implement their HCM and payroll solutions. We typically implement our product suite within one to eight weeks, depending on the size and complexity of each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187"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We offer clients the opportunity to utilize on-demand or in-class training designed to provide clients with general knowledge on our solutions. We also host an annual client conference for clients to learn about new products and features and allow clients to provide feedback and learn best practices.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Service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client service model is designed to serve and support the needs of our clients and to build loyalty by developing strong relationships with clients. We strive to achieve high revenue retention, in part, by delivering high-quality service. Our revenue retention was greater than 92% in each of fiscal 2020, 2021 and 2022. Each client is assigned an account management team that serves as the central point of contact for any questions or support needs. We believe this approach enhances client service by providing clients with knowledgeable resources who understand the client’s business,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 industry content and Paylocity product and service information.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and Regulatory Services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ensure that clients remit timely and accurate tax payments. In addition, a series of audit routines are run to ensure that quarterly tax filings are accurate and submitted on a timely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Excluding clients acquired through acquisitions, as of June 30, 2022, we provided our HCM and payroll software solutions to approximately 33,300 clients, across the U.S. The rate at which we add clients is variable period-to-period and is also seasonal as many clients switch solutions during the first calendar quarter of each year. Clients include for-profit and non-profit organizations across industries including business services, financial services, healthcare, manufacturing, restaurants, retail, technology and others. For each of the three years ended June 30, 2020, 2021 and 2022, no client accounted for more than 1%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sales cycle begins with a sales lead generated by the sales representative, through our third-party referral network, a client referral, our telemarketing team, our external website, marketing lead generation strategies or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territory-based activities. We support our sales force with a marketing program that includes seminars and webinars, email marketing, social media marketing, broker events and web marketing.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Referral Network</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2022, more than 25% of our new client revenue originated by referrals from participants in our referral network.</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HCM and payroll solution providers who also provide retirement plans, health insurance and other products and services competitive with the offerings of the participants in our referral network, we focus only on our core business of providing HCM and payroll solutions. In some cases, we have formalized relationships in which we are a recommended vendor of these participants. In other cases, the relationships are informal. We typically do not compensate these participants for referrals.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Ecosystem</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HCM and payroll provider differentiates partners’ product offerings, strengthening their competitive positioning in their own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offer our solutions on a cloud-based platform that leverages a unified architecture and a common code base that we organically developed.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Clients do not need to install our software in their data centers and can access our solutions through any mobile device or web browser with Internet access.</w:t>
      </w:r>
    </w:p>
    <w:p>
      <w:pPr>
        <w:spacing w:after="0" w:line="205" w:lineRule="exact"/>
        <w:rPr>
          <w:sz w:val="20"/>
          <w:szCs w:val="20"/>
          <w:color w:val="auto"/>
        </w:rPr>
      </w:pPr>
    </w:p>
    <w:p>
      <w:pPr>
        <w:ind w:left="1300" w:right="20" w:hanging="320"/>
        <w:spacing w:after="0" w:line="315"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Multi-Tenant Architecture. </w:t>
      </w:r>
      <w:r>
        <w:rPr>
          <w:rFonts w:ascii="Times New Roman" w:cs="Times New Roman" w:eastAsia="Times New Roman" w:hAnsi="Times New Roman"/>
          <w:sz w:val="17"/>
          <w:szCs w:val="17"/>
          <w:color w:val="auto"/>
        </w:rPr>
        <w:t>Our software solutions were designed with a multi-tenant architecture. This architecture gives us an advantage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many disparate traditional systems, which are less flexible and require longer and more costly development and upgrade cycles.</w:t>
      </w:r>
    </w:p>
    <w:p>
      <w:pPr>
        <w:spacing w:after="0" w:line="134" w:lineRule="exact"/>
        <w:rPr>
          <w:rFonts w:ascii="Times New Roman" w:cs="Times New Roman" w:eastAsia="Times New Roman" w:hAnsi="Times New Roman"/>
          <w:sz w:val="17"/>
          <w:szCs w:val="17"/>
          <w:color w:val="auto"/>
        </w:rPr>
      </w:pPr>
    </w:p>
    <w:p>
      <w:pPr>
        <w:ind w:left="1300" w:hanging="320"/>
        <w:spacing w:after="0" w:line="281"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Focused. </w:t>
      </w:r>
      <w:r>
        <w:rPr>
          <w:rFonts w:ascii="Times New Roman" w:cs="Times New Roman" w:eastAsia="Times New Roman" w:hAnsi="Times New Roman"/>
          <w:sz w:val="17"/>
          <w:szCs w:val="17"/>
          <w:color w:val="auto"/>
        </w:rPr>
        <w:t>We employ mobile-centric principles in our solution design and development. We believe that the increasing mobility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64" w:lineRule="exact"/>
        <w:rPr>
          <w:rFonts w:ascii="Times New Roman" w:cs="Times New Roman" w:eastAsia="Times New Roman" w:hAnsi="Times New Roman"/>
          <w:sz w:val="17"/>
          <w:szCs w:val="17"/>
          <w:color w:val="auto"/>
        </w:rPr>
      </w:pPr>
    </w:p>
    <w:p>
      <w:pPr>
        <w:ind w:left="1300" w:right="20" w:hanging="320"/>
        <w:spacing w:after="0" w:line="290" w:lineRule="auto"/>
        <w:tabs>
          <w:tab w:leader="none" w:pos="12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Security. </w:t>
      </w:r>
      <w:r>
        <w:rPr>
          <w:rFonts w:ascii="Times New Roman" w:cs="Times New Roman" w:eastAsia="Times New Roman" w:hAnsi="Times New Roman"/>
          <w:sz w:val="17"/>
          <w:szCs w:val="17"/>
          <w:color w:val="auto"/>
        </w:rPr>
        <w:t>We maintain comprehensive security programs designed to ensure the security and integrity of client and employee data, protect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assessments for each release. Our systems undergo regular penetration testing and source code reviews by an independent third-party security firm.</w:t>
      </w:r>
    </w:p>
    <w:p>
      <w:pPr>
        <w:spacing w:after="0" w:line="16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both fragmented and highly competitive. Our competitors vary for each of our solutions and primarily include payroll and HR service and software providers, such as Automatic Data Processing, Inc., Paychex, Inc., Paycom Software, Inc., Paycor, Inc., Ultimate Kronos Group and other local and regional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Solutions built to connect with today’s modern workforce;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HCM and payroll product suite on a single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Configurability and ease of use of our solutions;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mobile, intuitive and consumer-oriented user experience;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of a cloud-based technology platform;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client needs rapidly;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HCM and payroll;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client service;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web-based payroll processing;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wide variety of complementary third-party service providers.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including research and development costs that were capitalized, were $91.0 million, $108.5 million and $145.1 million for the years ended June 30, 2020, 2021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Our success is dependent, in part, on our ability to protect our proprietary technology and other intellectual property rights. We rely on a combination of trade secrets, copyrights and trademarks, as well as contractual protections to</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more essential to establishing and maintaining our technology leadership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a provider of HCM and payroll solutions, our systems contain a significant amount of sensitive data related to clients, employees of our clients, business partners and our employees. Data privacy has become a significant issue for organizations globally, including those in the United States. The regulatory framework for privacy issues worldwide is rapidly evolving and is likely to remain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the California Privacy Rights Act of 2020 (“CPRA”) and the Illinois Biometric Information Privacy Act (“BIPA”). Further, because some of our clients have international operations, the European Union General Data Protection Regulation (“GDPR”) and other foreign data privacy laws may impact our processing of certain client and employee information.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many of our solutions are designed to assist clients with their compliance with certain U.S. federal, state and local laws and regulations that apply to them. As such, our products and services may become subject to increasing and/or changing regulatory requirements, including changes in tax, benefit and other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comply with and address the continuously evolving requirements and regulations applicable to our business depends on a variety of factors, including the functionality and design of our solutions and the manner in which our clients and their employees utilize them. We have implemented operating policies and procedures to protect the accuracy, privacy and security of our clients’ and their employees’ information and voluntarily undergo certain periodic audits and examinations and maintain certain certifications to demonstrate our commitment to regulatory compliance.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include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leading provider of cloud-based HCM and payroll software solutions, we are committed to delivering the most modern suite of solutions that drive employee engagement and a more connected culture for both our clients and our employees. Our Co-CEOs, together with our senior executive team and Board of Directors, drive our human capital strategy including key initiatives related to our employees and company culture.</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human capital initiatives, we encourage investors and other users of this Annual Report on Form 10-K to visit our Corporate Social Responsibility website at https://www.paylocity.com/who-we-are/about-us/corporate-responsibility/. The information contained on this website is not incorporated by reference into this Annual Report on Form 10-K.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our workforce consisted of approximately 5,300 employees, substantially all of which were employed on a full-time basis in the United States.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 &amp; Engagement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At Paylocity, we strive to be an organization where every employee has a voice,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2022 Best Employers for Diversity, Forbes 2022 America’s Best Mid-Size Employers and was also certified Great Place To Work on multiple occasions.</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support a number of employee resource groups (“ERGs”) including PCTY Equality, which focuses on fostering a positive work environment and providing support for employees and allies of the LGBTQIA+ community, our PCTY OneWorld group, which fosters an inclusive work environment and provides support for our employees of diverse ethnic backgrounds, PCTY Sheroes, which supports and celebrates women, PCTY Sustainability, whereby our employees support initiatives to operate our business and facilities to conserve energy, water and raw materials, and new this year, our PCTY Mental Health, which promotes a psychologically safe and healthy workplace where employees bring their whole selves to work and their mental well-being is supported. Each of these groups are organized to give employees the chance to build community and connections, voice their ideas and perspectives, personally develop and grow, and shape our culture to make a difference at work and in our local communities.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Inclusion and Accessibility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Dedication to diversity, equity, inclusion and accessibility (“DEIA”) is foundational to our culture. Led by our Chief Diversity Officer and Diversity Leadership Council, we remain committed to increasing the representation of minority groups within our organization, including in leadership roles, and we directly focus on these goals within our talent acquisition and employee development efforts. Our focus includes attracting diverse candidates to our organization while also investing in professional development and mentorship programs focused on underrepresented employee groups.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approximately 51% of our employees identified as female and 36% of our employees were made up of underrepresented minorities. As of June 30, 2022, approximately 44% of director roles and above were held by a female and 28% of our director roles and above were held by underrepresented minorities. The tables below provide metrics regarding the composition of our workforce as of June 30,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Overall Workforce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Ethnicity</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6"/>
                <w:szCs w:val="16"/>
                <w:color w:val="auto"/>
              </w:rPr>
            </w:pPr>
          </w:p>
        </w:tc>
        <w:tc>
          <w:tcPr>
            <w:tcW w:w="21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*Undisclosed</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Asian &amp; Indian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&amp; Latinx</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Multiracial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Indian or Alaskan Native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Undisclosed*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80" w:type="dxa"/>
            <w:vAlign w:val="bottom"/>
            <w:tcBorders>
              <w:bottom w:val="single" w:sz="8" w:color="CCEEFF"/>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Overall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Leadership**</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Ethnicity</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gridSpan w:val="2"/>
            <w:vMerge w:val="continue"/>
          </w:tcPr>
          <w:p>
            <w:pPr>
              <w:spacing w:after="0"/>
              <w:rPr>
                <w:sz w:val="16"/>
                <w:szCs w:val="16"/>
                <w:color w:val="auto"/>
              </w:rPr>
            </w:pP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All</w:t>
            </w:r>
          </w:p>
        </w:tc>
        <w:tc>
          <w:tcPr>
            <w:tcW w:w="100" w:type="dxa"/>
            <w:vAlign w:val="bottom"/>
          </w:tcPr>
          <w:p>
            <w:pPr>
              <w:spacing w:after="0"/>
              <w:rPr>
                <w:sz w:val="16"/>
                <w:szCs w:val="16"/>
                <w:color w:val="auto"/>
              </w:rPr>
            </w:pPr>
          </w:p>
        </w:tc>
        <w:tc>
          <w:tcPr>
            <w:tcW w:w="20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*Undisclosed</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Asian &amp; Indian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Hispanic &amp; Latinx</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Multiracial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Indian or Alaskan Native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Undisclosed*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Overall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440" w:firstLine="8"/>
        <w:spacing w:after="0" w:line="282"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preferred to not disclose an ethnicity and/or gender ** Defined as individuals in director-level positions and above</w:t>
      </w:r>
    </w:p>
    <w:p>
      <w:pPr>
        <w:spacing w:after="0" w:line="162"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To support our DEIA efforts, we launched a curriculum of learning and training content known as “BRIDGE” (Belonging, Respect, Inclusion, Diversity, Generosity, and Equity), that delivers training content related to topics such as unconscious bias, inclusive leadership and building diverse teams. Our curriculum is designed with the needs of both our employees and clients in mind, with content widely available via our Learning Management System.</w:t>
      </w:r>
    </w:p>
    <w:p>
      <w:pPr>
        <w:spacing w:after="0" w:line="15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also strive to cultivate the most inclusive workplace culture possible. To deliver on this commitment, we launched our second annual “Get Counted” self-ID campaign which allows employees to self-identify in areas such as disability, race, ethnicity, gender, gender identity, veteran status, sexual orientation, and personal pronouns. This data provides an accurate view of our diverse workforce so we can better customize, fund, and initiate specialized programming, accommodations and strategies.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Learning &amp; Development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2022 Association for Talent Development 100 Best Training organization, we are committed to creating industry leading talent development and leadership programs that support the professional growth of our employees. In addition to other programs throughout our organization, we provide our operations team with an immersive scenario-based training program and our salesforce with an intensive learning experience on our go-to-market sales strategy and process. Through our internally developed Learning Management System (“LMS”) with Video Premium, we enable employees to share knowledge through self-recorded sessions, which complements our library consisting of hundreds of internal courses. We continue to invest in our employees by providing development opportunities through our Leader of Others program, which is designed to help prepare new leaders to guide their team to high performance. This leadership program, combined with our strong culture, increasingly results in our employees stepping into larger roles within the organization evidenced by 53% of new leadership roles being filled internally during fiscal 2022.</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&amp; Compensation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focus diligently on attracting a diverse pool of talented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 We have embraced flexible working arrangements which we believe are essential to enable our employees to work in the environment that best suits their needs.</w:t>
      </w:r>
    </w:p>
    <w:p>
      <w:pPr>
        <w:spacing w:after="0" w:line="183"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compensation approach is centered around a philosophy that allows us to compete for and retain the right talent to grow our organization, while being consistent and equitable. Our total rewards program includes competitive pay, an employee stock purchase program, the ability to receive a portion of earned wages before the end of the payroll cycle through our On-Demand Payment product, market competitive retirement benefits, paid time off, the ability to consolidate and refinance federal and private student loans, interest free employee loans and many other benefits. Retaining talent is key to our compensation strategy, therefore we have expanded our restricted stock program to cover more than half of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employee base. We partner with best-in-class organizations to ensure that we utilize the most current data to serve as a foundation of our compensation strategy.</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also committed to supporting the health and well-being of our employees and offer a multitude of resources to assist in these efforts. In addition to traditional benefit offerings, we provide all employees with innovative perks and benefits, such as flexible work schedules, paid parental leave, adoption assistance, health advocacy services, paid time off to volunteer, tuition reimbursement and many others. We are also very proud to offer a benefits package that is certified by the World Professional Association for Transgender Health.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PCTY Gives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Giving back to our local communities takes many forms at Paylocity. Through PCTY Gives, we mobilize our technology, people and resources across the country through in-kind donations, our Elevate Your Passions (“EYP”) Grant Program, Volunteers in Action paid time-off, signature program funding, corporate sponsored volunteerism and many other initiatives. To support our employees and their communities, each quarter we donate to qualified 501 (c)(3) charities nominated by our employees through the EYP program. In addition to local charities, Paylocity partners with national organizations such as Big Brothers Big Sisters of America, Blessings in a Backpack, American Red Cross, National Alliance on Mental Illness and Illinois Science and Technology Coalition. To support the children of Paylocity employees, the Peter J. McGrail Scholarship program, named after our late CFO, provides higher education tuition assistance for selected participants.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due to a variety of factors, many of which are outside of our control.</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Due to this seasonality in our business, quarter-to-quarter comparisons of our operations are not necessarily meaningful and such comparisons should not be relied upon as indications of future performance. Additionally, fluctuation in quarterly results may negatively impact the price of our common stock.</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6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225" w:lineRule="exact"/>
        <w:rPr>
          <w:rFonts w:ascii="Times New Roman" w:cs="Times New Roman" w:eastAsia="Times New Roman" w:hAnsi="Times New Roman"/>
          <w:sz w:val="18"/>
          <w:szCs w:val="18"/>
          <w:color w:val="auto"/>
        </w:rPr>
      </w:pPr>
    </w:p>
    <w:p>
      <w:pPr>
        <w:ind w:left="1300" w:right="640" w:hanging="320"/>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repeal of or changes to the laws and regulations related to the products and services which we offer;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public health issues such as the coronavirus disease (“COVID-19”) pandemic;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changes in interest rates and inflationary pressures;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negatively impact our operating results from period to period.</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and we believe we will continue to experience rapid revenue and client base growth.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and HR consultants,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market for HCM and payroll solutions is fragmented, highly competitive and rapidly changing. Our competitors vary for each of our solutions and primarily include payroll and HR service and software providers, such as Automatic Data Processing, Inc., Paychex, Inc., Paycom Software, Inc., Paycor, Inc., Ultimate Kronos Group and other local and regional providers.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Several of our competitors are larger and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8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competition to continue for these reasons, and such competition could negatively impact our sales, profitability or market share.</w:t>
      </w:r>
    </w:p>
    <w:p>
      <w:pPr>
        <w:spacing w:after="0" w:line="16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may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pandemics and other force majeure events outside our control;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225"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worms, malware, ransomware, denial-of-service attacks and similar disruptive problems;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9"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disruptions in the operations of third-party providers.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where we currently do not have operations in and as a result may subjects us to regulatory, economic and political risks that are different from those in the United States.</w:t>
      </w:r>
    </w:p>
    <w:p>
      <w:pPr>
        <w:spacing w:after="0" w:line="180"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also currently have agreements with eleven major U.S.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 or restrict the dollar amounts of funds that they will process on behalf of our clients, their doing so may impede our ability to process funds and could have an adverse impact on our business.</w:t>
      </w:r>
    </w:p>
    <w:p>
      <w:pPr>
        <w:spacing w:after="0" w:line="179"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36"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Our success depends largely upon the continued services of our key executive officers. We also rely on our leadership team in the areas of product development, sales,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Competition for skilled employees across the United States and globally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Our HCM and payroll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 product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liability claim and errors or omissions claim could subject us to significant legal defense costs and adverse publicity regardless of the merits or eventual outcome of such a claim.</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Some of our products utilize certain third-party software.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integrate the acquired personnel, operations and technologies successfully, or effectively manage the combined business following the acquisition. Factors that may negatively impact our operating results, business and financial position, without limitation include the following:</w:t>
      </w:r>
    </w:p>
    <w:p>
      <w:pPr>
        <w:spacing w:after="0" w:line="176"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operations, or services in a profitable manner;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modules and contract terms, including disparities in the revenues, licensing, support or professional services model of the acquired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 or the incurrence of debt.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Intellectual Property Rights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4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the systems of our clients or use of confidential information we obtain during the normal course of our business could result in the unauthorized disclosure of confidential information, identity and financial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We have security measures and controls in place to protect confidential information, prevent data loss, theft and other security breaches, including penetration tests of our systems by independent third parties. However,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HCM and payroll modules.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21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and/or changing regulatory requirements, including changes in tax, benefit and other international and domestic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privacy laws and regulations may have a material adverse effect on reputation, financial condition, and/or operations.</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processing of personal information for our employees and on behalf of our clients is subject to federal, state and international privacy laws. These laws, which are not uniform, generally regulate the collection, storage, transfer, and other processing of personal information; require notice to individuals of privacy practices before or at the point of collection; give individuals certain rights with respect to their personal information, including access, deletion and correction; regulate the use or disclosure of personal information for secondary purposes such as marketing; and require notification to affected individuals, clients, and/or regulators in the event of a data breach.</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applies to our benefit administration solution, BeneFLEX. The European Union General Data Protection Regulation ("GDPR"), and state consumer privacy laws like the California Consumer Protection Act ("CCPA"), which will be replaced by the California Privacy Rights Act of 2020 ("CPRA"), are among the most comprehensive privacy laws and apply to multiple areas of our business. Countries and U.S. states are increasingly adopting similarly comprehensive laws that impose new data privacy protection requirements and restrictions on covered organizations. Notably, these laws can impose significant penalties and fines on organizations for non-compliance, such as 4% of worldwide revenue for the preceding year under the GDPR. Colorado and Virginia also recently passed their own consumer data privacy statutes modeled on the CCPA, which are scheduled to go into effect in 2023.</w:t>
      </w:r>
    </w:p>
    <w:p>
      <w:pPr>
        <w:spacing w:after="0" w:line="216" w:lineRule="exact"/>
        <w:rPr>
          <w:sz w:val="20"/>
          <w:szCs w:val="20"/>
          <w:color w:val="auto"/>
        </w:rPr>
      </w:pPr>
    </w:p>
    <w:p>
      <w:pPr>
        <w:ind w:right="240" w:firstLine="648"/>
        <w:spacing w:after="0" w:line="241" w:lineRule="auto"/>
        <w:rPr>
          <w:sz w:val="20"/>
          <w:szCs w:val="20"/>
          <w:color w:val="auto"/>
        </w:rPr>
      </w:pPr>
      <w:r>
        <w:rPr>
          <w:rFonts w:ascii="Times New Roman" w:cs="Times New Roman" w:eastAsia="Times New Roman" w:hAnsi="Times New Roman"/>
          <w:sz w:val="18"/>
          <w:szCs w:val="18"/>
          <w:color w:val="auto"/>
        </w:rPr>
        <w:t>The worldwide regulatory focus on privacy has intensified during the past several years, in part triggered by the GDPR, and has led to the rapid evolution of legal requirements related to the handling of personal information in ways that require our business to adapt to support our clients’ compliance. As this focus continues, the potential risks related to handling personal information by our business will only increase. To add to the complexity of the existing privacy landscape, many areas of existing privacy laws are subject to interpretation, which imposes an added risk that adverse interpretations of these laws by advocacy groups and governments in countries where our clients operate could impose significant obligations on our business or prevent us from offering certain services in jurisdictions where we currently operate.</w:t>
      </w:r>
    </w:p>
    <w:p>
      <w:pPr>
        <w:spacing w:after="0" w:line="21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Some of our modern products, such as Data Insights, use artificial intelligence and machine learning to help our clients manage their businesses and are important components of the value that our solutions provide to our clients. The ability to provide data-driven insights, however, may be constrained by current or future regulatory requirements or ethical considerations that could restrict or impose burdensome and costly requirements on our ability to continue to leverage data in innovative ways.</w:t>
      </w:r>
    </w:p>
    <w:p>
      <w:pPr>
        <w:spacing w:after="0" w:line="21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Enforcement actions and investigations by regulatory authorities related to security incidents and privacy violations continue to increase. Future enforcement actions or investigations could impact us through increased costs or restrictions on our businesses. A finding of noncompliance could result in significant regulatory penalties, legal liability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and burdensome governmental oversight. Additionally, security events and concerns about privacy abuses by other companies are changing consumer and social expectations for enhanced privacy. As a result, a perception of noncompliance could damage our reputation with our current and potential clients, employees and stockholders.</w:t>
      </w:r>
    </w:p>
    <w:p>
      <w:pPr>
        <w:spacing w:after="0" w:line="186"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5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debt agreements contain covenants that may constrain the operation of our business, and our failure to comply with these covenants could have a material adverse effect on our financial condition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five-year revolving credit agreement that we entered into in July 2019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could have a negative impact on our business and financial condition.</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July 29, 2022, our directors, executive officers and holders of more than 5% of our common stock, together with their respective affiliates, beneficially owned, in the aggregate, approximately 26.7%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76"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acts of God, war, incidents of terrorism, inflationary pressures or other destabilizing events and the resulting responses to them).</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July 29, 2022, we had an aggregate of 55,277,660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registered 22,053,893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83" w:lineRule="exact"/>
        <w:rPr>
          <w:sz w:val="20"/>
          <w:szCs w:val="20"/>
          <w:color w:val="auto"/>
        </w:rPr>
      </w:pPr>
    </w:p>
    <w:p>
      <w:pPr>
        <w:ind w:left="1300" w:right="28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22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25"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have been, and will continue to be, adversely impacted by the uncertainties and consequences stemming from the COVID-19 pandemic.</w:t>
      </w:r>
    </w:p>
    <w:p>
      <w:pPr>
        <w:spacing w:after="0" w:line="15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business depends on the overall demand for HCM and payroll software and services, and on the economic health of our current and prospective clients. The impacts of the COVID-19 pandemic on our business, clients, partners, employees, markets and financial results and condition, are evolving and dependent on numerous unpredictable factors outside of our control, including:</w:t>
      </w:r>
    </w:p>
    <w:p>
      <w:pPr>
        <w:spacing w:after="0" w:line="176" w:lineRule="exact"/>
        <w:rPr>
          <w:sz w:val="20"/>
          <w:szCs w:val="20"/>
          <w:color w:val="auto"/>
        </w:rPr>
      </w:pPr>
    </w:p>
    <w:p>
      <w:pPr>
        <w:ind w:left="1300" w:right="22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severity of the pandemic as a public health matter and its impact on governments, businesses, society, our clients, our partners and our business;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measures being taken by governments, businesses and society in response to the pandemic</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effectiveness of fiscal and monetary stimulus programs and other legislative and regulatory measures being implemented by federal, state and local governments;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business failures among our clients and other businesses;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and extent to which our clients and other businesses recover and add employees and other compensated individuals;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current and prospective clients to invest in our products and services.</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may impact our business unfavorably. There can be no assurance that the economic recovery will continue or offset the uncertainty and instability resulting from the COVID-19 pandemic. Even as the COVID-19 pandemic subsides, we may continue to experience adverse impacts to our business as a result of its global economic impact, including any recession, economic downturn, inflation, or increased unemployment that has occurred or may occur in the future.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our corporate headquarters occupied approximately 326,000 square feet in Schaumburg, Illinois under leases with final expiration in October 2032. We also utilize office spaces consisting of approximately 70,000 square feet in Lake Mary, Florida and approximately 69,000 square feet in Meridian, Idaho as other major operations centers. We lease other smaller facilities across the U.S. that serve as data centers, sales offices and distribution centers.</w:t>
      </w:r>
    </w:p>
    <w:p>
      <w:pPr>
        <w:spacing w:after="0" w:line="18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12 of the Notes to the Consolidated Financial Statements included in Part II, Item 8: “Financial Statements and Supplementary Data”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58"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29, 2022, the last reported sale price of our common stock on the NASDAQ Global Select Market was $205.93 per share, and there were 15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of Common Stock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Follow-On Offering of Common Stock</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Secondary Offering of Common Stock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will be included in our Proxy Statement relating to our 2023 annual meeting of stockholders to be filed with the SEC within 120 days after the end of our fiscal year ended June 30, 2022 and is incorporated herein by reference.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cumulative stockholder return on our common stock with the total cumulative return of the S&amp;P 500 Index and the S&amp;P 1500 Application Software Index during the period commencing on June 30, 2017 and ending on June 30, 2022.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125730</wp:posOffset>
            </wp:positionV>
            <wp:extent cx="5254625" cy="3429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46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5" w:lineRule="exact"/>
        <w:rPr>
          <w:sz w:val="20"/>
          <w:szCs w:val="20"/>
          <w:color w:val="auto"/>
        </w:rPr>
      </w:pPr>
    </w:p>
    <w:p>
      <w:pPr>
        <w:ind w:right="40"/>
        <w:spacing w:after="0" w:line="261" w:lineRule="auto"/>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color w:val="auto"/>
        </w:rPr>
        <w:t>The following discussion of our financial condition and results of operations covers fiscal 2022 and 2021 items and year-over-year comparisons between fiscal 2022 and 2021. Discussion of fiscal 2020 items and year-over-year comparisons between fiscal 2021 and 2020 that are not included in this Form 10-</w:t>
      </w:r>
      <w:hyperlink r:id="rId44">
        <w:r>
          <w:rPr>
            <w:rFonts w:ascii="Times New Roman" w:cs="Times New Roman" w:eastAsia="Times New Roman" w:hAnsi="Times New Roman"/>
            <w:sz w:val="18"/>
            <w:szCs w:val="18"/>
            <w:i w:val="1"/>
            <w:iCs w:val="1"/>
            <w:color w:val="auto"/>
          </w:rPr>
          <w:t xml:space="preserve">K can be found in “Management’s Discussion and Analysis of Financial Condition and Results of Operations” in Part II, Item 7 of our </w:t>
        </w:r>
        <w:r>
          <w:rPr>
            <w:rFonts w:ascii="Times New Roman" w:cs="Times New Roman" w:eastAsia="Times New Roman" w:hAnsi="Times New Roman"/>
            <w:sz w:val="18"/>
            <w:szCs w:val="18"/>
            <w:i w:val="1"/>
            <w:iCs w:val="1"/>
            <w:u w:val="single" w:color="auto"/>
            <w:color w:val="0000FF"/>
          </w:rPr>
          <w:t>Annual Report on</w:t>
        </w:r>
      </w:hyperlink>
      <w:r>
        <w:rPr>
          <w:rFonts w:ascii="Times New Roman" w:cs="Times New Roman" w:eastAsia="Times New Roman" w:hAnsi="Times New Roman"/>
          <w:sz w:val="18"/>
          <w:szCs w:val="18"/>
          <w:i w:val="1"/>
          <w:iCs w:val="1"/>
          <w:color w:val="auto"/>
        </w:rPr>
        <w:t xml:space="preserve"> </w:t>
      </w:r>
      <w:hyperlink r:id="rId44">
        <w:r>
          <w:rPr>
            <w:rFonts w:ascii="Times New Roman" w:cs="Times New Roman" w:eastAsia="Times New Roman" w:hAnsi="Times New Roman"/>
            <w:sz w:val="18"/>
            <w:szCs w:val="18"/>
            <w:i w:val="1"/>
            <w:iCs w:val="1"/>
            <w:u w:val="single" w:color="auto"/>
            <w:color w:val="0000FF"/>
          </w:rPr>
          <w:t>Form 10-K for the fiscal year ended June 30, 2021 that was filed with the SEC on August 6, 2021</w:t>
        </w:r>
        <w:r>
          <w:rPr>
            <w:rFonts w:ascii="Times New Roman" w:cs="Times New Roman" w:eastAsia="Times New Roman" w:hAnsi="Times New Roman"/>
            <w:sz w:val="18"/>
            <w:szCs w:val="18"/>
            <w:i w:val="1"/>
            <w:iCs w:val="1"/>
            <w:u w:val="single" w:color="auto"/>
            <w:color w:val="0000EE"/>
          </w:rPr>
          <w:t>.</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7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83"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prospects. We expect to continue to invest in and grow our implementation and client service organization as our client base grows.</w:t>
      </w:r>
    </w:p>
    <w:p>
      <w:pPr>
        <w:spacing w:after="0" w:line="1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novel coronavirus disease (“COVID-19”) continues to impact the global economy. The duration and severity of the COVID-19 pandemic, and the long-term effects the pandemic will have on our clients and general economic conditions, remain uncertain and difficult to predict. Despite the uncertainties related to the COVID-19 pandemic, we continue to deliver strong sales performance and operational execution as the demand for our product offerings remains robust. As the end of the pandemic is difficult to predict, our business and financial performance may be unfavorably impacted in future periods. Refer to “Item 1A. Risk Factors” in this Annual Report on Form 10-K for risks related to the COVID-19 pandemic to our business and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revenues increased from $561.3 million in fiscal 2020 to $635.6 million in fiscal 2021, representing a 13% year-over-year increase. Total revenues increased from $635.6 million in fiscal 2021 to $852.7 million in fiscal 2022, representing a 34% year-over-year increase. During fiscal 2022, total revenue growth was driven by the strong performance by our sales team, continued annual revenue retention in excess of 92% and an overall improvement in macroeconomic conditions compared to the prior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Count Growth</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Excluding clients acquired through acquisitions, we have increased the number of clients using our HCM and payroll software solutions from approximately 24,450 as of June 30, 2020 to approximately 33,300 as of June 30, 2022, representing a compound annual growth rate of approximately 17%. The table below sets forth the total number of clients using our HCM and payroll software solutions for the periods indicated, rounded to the nearest fifty.</w:t>
      </w:r>
    </w:p>
    <w:p>
      <w:pPr>
        <w:spacing w:after="0" w:line="2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2"/>
            <w:shd w:val="clear" w:color="auto" w:fill="CCEEFF"/>
          </w:tcPr>
          <w:p>
            <w:pPr>
              <w:jc w:val="right"/>
              <w:ind w:right="6540"/>
              <w:spacing w:after="0"/>
              <w:rPr>
                <w:sz w:val="20"/>
                <w:szCs w:val="20"/>
                <w:color w:val="auto"/>
              </w:rPr>
            </w:pPr>
            <w:r>
              <w:rPr>
                <w:rFonts w:ascii="Times New Roman" w:cs="Times New Roman" w:eastAsia="Times New Roman" w:hAnsi="Times New Roman"/>
                <w:sz w:val="18"/>
                <w:szCs w:val="18"/>
                <w:color w:val="auto"/>
              </w:rPr>
              <w:t>Client Count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28,750</w:t>
            </w:r>
          </w:p>
        </w:tc>
        <w:tc>
          <w:tcPr>
            <w:tcW w:w="100" w:type="dxa"/>
            <w:vAlign w:val="bottom"/>
            <w:shd w:val="clear" w:color="auto" w:fill="CCEEFF"/>
          </w:tcPr>
          <w:p>
            <w:pPr>
              <w:spacing w:after="0"/>
              <w:rPr>
                <w:sz w:val="21"/>
                <w:szCs w:val="21"/>
                <w:color w:val="auto"/>
              </w:rPr>
            </w:pPr>
          </w:p>
        </w:tc>
        <w:tc>
          <w:tcPr>
            <w:tcW w:w="14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33,300</w:t>
            </w: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Revenue Retention Rate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use Adjusted Gross Profit and Adjusted EBITDA to evaluate our operating results. We prepare Adjusted Gross Profit and Adjusted EBITDA to eliminate the impact of items we do not consider indicative of our ongoing operating performance. However,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and certain acquired intangibles and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Gross Profit and Adjusted EBITDA have limitations as analytical tools. Some of these limitations include the following:</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ongoing or future requirements for capital expenditures;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income tax expense or the cash requirement to pay our taxes;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61"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Gross Profit and Adjusted EBITDA differently than we do, limiting their usefulness as a comparative measure.</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Because of these limitations, you should not consider Adjusted Gross Profit as an alternative to gross profit or Adjusted EBITDA as an alternative to net income or net cash provided by operating activities, in each case as determined in accordance with GAAP. We compensate for these limitations by relying primarily on our GAAP results, and we use Adjusted Gross Profit and Adjusted EBITDA only as supplemental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Directly comparable GAAP measures to Adjusted Gross Profit and Adjusted EBITDA are gross profit and net income, respectively. We reconcile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Gross Profit and Adjusted EBITDA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0" w:type="dxa"/>
            <w:vAlign w:val="bottom"/>
          </w:tcPr>
          <w:p>
            <w:pPr>
              <w:spacing w:after="0"/>
              <w:rPr>
                <w:sz w:val="1"/>
                <w:szCs w:val="1"/>
                <w:color w:val="auto"/>
              </w:rPr>
            </w:pPr>
          </w:p>
        </w:tc>
      </w:tr>
      <w:tr>
        <w:trPr>
          <w:trHeight w:val="544"/>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565,649</w:t>
            </w:r>
          </w:p>
        </w:tc>
        <w:tc>
          <w:tcPr>
            <w:tcW w:w="0" w:type="dxa"/>
            <w:vAlign w:val="bottom"/>
          </w:tcPr>
          <w:p>
            <w:pPr>
              <w:spacing w:after="0"/>
              <w:rPr>
                <w:sz w:val="1"/>
                <w:szCs w:val="1"/>
                <w:color w:val="auto"/>
              </w:rPr>
            </w:pPr>
          </w:p>
        </w:tc>
      </w:tr>
      <w:tr>
        <w:trPr>
          <w:trHeight w:val="277"/>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 and certain acquired intangibles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27,120</w:t>
            </w:r>
          </w:p>
        </w:tc>
        <w:tc>
          <w:tcPr>
            <w:tcW w:w="0" w:type="dxa"/>
            <w:vAlign w:val="bottom"/>
          </w:tcPr>
          <w:p>
            <w:pPr>
              <w:spacing w:after="0"/>
              <w:rPr>
                <w:sz w:val="1"/>
                <w:szCs w:val="1"/>
                <w:color w:val="auto"/>
              </w:rPr>
            </w:pP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0" w:type="dxa"/>
            <w:vAlign w:val="bottom"/>
          </w:tcPr>
          <w:p>
            <w:pPr>
              <w:spacing w:after="0"/>
              <w:rPr>
                <w:sz w:val="1"/>
                <w:szCs w:val="1"/>
                <w:color w:val="auto"/>
              </w:rPr>
            </w:pPr>
          </w:p>
        </w:tc>
      </w:tr>
      <w:tr>
        <w:trPr>
          <w:trHeight w:val="270"/>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40" w:type="dxa"/>
            <w:vAlign w:val="bottom"/>
            <w:shd w:val="clear" w:color="auto" w:fill="D2EDFE"/>
          </w:tcPr>
          <w:p>
            <w:pPr>
              <w:spacing w:after="0"/>
              <w:rPr>
                <w:sz w:val="23"/>
                <w:szCs w:val="23"/>
                <w:color w:val="auto"/>
              </w:rPr>
            </w:pPr>
          </w:p>
        </w:tc>
        <w:tc>
          <w:tcPr>
            <w:tcW w:w="1240" w:type="dxa"/>
            <w:vAlign w:val="bottom"/>
            <w:gridSpan w:val="2"/>
            <w:shd w:val="clear" w:color="auto" w:fill="D2EDF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3"/>
                <w:szCs w:val="23"/>
                <w:color w:val="auto"/>
              </w:rPr>
            </w:pPr>
          </w:p>
        </w:tc>
        <w:tc>
          <w:tcPr>
            <w:tcW w:w="1480" w:type="dxa"/>
            <w:vAlign w:val="bottom"/>
            <w:gridSpan w:val="2"/>
            <w:shd w:val="clear" w:color="auto" w:fill="D2EDF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404,797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605,500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50,218</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134,313</w:t>
            </w:r>
          </w:p>
        </w:tc>
      </w:tr>
      <w:tr>
        <w:trPr>
          <w:trHeight w:val="23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 related to stock releases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101,109</w:t>
            </w: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option exercises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acquisition-related costs.</w:t>
      </w:r>
    </w:p>
    <w:p>
      <w:pPr>
        <w:spacing w:after="0" w:line="117" w:lineRule="exact"/>
        <w:rPr>
          <w:rFonts w:ascii="Times New Roman" w:cs="Times New Roman" w:eastAsia="Times New Roman" w:hAnsi="Times New Roman"/>
          <w:sz w:val="18"/>
          <w:szCs w:val="18"/>
          <w:color w:val="auto"/>
        </w:rPr>
      </w:pPr>
    </w:p>
    <w:p>
      <w:pPr>
        <w:ind w:right="140" w:firstLine="8"/>
        <w:spacing w:after="0" w:line="266" w:lineRule="auto"/>
        <w:tabs>
          <w:tab w:leader="none" w:pos="3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including acquisition and other transaction-related costs and lease exit activity of $1.6 million, $1.9 million and $2.4 million incurred during the years ended June 30, 2020, 2021 and 2022, respectively, and the settlement of a certain legal matter and related litigation costs of $2.1 million during the year ended June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Recurring and other revenue accounted for approximately 97%, 99% and 99% of our total revenues during the years ended June 30, 2020, 2021 and 2022,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Cost of revenues includes costs to provide our payroll and other HCM solutions which primarily consists of employee-related expenses, including wages, stock-based compensation, bonuses and benefits, relating to the provision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all amortized as Cost of revenues. We amortized $19.3 million, $23.2 million and $25.3 million of capitalized internal-use software costs in fiscal 2020, 2021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amortize them over a period of 7 years.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2020, 2021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62,766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102,908</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90,953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145,142</w:t>
            </w:r>
          </w:p>
        </w:tc>
      </w:tr>
    </w:tbl>
    <w:p>
      <w:pPr>
        <w:spacing w:after="0" w:line="2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and corporate investments, net of losses on disposals of property and equipment and interest expense related to our revolving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847,694</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852,651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182,010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287,002</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416,329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565,649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214,455</w:t>
            </w:r>
          </w:p>
        </w:tc>
        <w:tc>
          <w:tcPr>
            <w:tcW w:w="0" w:type="dxa"/>
            <w:vAlign w:val="bottom"/>
          </w:tcPr>
          <w:p>
            <w:pPr>
              <w:spacing w:after="0"/>
              <w:rPr>
                <w:sz w:val="1"/>
                <w:szCs w:val="1"/>
                <w:color w:val="auto"/>
              </w:rPr>
            </w:pPr>
          </w:p>
        </w:tc>
      </w:tr>
      <w:tr>
        <w:trPr>
          <w:trHeight w:val="250"/>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313,148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481,055</w:t>
            </w:r>
          </w:p>
        </w:tc>
        <w:tc>
          <w:tcPr>
            <w:tcW w:w="0" w:type="dxa"/>
            <w:vAlign w:val="bottom"/>
          </w:tcPr>
          <w:p>
            <w:pPr>
              <w:spacing w:after="0"/>
              <w:rPr>
                <w:sz w:val="1"/>
                <w:szCs w:val="1"/>
                <w:color w:val="auto"/>
              </w:rPr>
            </w:pPr>
          </w:p>
        </w:tc>
      </w:tr>
      <w:tr>
        <w:trPr>
          <w:trHeight w:val="25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84,594</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0" w:type="dxa"/>
            <w:vAlign w:val="bottom"/>
          </w:tcPr>
          <w:p>
            <w:pPr>
              <w:spacing w:after="0"/>
              <w:rPr>
                <w:sz w:val="1"/>
                <w:szCs w:val="1"/>
                <w:color w:val="auto"/>
              </w:rPr>
            </w:pPr>
          </w:p>
        </w:tc>
      </w:tr>
      <w:tr>
        <w:trPr>
          <w:trHeight w:val="27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 for each of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8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June 30, 2020, 2021 and 2022</w:t>
            </w: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66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80" w:type="dxa"/>
            <w:vAlign w:val="bottom"/>
          </w:tcPr>
          <w:p>
            <w:pPr>
              <w:spacing w:after="0"/>
              <w:rPr>
                <w:sz w:val="24"/>
                <w:szCs w:val="24"/>
                <w:color w:val="auto"/>
              </w:rPr>
            </w:pPr>
          </w:p>
        </w:tc>
        <w:tc>
          <w:tcPr>
            <w:tcW w:w="21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Borders>
              <w:bottom w:val="single" w:sz="8" w:color="D2EDF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546,212</w:t>
            </w:r>
          </w:p>
        </w:tc>
        <w:tc>
          <w:tcPr>
            <w:tcW w:w="380" w:type="dxa"/>
            <w:vAlign w:val="bottom"/>
            <w:gridSpan w:val="2"/>
            <w:shd w:val="clear" w:color="auto" w:fill="D2ED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631,725</w:t>
            </w:r>
          </w:p>
        </w:tc>
        <w:tc>
          <w:tcPr>
            <w:tcW w:w="100" w:type="dxa"/>
            <w:vAlign w:val="bottom"/>
            <w:shd w:val="clear" w:color="auto" w:fill="D2EDFE"/>
          </w:tcPr>
          <w:p>
            <w:pPr>
              <w:spacing w:after="0"/>
              <w:rPr>
                <w:sz w:val="21"/>
                <w:szCs w:val="21"/>
                <w:color w:val="auto"/>
              </w:rPr>
            </w:pP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2EDFE"/>
          </w:tcPr>
          <w:p>
            <w:pPr>
              <w:jc w:val="right"/>
              <w:ind w:right="40"/>
              <w:spacing w:after="0"/>
              <w:rPr>
                <w:sz w:val="20"/>
                <w:szCs w:val="20"/>
                <w:color w:val="auto"/>
              </w:rPr>
            </w:pPr>
            <w:r>
              <w:rPr>
                <w:rFonts w:ascii="Times New Roman" w:cs="Times New Roman" w:eastAsia="Times New Roman" w:hAnsi="Times New Roman"/>
                <w:sz w:val="18"/>
                <w:szCs w:val="18"/>
                <w:color w:val="auto"/>
              </w:rPr>
              <w:t>847,694</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D2EDFE"/>
          </w:tcPr>
          <w:p>
            <w:pPr>
              <w:spacing w:after="0"/>
              <w:rPr>
                <w:sz w:val="21"/>
                <w:szCs w:val="21"/>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215,969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 $</w:t>
            </w:r>
          </w:p>
        </w:tc>
        <w:tc>
          <w:tcPr>
            <w:tcW w:w="9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380" w:type="dxa"/>
            <w:vAlign w:val="bottom"/>
            <w:gridSpan w:val="2"/>
            <w:shd w:val="clear" w:color="auto" w:fill="D2ED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D2EDFE"/>
          </w:tcPr>
          <w:p>
            <w:pPr>
              <w:spacing w:after="0"/>
              <w:rPr>
                <w:sz w:val="22"/>
                <w:szCs w:val="22"/>
                <w:color w:val="auto"/>
              </w:rPr>
            </w:pPr>
          </w:p>
        </w:tc>
        <w:tc>
          <w:tcPr>
            <w:tcW w:w="280" w:type="dxa"/>
            <w:vAlign w:val="bottom"/>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2EDFE"/>
          </w:tcPr>
          <w:p>
            <w:pPr>
              <w:jc w:val="right"/>
              <w:ind w:right="40"/>
              <w:spacing w:after="0"/>
              <w:rPr>
                <w:sz w:val="20"/>
                <w:szCs w:val="20"/>
                <w:color w:val="auto"/>
              </w:rPr>
            </w:pPr>
            <w:r>
              <w:rPr>
                <w:rFonts w:ascii="Times New Roman" w:cs="Times New Roman" w:eastAsia="Times New Roman" w:hAnsi="Times New Roman"/>
                <w:sz w:val="18"/>
                <w:szCs w:val="18"/>
                <w:color w:val="auto"/>
              </w:rPr>
              <w:t>4,957</w:t>
            </w:r>
          </w:p>
        </w:tc>
        <w:tc>
          <w:tcPr>
            <w:tcW w:w="80" w:type="dxa"/>
            <w:vAlign w:val="bottom"/>
            <w:shd w:val="clear" w:color="auto" w:fill="D2EDFE"/>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D2EDFE"/>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Recurring and other revenue for the year ended June 30, 2022 increased by $216.0 million, or 34%, to $847.7 million from $631.7 million for the year ended June 30, 2021. Recurring and other revenue increased primarily as a result of incremental revenues from new and existing clients due to the strong performance by our sales team, continued annual revenue retention in excess of 92% and improved macroeconomic conditions as compared to the prior fiscal year. Excluding clients acquired through acquisitions, the number of clients using our HCM and payroll software solutions at June 30, 2022 increased by 16% to approximately 33,300 from approximately 28,750 at June 30, 2021.</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year ended June 30, 2022 increased by $1.1 million, or 27%, to $5.0 million from $3.9 million for the year ended June 30, 2021. Interest income on funds held for clients increased primarily due to higher average daily balances for funds held due to the addition of new clients to our client base and increases in client employee counts on our platform. These increases were accompanied by interest rate increases approved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by the Federal Reserve during the third and fourth fiscal quarters and were partially offset by the low interest rate environment in place during the first three quarters of our fiscal 2022 resulting from interest rate cuts previously made by the Federal Reserve in response to the COVID-19 pandemic.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182,010</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219,298</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287,002</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37,288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67,704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D2EDFE"/>
          </w:tcPr>
          <w:p>
            <w:pPr>
              <w:spacing w:after="0"/>
              <w:rPr>
                <w:sz w:val="22"/>
                <w:szCs w:val="22"/>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D2EDFE"/>
          </w:tcPr>
          <w:p>
            <w:pPr>
              <w:spacing w:after="0"/>
              <w:rPr>
                <w:sz w:val="22"/>
                <w:szCs w:val="22"/>
                <w:color w:val="auto"/>
              </w:rPr>
            </w:pPr>
          </w:p>
        </w:tc>
        <w:tc>
          <w:tcPr>
            <w:tcW w:w="280" w:type="dxa"/>
            <w:vAlign w:val="bottom"/>
            <w:shd w:val="clear" w:color="auto" w:fill="D2EDFE"/>
          </w:tcPr>
          <w:p>
            <w:pPr>
              <w:spacing w:after="0"/>
              <w:rPr>
                <w:sz w:val="22"/>
                <w:szCs w:val="22"/>
                <w:color w:val="auto"/>
              </w:rPr>
            </w:pP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D2EDFE"/>
          </w:tcPr>
          <w:p>
            <w:pPr>
              <w:spacing w:after="0"/>
              <w:rPr>
                <w:sz w:val="22"/>
                <w:szCs w:val="22"/>
                <w:color w:val="auto"/>
              </w:rPr>
            </w:pPr>
          </w:p>
        </w:tc>
        <w:tc>
          <w:tcPr>
            <w:tcW w:w="260" w:type="dxa"/>
            <w:vAlign w:val="bottom"/>
            <w:shd w:val="clear" w:color="auto" w:fill="D2EDFE"/>
          </w:tcPr>
          <w:p>
            <w:pPr>
              <w:spacing w:after="0"/>
              <w:rPr>
                <w:sz w:val="22"/>
                <w:szCs w:val="22"/>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D2EDFE"/>
          </w:tcPr>
          <w:p>
            <w:pPr>
              <w:spacing w:after="0"/>
              <w:rPr>
                <w:sz w:val="22"/>
                <w:szCs w:val="22"/>
                <w:color w:val="auto"/>
              </w:rPr>
            </w:pPr>
          </w:p>
        </w:tc>
        <w:tc>
          <w:tcPr>
            <w:tcW w:w="180" w:type="dxa"/>
            <w:vAlign w:val="bottom"/>
            <w:shd w:val="clear" w:color="auto" w:fill="D2EDFE"/>
          </w:tcPr>
          <w:p>
            <w:pPr>
              <w:spacing w:after="0"/>
              <w:rPr>
                <w:sz w:val="22"/>
                <w:szCs w:val="22"/>
                <w:color w:val="auto"/>
              </w:rPr>
            </w:pPr>
          </w:p>
        </w:tc>
        <w:tc>
          <w:tcPr>
            <w:tcW w:w="84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0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80" w:type="dxa"/>
            <w:vAlign w:val="bottom"/>
            <w:shd w:val="clear" w:color="auto" w:fill="D2EDFE"/>
          </w:tcPr>
          <w:p>
            <w:pPr>
              <w:spacing w:after="0"/>
              <w:rPr>
                <w:sz w:val="22"/>
                <w:szCs w:val="22"/>
                <w:color w:val="auto"/>
              </w:rPr>
            </w:pPr>
          </w:p>
        </w:tc>
        <w:tc>
          <w:tcPr>
            <w:tcW w:w="840" w:type="dxa"/>
            <w:vAlign w:val="bottom"/>
            <w:shd w:val="clear" w:color="auto" w:fill="D2EDFE"/>
          </w:tcPr>
          <w:p>
            <w:pPr>
              <w:spacing w:after="0"/>
              <w:rPr>
                <w:sz w:val="22"/>
                <w:szCs w:val="22"/>
                <w:color w:val="auto"/>
              </w:rPr>
            </w:pPr>
          </w:p>
        </w:tc>
        <w:tc>
          <w:tcPr>
            <w:tcW w:w="80" w:type="dxa"/>
            <w:vAlign w:val="bottom"/>
            <w:shd w:val="clear" w:color="auto" w:fill="D2EDFE"/>
          </w:tcPr>
          <w:p>
            <w:pPr>
              <w:spacing w:after="0"/>
              <w:rPr>
                <w:sz w:val="22"/>
                <w:szCs w:val="22"/>
                <w:color w:val="auto"/>
              </w:rPr>
            </w:pPr>
          </w:p>
        </w:tc>
        <w:tc>
          <w:tcPr>
            <w:tcW w:w="1020" w:type="dxa"/>
            <w:vAlign w:val="bottom"/>
            <w:shd w:val="clear" w:color="auto" w:fill="D2EDFE"/>
          </w:tcPr>
          <w:p>
            <w:pPr>
              <w:spacing w:after="0"/>
              <w:rPr>
                <w:sz w:val="22"/>
                <w:szCs w:val="22"/>
                <w:color w:val="auto"/>
              </w:rPr>
            </w:pPr>
          </w:p>
        </w:tc>
      </w:tr>
    </w:tbl>
    <w:p>
      <w:pPr>
        <w:spacing w:after="0" w:line="2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year ended June 30, 2022 increased by $67.7 million, or 31%, to $287.0 million from $219.3 million for the year ended June 30, 2021. Cost of revenues increased primarily as a result of the continued growth of our business, in particular, $38.4 million in additional employee-related costs resulting from additional personnel necessary to provide services to new and existing clients, $21.5 million in delivery and other processing-related fees and $3.9 million of additional stock-based compensation associated with our equity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145,134</w:t>
            </w:r>
          </w:p>
        </w:tc>
        <w:tc>
          <w:tcPr>
            <w:tcW w:w="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161,808</w:t>
            </w:r>
          </w:p>
        </w:tc>
        <w:tc>
          <w:tcPr>
            <w:tcW w:w="100" w:type="dxa"/>
            <w:vAlign w:val="bottom"/>
            <w:shd w:val="clear" w:color="auto" w:fill="D2EDFE"/>
          </w:tcPr>
          <w:p>
            <w:pPr>
              <w:spacing w:after="0"/>
              <w:rPr>
                <w:sz w:val="21"/>
                <w:szCs w:val="21"/>
                <w:color w:val="auto"/>
              </w:rPr>
            </w:pPr>
          </w:p>
        </w:tc>
        <w:tc>
          <w:tcPr>
            <w:tcW w:w="260" w:type="dxa"/>
            <w:vAlign w:val="bottom"/>
            <w:shd w:val="clear" w:color="auto" w:fill="D2EDF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214,455</w:t>
            </w:r>
          </w:p>
        </w:tc>
        <w:tc>
          <w:tcPr>
            <w:tcW w:w="80" w:type="dxa"/>
            <w:vAlign w:val="bottom"/>
            <w:shd w:val="clear" w:color="auto" w:fill="D2EDFE"/>
          </w:tcPr>
          <w:p>
            <w:pPr>
              <w:spacing w:after="0"/>
              <w:rPr>
                <w:sz w:val="21"/>
                <w:szCs w:val="21"/>
                <w:color w:val="auto"/>
              </w:rPr>
            </w:pPr>
          </w:p>
        </w:tc>
        <w:tc>
          <w:tcPr>
            <w:tcW w:w="1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shd w:val="clear" w:color="auto" w:fill="D2EDFE"/>
          </w:tcPr>
          <w:p>
            <w:pPr>
              <w:spacing w:after="0"/>
              <w:rPr>
                <w:sz w:val="21"/>
                <w:szCs w:val="21"/>
                <w:color w:val="auto"/>
              </w:rPr>
            </w:pPr>
          </w:p>
        </w:tc>
        <w:tc>
          <w:tcPr>
            <w:tcW w:w="1280" w:type="dxa"/>
            <w:vAlign w:val="bottom"/>
            <w:gridSpan w:val="3"/>
            <w:shd w:val="clear" w:color="auto" w:fill="D2EDFE"/>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840" w:type="dxa"/>
            <w:vAlign w:val="bottom"/>
            <w:shd w:val="clear" w:color="auto" w:fill="D2EDFE"/>
          </w:tcPr>
          <w:p>
            <w:pPr>
              <w:ind w:left="300"/>
              <w:spacing w:after="0"/>
              <w:rPr>
                <w:sz w:val="20"/>
                <w:szCs w:val="20"/>
                <w:color w:val="auto"/>
              </w:rPr>
            </w:pPr>
            <w:r>
              <w:rPr>
                <w:rFonts w:ascii="Times New Roman" w:cs="Times New Roman" w:eastAsia="Times New Roman" w:hAnsi="Times New Roman"/>
                <w:sz w:val="18"/>
                <w:szCs w:val="18"/>
                <w:color w:val="auto"/>
              </w:rPr>
              <w:t>52,647</w:t>
            </w:r>
          </w:p>
        </w:tc>
        <w:tc>
          <w:tcPr>
            <w:tcW w:w="80" w:type="dxa"/>
            <w:vAlign w:val="bottom"/>
            <w:shd w:val="clear" w:color="auto" w:fill="D2EDFE"/>
          </w:tcPr>
          <w:p>
            <w:pPr>
              <w:spacing w:after="0"/>
              <w:rPr>
                <w:sz w:val="21"/>
                <w:szCs w:val="21"/>
                <w:color w:val="auto"/>
              </w:rPr>
            </w:pP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year ended June 30, 2022 increased by $52.6 million, or 33%, to $214.5 million from $161.8 million for the year ended June 30, 2021. The increase in sales and marketing expenses was primarily the result of $36.1 million of additional employee-related costs, including those incurred to expand our sales team, and additional overall spending on travel and entertainment as COVID-19 pandemic restrictions eased within the United States. The increase was also driven by $6.2 million of additional stock-based compensation costs associated with our equity incentive plan and $5.7 million in additional marketing lead generation costs.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76,707</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13,941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26,201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year ended June 30, 2022 increased by $26.2 million, or 34%, to $102.9 million from $76.7 million for the year ended June 30, 2021. The increase in research and development expenses was primarily the result of $22.2 million of additional employee-related costs related to additional development personnel and $8.5 million of additional stock-based compensation associated with our equity incentive plan, partially offset by higher year-over-year capitalized internal-use software costs of $5.2 million.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105,248</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119,771</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163,692</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43,921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1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June 30, 2022 increased by $43.9 million, or 37%, to $163.7 million from $119.8 million for the year ended June 30, 2021. The increase in general and administrative expenses was primarily the result of $14.5 million in additional stock-based compensation associated with our equity incentive plan, $11.7 million of additional employee-related costs, $9.6 million in additional 401(k) expense, and $3.1 million in additional amortization of certain acquired intangible assets.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D2EDFE"/>
          </w:tcPr>
          <w:p>
            <w:pPr>
              <w:spacing w:after="0"/>
              <w:rPr>
                <w:sz w:val="21"/>
                <w:szCs w:val="21"/>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(939)</w:t>
            </w:r>
          </w:p>
        </w:tc>
        <w:tc>
          <w:tcPr>
            <w:tcW w:w="100" w:type="dxa"/>
            <w:vAlign w:val="bottom"/>
            <w:shd w:val="clear" w:color="auto" w:fill="D2EDFE"/>
          </w:tcPr>
          <w:p>
            <w:pPr>
              <w:spacing w:after="0"/>
              <w:rPr>
                <w:sz w:val="21"/>
                <w:szCs w:val="21"/>
                <w:color w:val="auto"/>
              </w:rPr>
            </w:pP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(997)</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w:t>
      </w:r>
    </w:p>
    <w:p>
      <w:pPr>
        <w:spacing w:after="0" w:line="2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for the year ended June 30, 2022 did not materially change as compared to the year ended June 30, 2021.</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 from 2020 to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Change from 2021 to 2022</w:t>
            </w:r>
          </w:p>
        </w:tc>
      </w:tr>
      <w:tr>
        <w:trPr>
          <w:trHeight w:val="2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shd w:val="clear" w:color="auto" w:fill="D2EDFE"/>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shd w:val="clear" w:color="auto" w:fill="D2EDFE"/>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8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w:t>
      </w:r>
    </w:p>
    <w:p>
      <w:pPr>
        <w:spacing w:after="0" w:line="2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in income tax expense (benefit) for the year ended June 30, 2022 as compared to the year ended June 30, 2021 was primarily due to decreases in stock-based compensation deductions and state income tax benefit.</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See Note 13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derive our revenue from contracts with clients predominantly from recurring and non-recurring service fees. Recurring fees are derived from payroll and HR related services including time and attendance, HR and talent management and benefits enrollment and administration services. Payroll services are delivered on a weekly, biweekly, semi-monthly, or monthly basis depending upon the payroll frequency of the client and on an annual basis if a client selects W-2 preparation and processing services. HR related services are typically delivered on a monthly basis.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recurring fees are satisfied over time as services are provided. The performance obligations related to payroll services are satisfied upon the processing of a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HR related services, we recognize the applicable recurring fees over time each month with the fee charged and collected based on a per employee per 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certain optional performance obligations that are satisfied at a point in time including the sales of time clocks and W-2 preparation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Non-recurring service fees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Internal-use software is amortized on a straight-line basis, generally over a 24 or 36-month period.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2020, 2021 or 2022. We capitalized $28.2 million, $31.7 million and $42.2 million of internal-use software costs for the years ended June 30, 2020, 2021 and 2022, respectively, including stock-based compensation costs of $2.4 million, $2.6 million and $7.1 million for the years ended June 30, 2020, 2021 and 2022, respectively. We amortized $19.3 million, $23.2 million and $25.3 million of capitalized internal-use software costs for the years ended June 30, 2020, 2021 and 2022, respectively. In fiscal 2020, fiscal 2021 and fiscal 2022, we developed significant additional functionality in several of our modules. This development resulted in an increase in capitalized internal-use software costs in fiscal 2022 as compared to fiscal 2021 and in fiscal 2021 as compared to fiscal 2020.</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4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allocations require us to make significant judgments and estimates in determining such fair values, particularly related to intangible assets. Such estimates</w:t>
      </w:r>
    </w:p>
    <w:p>
      <w:pPr>
        <w:spacing w:after="0" w:line="3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used in valuation methodologies can include, but are not limited to, forecasted revenue growth rates and cost projections, expected time and costs to rebuild developed technology, and discount rates. These estimates 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June 30, 2022, our principal sources of liquidity were $139.8 million of cash and cash equivalents. In July 2019, we entered into and currently maintain a five-year revolving credit agreement. This credit agreement provides for a $250.0 million senior revolving credit facility which may be increased up to $375.0 million. In the fourth quarter of fiscal 2020, we borrowed $100.0 million under this credit facility, which we repaid in the third quarter of fiscal 2021. In the third quarter of fiscal 2022, we borrowed $50.0 million in connection with our acquisition of Cloudsnap, Inc., which we repaid within the same quarter. Refer to Note 11 of the Notes to the Consolidated Financial Statements included in Part II, Item 8: “Financial Statements and Supplementary Data” for additional details on the credit agreement and borrowing activity.</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As of June 30, 2022, we did not have any corporate investments.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92"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and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112,655</w:t>
            </w:r>
          </w:p>
        </w:tc>
        <w:tc>
          <w:tcPr>
            <w:tcW w:w="100" w:type="dxa"/>
            <w:vAlign w:val="bottom"/>
            <w:shd w:val="clear" w:color="auto" w:fill="D2EDFE"/>
          </w:tcPr>
          <w:p>
            <w:pPr>
              <w:spacing w:after="0"/>
              <w:rPr>
                <w:sz w:val="21"/>
                <w:szCs w:val="21"/>
                <w:color w:val="auto"/>
              </w:rPr>
            </w:pPr>
          </w:p>
        </w:tc>
        <w:tc>
          <w:tcPr>
            <w:tcW w:w="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124,850</w:t>
            </w:r>
          </w:p>
        </w:tc>
        <w:tc>
          <w:tcPr>
            <w:tcW w:w="100" w:type="dxa"/>
            <w:vAlign w:val="bottom"/>
            <w:shd w:val="clear" w:color="auto" w:fill="D2EDFE"/>
          </w:tcPr>
          <w:p>
            <w:pPr>
              <w:spacing w:after="0"/>
              <w:rPr>
                <w:sz w:val="21"/>
                <w:szCs w:val="21"/>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155,053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 and other</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(400,343)</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48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(433,962)</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116,848</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(34,515)</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(18,069)</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(107,576)</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57"/>
        </w:trPr>
        <w:tc>
          <w:tcPr>
            <w:tcW w:w="6600" w:type="dxa"/>
            <w:vAlign w:val="bottom"/>
            <w:tcBorders>
              <w:top w:val="single" w:sz="8" w:color="D2EDFE"/>
            </w:tcBorders>
            <w:shd w:val="clear" w:color="auto" w:fill="D2EDFE"/>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tcBorders>
            <w:shd w:val="clear" w:color="auto" w:fill="D2EDFE"/>
          </w:tcPr>
          <w:p>
            <w:pPr>
              <w:spacing w:after="0"/>
              <w:rPr>
                <w:sz w:val="22"/>
                <w:szCs w:val="22"/>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(48,757)</w:t>
            </w:r>
          </w:p>
        </w:tc>
        <w:tc>
          <w:tcPr>
            <w:tcW w:w="100" w:type="dxa"/>
            <w:vAlign w:val="bottom"/>
            <w:tcBorders>
              <w:top w:val="single" w:sz="8" w:color="D2EDFE"/>
            </w:tcBorders>
            <w:shd w:val="clear" w:color="auto" w:fill="D2EDFE"/>
          </w:tcPr>
          <w:p>
            <w:pPr>
              <w:spacing w:after="0"/>
              <w:rPr>
                <w:sz w:val="22"/>
                <w:szCs w:val="22"/>
                <w:color w:val="auto"/>
              </w:rPr>
            </w:pPr>
          </w:p>
        </w:tc>
        <w:tc>
          <w:tcPr>
            <w:tcW w:w="100" w:type="dxa"/>
            <w:vAlign w:val="bottom"/>
            <w:tcBorders>
              <w:top w:val="single" w:sz="8" w:color="auto"/>
            </w:tcBorders>
            <w:shd w:val="clear" w:color="auto" w:fill="D2EDFE"/>
          </w:tcPr>
          <w:p>
            <w:pPr>
              <w:spacing w:after="0"/>
              <w:rPr>
                <w:sz w:val="22"/>
                <w:szCs w:val="22"/>
                <w:color w:val="auto"/>
              </w:rPr>
            </w:pPr>
          </w:p>
        </w:tc>
        <w:tc>
          <w:tcPr>
            <w:tcW w:w="13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48,420</w:t>
            </w:r>
          </w:p>
        </w:tc>
        <w:tc>
          <w:tcPr>
            <w:tcW w:w="100" w:type="dxa"/>
            <w:vAlign w:val="bottom"/>
            <w:tcBorders>
              <w:top w:val="single" w:sz="8" w:color="D2EDFE"/>
            </w:tcBorders>
            <w:shd w:val="clear" w:color="auto" w:fill="D2EDFE"/>
          </w:tcPr>
          <w:p>
            <w:pPr>
              <w:spacing w:after="0"/>
              <w:rPr>
                <w:sz w:val="22"/>
                <w:szCs w:val="22"/>
                <w:color w:val="auto"/>
              </w:rPr>
            </w:pPr>
          </w:p>
        </w:tc>
        <w:tc>
          <w:tcPr>
            <w:tcW w:w="340" w:type="dxa"/>
            <w:vAlign w:val="bottom"/>
            <w:tcBorders>
              <w:top w:val="single" w:sz="8" w:color="auto"/>
            </w:tcBorders>
            <w:shd w:val="clear" w:color="auto" w:fill="D2EDFE"/>
          </w:tcPr>
          <w:p>
            <w:pPr>
              <w:spacing w:after="0"/>
              <w:rPr>
                <w:sz w:val="22"/>
                <w:szCs w:val="22"/>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(479,774)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(67,165)</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432,373</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2,228,038</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D2EDFE"/>
          </w:tcPr>
          <w:p>
            <w:pPr>
              <w:spacing w:after="0"/>
              <w:rPr>
                <w:sz w:val="22"/>
                <w:szCs w:val="22"/>
                <w:color w:val="auto"/>
              </w:rPr>
            </w:pPr>
          </w:p>
        </w:tc>
        <w:tc>
          <w:tcPr>
            <w:tcW w:w="1240" w:type="dxa"/>
            <w:vAlign w:val="bottom"/>
            <w:gridSpan w:val="2"/>
            <w:shd w:val="clear" w:color="auto" w:fill="D2ED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13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00" w:type="dxa"/>
            <w:vAlign w:val="bottom"/>
            <w:shd w:val="clear" w:color="auto" w:fill="D2EDFE"/>
          </w:tcPr>
          <w:p>
            <w:pPr>
              <w:spacing w:after="0"/>
              <w:rPr>
                <w:sz w:val="22"/>
                <w:szCs w:val="22"/>
                <w:color w:val="auto"/>
              </w:rPr>
            </w:pPr>
          </w:p>
        </w:tc>
        <w:tc>
          <w:tcPr>
            <w:tcW w:w="34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14,103</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(69,761)</w:t>
            </w:r>
          </w:p>
        </w:tc>
      </w:tr>
      <w:tr>
        <w:trPr>
          <w:trHeight w:val="257"/>
        </w:trPr>
        <w:tc>
          <w:tcPr>
            <w:tcW w:w="6600" w:type="dxa"/>
            <w:vAlign w:val="bottom"/>
            <w:shd w:val="clear" w:color="auto" w:fill="D2EDFE"/>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D2EDFE"/>
          </w:tcPr>
          <w:p>
            <w:pPr>
              <w:spacing w:after="0"/>
              <w:rPr>
                <w:sz w:val="22"/>
                <w:szCs w:val="22"/>
                <w:color w:val="auto"/>
              </w:rPr>
            </w:pPr>
          </w:p>
        </w:tc>
        <w:tc>
          <w:tcPr>
            <w:tcW w:w="100" w:type="dxa"/>
            <w:vAlign w:val="bottom"/>
            <w:tcBorders>
              <w:bottom w:val="single" w:sz="8" w:color="auto"/>
            </w:tcBorders>
            <w:shd w:val="clear" w:color="auto" w:fill="D2EDFE"/>
          </w:tcPr>
          <w:p>
            <w:pPr>
              <w:spacing w:after="0"/>
              <w:rPr>
                <w:sz w:val="22"/>
                <w:szCs w:val="22"/>
                <w:color w:val="auto"/>
              </w:rPr>
            </w:pP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D2EDFE"/>
          </w:tcPr>
          <w:p>
            <w:pPr>
              <w:spacing w:after="0"/>
              <w:rPr>
                <w:sz w:val="22"/>
                <w:szCs w:val="22"/>
                <w:color w:val="auto"/>
              </w:rPr>
            </w:pPr>
          </w:p>
        </w:tc>
        <w:tc>
          <w:tcPr>
            <w:tcW w:w="340" w:type="dxa"/>
            <w:vAlign w:val="bottom"/>
            <w:tcBorders>
              <w:bottom w:val="single" w:sz="8" w:color="auto"/>
            </w:tcBorders>
            <w:shd w:val="clear" w:color="auto" w:fill="D2EDFE"/>
          </w:tcPr>
          <w:p>
            <w:pPr>
              <w:spacing w:after="0"/>
              <w:rPr>
                <w:sz w:val="22"/>
                <w:szCs w:val="22"/>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6600" w:type="dxa"/>
            <w:vAlign w:val="bottom"/>
            <w:tcBorders>
              <w:bottom w:val="single" w:sz="8" w:color="D2EDFE"/>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D2EDF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280,478</w:t>
            </w:r>
          </w:p>
        </w:tc>
        <w:tc>
          <w:tcPr>
            <w:tcW w:w="100" w:type="dxa"/>
            <w:vAlign w:val="bottom"/>
            <w:tcBorders>
              <w:bottom w:val="single" w:sz="8" w:color="D2EDFE"/>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2,172,293</w:t>
            </w:r>
          </w:p>
        </w:tc>
      </w:tr>
      <w:tr>
        <w:trPr>
          <w:trHeight w:val="282"/>
        </w:trPr>
        <w:tc>
          <w:tcPr>
            <w:tcW w:w="6600" w:type="dxa"/>
            <w:vAlign w:val="bottom"/>
            <w:tcBorders>
              <w:bottom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65,990</w:t>
            </w:r>
          </w:p>
        </w:tc>
        <w:tc>
          <w:tcPr>
            <w:tcW w:w="100" w:type="dxa"/>
            <w:vAlign w:val="bottom"/>
            <w:tcBorders>
              <w:bottom w:val="single" w:sz="8" w:color="D2EDFE"/>
            </w:tcBorders>
            <w:shd w:val="clear" w:color="auto" w:fill="D2EDFE"/>
          </w:tcPr>
          <w:p>
            <w:pPr>
              <w:spacing w:after="0"/>
              <w:rPr>
                <w:sz w:val="24"/>
                <w:szCs w:val="24"/>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453,748</w:t>
            </w:r>
          </w:p>
        </w:tc>
        <w:tc>
          <w:tcPr>
            <w:tcW w:w="100" w:type="dxa"/>
            <w:vAlign w:val="bottom"/>
            <w:tcBorders>
              <w:bottom w:val="single" w:sz="8" w:color="D2EDFE"/>
            </w:tcBorders>
            <w:shd w:val="clear" w:color="auto" w:fill="D2EDFE"/>
          </w:tcPr>
          <w:p>
            <w:pPr>
              <w:spacing w:after="0"/>
              <w:rPr>
                <w:sz w:val="24"/>
                <w:szCs w:val="24"/>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1,847,572</w:t>
            </w:r>
          </w:p>
        </w:tc>
      </w:tr>
      <w:tr>
        <w:trPr>
          <w:trHeight w:val="20"/>
        </w:trPr>
        <w:tc>
          <w:tcPr>
            <w:tcW w:w="66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00" w:type="dxa"/>
            <w:vAlign w:val="bottom"/>
            <w:tcBorders>
              <w:top w:val="single" w:sz="8" w:color="D2EDFE"/>
              <w:bottom w:val="single" w:sz="8" w:color="auto"/>
            </w:tcBorders>
          </w:tcPr>
          <w:p>
            <w:pPr>
              <w:spacing w:after="0" w:line="20" w:lineRule="exact"/>
              <w:rPr>
                <w:sz w:val="1"/>
                <w:szCs w:val="1"/>
                <w:color w:val="auto"/>
              </w:rPr>
            </w:pPr>
          </w:p>
        </w:tc>
        <w:tc>
          <w:tcPr>
            <w:tcW w:w="138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340" w:type="dxa"/>
            <w:vAlign w:val="bottom"/>
            <w:tcBorders>
              <w:top w:val="single" w:sz="8" w:color="D2EDFE"/>
              <w:bottom w:val="single" w:sz="8" w:color="auto"/>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$112.7 million, $124.9 million and $155.1 million for the years ended June 30, 2020, 2021 and 2022, respectively.</w:t>
      </w:r>
    </w:p>
    <w:p>
      <w:pPr>
        <w:spacing w:after="0" w:line="162"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from fiscal 2021 to fiscal 2022 was primarily due to improved operating results after adjusting for non-cash items including stock-based compensation expense, depreciation and amortization expense and deferred income tax expense (benefit), partially offset by net changes in operating assets and liabilities during the year ended June 30, 2022 as compared to the year ended June 30, 2021.</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60" w:firstLine="648"/>
        <w:spacing w:after="0" w:line="246" w:lineRule="auto"/>
        <w:rPr>
          <w:sz w:val="20"/>
          <w:szCs w:val="20"/>
          <w:color w:val="auto"/>
        </w:rPr>
      </w:pPr>
      <w:r>
        <w:rPr>
          <w:rFonts w:ascii="Times New Roman" w:cs="Times New Roman" w:eastAsia="Times New Roman" w:hAnsi="Times New Roman"/>
          <w:sz w:val="18"/>
          <w:szCs w:val="18"/>
          <w:color w:val="auto"/>
        </w:rPr>
        <w:t>Net cash provided by (used in) investing activities was $(48.8) million, $48.4 million and $(479.8) million, for the years ended June 30, 2020, 2021 and 2022, respectively. Net cash provided by (used in) investing activities is significantly impacted by the timing of purchases and sales and maturities of investments as we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decrease in net cash provided by (used in) investing activities from fiscal 2021 to fiscal 2022 was primarily due to an increase in purchases of available-for-sale securities of $434.0 million during the year ended June 30, 2022 as compared to the year ended June 30, 2021 and an increase in cash paid for acquisitions of businesses of $92.6 million, partially offset by an increase in proceeds from sales and maturities of available-for-sale securities of $15.4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$2.1 million, $280.5 million and $2,172.3 million for the years ended June 30, 2020, 2021 and 2022, respectively. The change in net cash provided by financing activities from fiscal 2021 to fiscal 2022 was primarily the result of an increase of $1,795.7 million due to the timing of client funds collected and related remittance of those funds to client employees and taxing authorities during the year ended June 30, 2022 as compared to the year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$90.9 million in operating lease obligations, of which $10.8 million is due in the next twelve months. Refer to Note 12 of the Notes to the Consolidated Financial Statements included in Part II, Item 8: “Financial Statements and Supplementary Data” for additional details on our lease activity. We also have $38.3 million in purchase obligations, of which $21.7 million is due in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$16.6 million, $9.5 million and $18.1 million for the years ended June 30, 2020, 2021 and 2022, respectively, exclusive of capitalized internal-use software costs of $25.7 million, $28.6 million, and $34.5 million for the same periods,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As of June 30, 2022, we had cash and cash equivalents of $139.8 million and funds held for clients of $3,987.8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debt issuances, asset-backed debt securities, certificates of deposit, U.S. treasury securities, U.S. government agency securities and other securities, which were classified as available-for-sale securities as of June 30, 2022.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pacing w:after="0" w:line="18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$3.6 million as of June 30, 2022. An immediate 100-basis point decrease in interest rates would have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resulted in an increase in the market value of our available-for-sale securities by $3.6 million as of June 30, 2022. Fluctuations in the value of our available-for-sale securities caused by changes in interest rates are recorded in other comprehensive income and are only realized if we sell the underlying securities.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11 of the Notes to the Consolidated Financial Statements included in Part II, Item 8: “Financial Statements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Supplementary Data”</w:t>
      </w:r>
      <w:r>
        <w:rPr>
          <w:rFonts w:ascii="Times New Roman" w:cs="Times New Roman" w:eastAsia="Times New Roman" w:hAnsi="Times New Roman"/>
          <w:sz w:val="18"/>
          <w:szCs w:val="18"/>
          <w:color w:val="212529"/>
        </w:rPr>
        <w:t>, we entered into a credit agreement that provides for a revolving credit facility (“credit facility”) in the aggregate amount of $250.0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million, which may be increased up to $375.0 million. Borrowings under the credit facility generally bear interest at a rate based upon the London Interbank Offered Rate (“LIBOR”) (or a replacement rate for LIBOR) or, at our sole option, an adjusted base rate plus an applicable margin based on our then-applicable net senior secured leverage ratio. 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starting on page F-1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June 30, 2022, the end of the period covered by this Annual Report on Form 10-K. Based upon such evaluation, our Co-Chief Executive Officers and Chief Financial Officer have concluded that our disclosure controls and procedures were effective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Co-Chief Executive Officers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prevention or timely detection of unauthorized acquisition, use, or disposition of our assets that could have a material effect on the financial statements.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Co-Chief Executive Officers and Chief Financial Officer, we conducted an evaluation of the effectiveness of our internal control over financial reporting as of June 30, 2022, based on the framework in Internal Control —Integrated Framework issued by the Committee of Sponsoring Organizations of the Treadway Commission (COSO) (2013 framework). Based on this evaluation under the Internal Control—Integrated Framework, our Co-Chief Executive Officers and Chief Financial Officer have concluded that our internal control over financial reporting was effective as of June 30, 2022.</w:t>
      </w:r>
    </w:p>
    <w:p>
      <w:pPr>
        <w:spacing w:after="0" w:line="197"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acquired Blue Marble in August 2021 and Cloudsnap in January 2022 (the “Acquired Businesses”). Management excluded the Acquired Businesses from its assessment of the effectiveness of the Company’s internal control over financial reporting as of June 30, 2022. The Acquired Businesses represented 2% of the Company’s Total assets and less than 2% of the Company’s Total revenues, as of and for the year ended June 30, 2022.</w:t>
      </w:r>
    </w:p>
    <w:p>
      <w:pPr>
        <w:spacing w:after="0" w:line="17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which has audited our financial statements, has also audited the effectiveness of our internal control over financial reporting as of June 30, 2022, as stated in their report, which is included in Item 15(a)(1)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June 30, 2022,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10, will be included in our Proxy Statement relating to our 2023 annual meeting of stockholders to be filed with the SEC within 120 days after the end of our fiscal year ended June 30,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11, will be included in our Proxy Statement relating to our 2023 annual meeting of stockholders to be filed with the SEC within 120 days after the end of our fiscal year ended June 30,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12, will be included in our Proxy Statement relating to our 2023 annual meeting of stockholders to be filed with the SEC within 120 days after the end of our fiscal year ended June 30, 2022,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13, will be included in our Proxy Statement relating to our 2023 annual meeting of stockholders to be filed with the SEC within 120 days after the end of our fiscal year ended June 30, 2022,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Chicago, IL, Audit Firm ID: 185.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14, will be included in our Proxy Statement relating to our 2023 annual meeting of stockholders to be filed with the SEC within 120 days after the end of our fiscal year ended June 30, 2022,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6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4"/>
                <w:szCs w:val="24"/>
                <w:color w:val="auto"/>
              </w:rPr>
            </w:pPr>
          </w:p>
        </w:tc>
      </w:tr>
      <w:tr>
        <w:trPr>
          <w:trHeight w:val="41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460" w:type="dxa"/>
            <w:vAlign w:val="bottom"/>
          </w:tcPr>
          <w:p>
            <w:pPr>
              <w:spacing w:after="0"/>
              <w:rPr>
                <w:sz w:val="24"/>
                <w:szCs w:val="24"/>
                <w:color w:val="auto"/>
              </w:rPr>
            </w:pPr>
          </w:p>
        </w:tc>
      </w:tr>
      <w:tr>
        <w:trPr>
          <w:trHeight w:val="234"/>
        </w:trPr>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Documents Filed with Report</w:t>
            </w: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7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tc>
        <w:tc>
          <w:tcPr>
            <w:tcW w:w="14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2021 and 2022</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8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Income for the years ended June 30, 2020, 2021 and 2022</w:t>
            </w:r>
          </w:p>
        </w:tc>
        <w:tc>
          <w:tcPr>
            <w:tcW w:w="12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90"/>
        </w:trPr>
        <w:tc>
          <w:tcPr>
            <w:tcW w:w="20" w:type="dxa"/>
            <w:vAlign w:val="bottom"/>
          </w:tcPr>
          <w:p>
            <w:pPr>
              <w:spacing w:after="0"/>
              <w:rPr>
                <w:sz w:val="24"/>
                <w:szCs w:val="24"/>
                <w:color w:val="auto"/>
              </w:rPr>
            </w:pPr>
          </w:p>
        </w:tc>
        <w:tc>
          <w:tcPr>
            <w:tcW w:w="8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June 30, 2020, 2021 and 2022</w:t>
            </w:r>
          </w:p>
        </w:tc>
        <w:tc>
          <w:tcPr>
            <w:tcW w:w="1680" w:type="dxa"/>
            <w:vAlign w:val="bottom"/>
            <w:gridSpan w:val="2"/>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20" w:type="dxa"/>
            <w:vAlign w:val="bottom"/>
          </w:tcPr>
          <w:p>
            <w:pPr>
              <w:spacing w:after="0"/>
              <w:rPr>
                <w:sz w:val="24"/>
                <w:szCs w:val="24"/>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June 30, 2020, 2021 and 2022</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F-8</w:t>
            </w:r>
          </w:p>
        </w:tc>
      </w:tr>
      <w:tr>
        <w:trPr>
          <w:trHeight w:val="291"/>
        </w:trPr>
        <w:tc>
          <w:tcPr>
            <w:tcW w:w="2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3080" w:type="dxa"/>
            <w:vAlign w:val="bottom"/>
            <w:tcBorders>
              <w:top w:val="single" w:sz="8" w:color="0000FF"/>
            </w:tcBorders>
            <w:gridSpan w:val="3"/>
          </w:tcPr>
          <w:p>
            <w:pPr>
              <w:spacing w:after="0"/>
              <w:rPr>
                <w:sz w:val="24"/>
                <w:szCs w:val="24"/>
                <w:color w:val="auto"/>
              </w:rPr>
            </w:pPr>
          </w:p>
        </w:tc>
        <w:tc>
          <w:tcPr>
            <w:tcW w:w="3220" w:type="dxa"/>
            <w:vAlign w:val="bottom"/>
            <w:gridSpan w:val="3"/>
          </w:tcPr>
          <w:p>
            <w:pPr>
              <w:spacing w:after="0"/>
              <w:rPr>
                <w:sz w:val="24"/>
                <w:szCs w:val="24"/>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F-9</w:t>
            </w: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26"/>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Share Exchange Agreement, dated November 7, 2013.</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Second Amended and Restated Certificate of Incorporation</w:t>
              </w:r>
            </w:hyperlink>
          </w:p>
        </w:tc>
        <w:tc>
          <w:tcPr>
            <w:tcW w:w="14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of the Registrant.</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Second Amended and Restated By-Laws of the Registrant.</w:t>
              </w:r>
            </w:hyperlink>
          </w:p>
        </w:tc>
        <w:tc>
          <w:tcPr>
            <w:tcW w:w="180" w:type="dxa"/>
            <w:vAlign w:val="bottom"/>
            <w:gridSpan w:val="6"/>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Amended and Restated Investor Rights Agreement, dated</w:t>
              </w:r>
            </w:hyperlink>
          </w:p>
        </w:tc>
        <w:tc>
          <w:tcPr>
            <w:tcW w:w="26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June 29, 2012.</w:t>
              </w:r>
            </w:hyperlink>
          </w:p>
        </w:tc>
        <w:tc>
          <w:tcPr>
            <w:tcW w:w="3360" w:type="dxa"/>
            <w:vAlign w:val="bottom"/>
            <w:gridSpan w:val="28"/>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580" w:type="dxa"/>
            <w:vAlign w:val="bottom"/>
            <w:gridSpan w:val="25"/>
          </w:tcPr>
          <w:p>
            <w:pPr>
              <w:spacing w:after="0"/>
              <w:rPr>
                <w:sz w:val="24"/>
                <w:szCs w:val="24"/>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Indemnification Agreement for directors and</w:t>
              </w:r>
            </w:hyperlink>
          </w:p>
        </w:tc>
        <w:tc>
          <w:tcPr>
            <w:tcW w:w="540" w:type="dxa"/>
            <w:vAlign w:val="bottom"/>
            <w:gridSpan w:val="1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officers.</w:t>
              </w:r>
            </w:hyperlink>
          </w:p>
        </w:tc>
        <w:tc>
          <w:tcPr>
            <w:tcW w:w="3820" w:type="dxa"/>
            <w:vAlign w:val="bottom"/>
            <w:gridSpan w:val="30"/>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37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2008 Equity Incentive Plan and forms of agreement</w:t>
              </w:r>
            </w:hyperlink>
          </w:p>
        </w:tc>
        <w:tc>
          <w:tcPr>
            <w:tcW w:w="680" w:type="dxa"/>
            <w:vAlign w:val="bottom"/>
            <w:gridSpan w:val="1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thereunder.</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4420" w:type="dxa"/>
            <w:vAlign w:val="bottom"/>
            <w:gridSpan w:val="31"/>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First Amendment to the 2008 Equity Incentive Plan, dated</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August 5, 2010.</w:t>
              </w:r>
            </w:hyperlink>
          </w:p>
        </w:tc>
        <w:tc>
          <w:tcPr>
            <w:tcW w:w="3040" w:type="dxa"/>
            <w:vAlign w:val="bottom"/>
            <w:tcBorders>
              <w:top w:val="single" w:sz="8" w:color="0000FF"/>
            </w:tcBorders>
            <w:gridSpan w:val="20"/>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4420" w:type="dxa"/>
            <w:vAlign w:val="bottom"/>
            <w:gridSpan w:val="31"/>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Second Amendment to the 2008 Equity Incentive Plan, dated</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June 29, 2012.</w:t>
              </w:r>
            </w:hyperlink>
          </w:p>
        </w:tc>
        <w:tc>
          <w:tcPr>
            <w:tcW w:w="3340" w:type="dxa"/>
            <w:vAlign w:val="bottom"/>
            <w:tcBorders>
              <w:top w:val="single" w:sz="8" w:color="0000FF"/>
            </w:tcBorders>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37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2014 Equity Incentive Plan and forms of agreement</w:t>
              </w:r>
            </w:hyperlink>
          </w:p>
        </w:tc>
        <w:tc>
          <w:tcPr>
            <w:tcW w:w="680" w:type="dxa"/>
            <w:vAlign w:val="bottom"/>
            <w:gridSpan w:val="1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thereunder.</w:t>
              </w:r>
            </w:hyperlink>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4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Form of Market Stock Units Notice of Grant and Award</w:t>
              </w:r>
            </w:hyperlink>
          </w:p>
        </w:tc>
        <w:tc>
          <w:tcPr>
            <w:tcW w:w="380" w:type="dxa"/>
            <w:vAlign w:val="bottom"/>
            <w:gridSpan w:val="11"/>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Agreement under the 2014 Equity Incentive Plan.</w:t>
              </w:r>
            </w:hyperlink>
          </w:p>
        </w:tc>
        <w:tc>
          <w:tcPr>
            <w:tcW w:w="840" w:type="dxa"/>
            <w:vAlign w:val="bottom"/>
            <w:gridSpan w:val="18"/>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4"/>
                <w:szCs w:val="24"/>
                <w:color w:val="auto"/>
              </w:rPr>
            </w:pPr>
          </w:p>
        </w:tc>
        <w:tc>
          <w:tcPr>
            <w:tcW w:w="4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Executive Restricted Stock Unit Notice of Grant</w:t>
              </w:r>
            </w:hyperlink>
          </w:p>
        </w:tc>
        <w:tc>
          <w:tcPr>
            <w:tcW w:w="30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and Award Agreement under 2014 Equity Incentive Plan.</w:t>
              </w:r>
            </w:hyperlink>
          </w:p>
        </w:tc>
        <w:tc>
          <w:tcPr>
            <w:tcW w:w="280" w:type="dxa"/>
            <w:vAlign w:val="bottom"/>
            <w:gridSpan w:val="9"/>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3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Third Amended and Restated Executive Employment</w:t>
              </w:r>
            </w:hyperlink>
          </w:p>
        </w:tc>
        <w:tc>
          <w:tcPr>
            <w:tcW w:w="560" w:type="dxa"/>
            <w:vAlign w:val="bottom"/>
            <w:gridSpan w:val="1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Agreement between Paylocity Corporation and Steven R.</w:t>
              </w:r>
            </w:hyperlink>
          </w:p>
        </w:tc>
        <w:tc>
          <w:tcPr>
            <w:tcW w:w="28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Beauchamp, dated February 7, 2014.</w:t>
              </w:r>
            </w:hyperlink>
          </w:p>
        </w:tc>
        <w:tc>
          <w:tcPr>
            <w:tcW w:w="1760" w:type="dxa"/>
            <w:vAlign w:val="bottom"/>
            <w:gridSpan w:val="22"/>
          </w:tcPr>
          <w:p>
            <w:pPr>
              <w:spacing w:after="0"/>
              <w:rPr>
                <w:sz w:val="17"/>
                <w:szCs w:val="17"/>
                <w:color w:val="auto"/>
              </w:rPr>
            </w:pPr>
          </w:p>
        </w:tc>
      </w:tr>
      <w:tr>
        <w:trPr>
          <w:trHeight w:val="30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4420" w:type="dxa"/>
            <w:vAlign w:val="bottom"/>
            <w:gridSpan w:val="31"/>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Second Amended and Restated Executive Employment</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Agreement between Paylocity Corporation and Michael R.</w:t>
              </w:r>
            </w:hyperlink>
          </w:p>
        </w:tc>
        <w:tc>
          <w:tcPr>
            <w:tcW w:w="18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Haske, dated February 7, 2014.</w:t>
              </w:r>
            </w:hyperlink>
          </w:p>
        </w:tc>
        <w:tc>
          <w:tcPr>
            <w:tcW w:w="2160" w:type="dxa"/>
            <w:vAlign w:val="bottom"/>
            <w:gridSpan w:val="24"/>
          </w:tcPr>
          <w:p>
            <w:pPr>
              <w:spacing w:after="0"/>
              <w:rPr>
                <w:sz w:val="17"/>
                <w:szCs w:val="17"/>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3"/>
                <w:szCs w:val="23"/>
                <w:color w:val="auto"/>
                <w:vertAlign w:val="superscript"/>
              </w:rPr>
              <w:t>†</w:t>
            </w:r>
          </w:p>
        </w:tc>
        <w:tc>
          <w:tcPr>
            <w:tcW w:w="20" w:type="dxa"/>
            <w:vAlign w:val="bottom"/>
          </w:tcPr>
          <w:p>
            <w:pPr>
              <w:spacing w:after="0"/>
              <w:rPr>
                <w:sz w:val="24"/>
                <w:szCs w:val="24"/>
                <w:color w:val="auto"/>
              </w:rPr>
            </w:pPr>
          </w:p>
        </w:tc>
        <w:tc>
          <w:tcPr>
            <w:tcW w:w="2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2014 Employee Stock Purchase Plan.</w:t>
              </w:r>
            </w:hyperlink>
          </w:p>
        </w:tc>
        <w:tc>
          <w:tcPr>
            <w:tcW w:w="1720" w:type="dxa"/>
            <w:vAlign w:val="bottom"/>
            <w:gridSpan w:val="21"/>
          </w:tcPr>
          <w:p>
            <w:pPr>
              <w:spacing w:after="0"/>
              <w:rPr>
                <w:sz w:val="24"/>
                <w:szCs w:val="24"/>
                <w:color w:val="auto"/>
              </w:rPr>
            </w:pPr>
          </w:p>
        </w:tc>
      </w:tr>
      <w:tr>
        <w:trPr>
          <w:trHeight w:val="33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4420" w:type="dxa"/>
            <w:vAlign w:val="bottom"/>
            <w:gridSpan w:val="31"/>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Executive Employment Agreement between Paylocity</w:t>
              </w:r>
            </w:hyperlink>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Corporation and Mark S. Kinsey, dated May 1, 2015.</w:t>
              </w:r>
            </w:hyperlink>
          </w:p>
        </w:tc>
        <w:tc>
          <w:tcPr>
            <w:tcW w:w="500" w:type="dxa"/>
            <w:vAlign w:val="bottom"/>
            <w:gridSpan w:val="12"/>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8"/>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31"/>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Multi-Tenant Office Lease Agreement, dated June 1, 2016,</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by and between Paylocity Corporation and RPAI</w:t>
              </w:r>
            </w:hyperlink>
          </w:p>
        </w:tc>
        <w:tc>
          <w:tcPr>
            <w:tcW w:w="720" w:type="dxa"/>
            <w:vAlign w:val="bottom"/>
            <w:tcBorders>
              <w:top w:val="single" w:sz="8" w:color="0000FF"/>
            </w:tcBorders>
            <w:gridSpan w:val="13"/>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Schaumburg American Lane, L.L.C.</w:t>
              </w:r>
            </w:hyperlink>
          </w:p>
        </w:tc>
        <w:tc>
          <w:tcPr>
            <w:tcW w:w="1780" w:type="dxa"/>
            <w:vAlign w:val="bottom"/>
            <w:gridSpan w:val="23"/>
          </w:tcPr>
          <w:p>
            <w:pPr>
              <w:spacing w:after="0"/>
              <w:rPr>
                <w:sz w:val="17"/>
                <w:szCs w:val="17"/>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Credit Agreement by and among Paylocity Holding</w:t>
              </w:r>
            </w:hyperlink>
          </w:p>
        </w:tc>
        <w:tc>
          <w:tcPr>
            <w:tcW w:w="700" w:type="dxa"/>
            <w:vAlign w:val="bottom"/>
            <w:gridSpan w:val="1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Corporation, the Guarantor party thereto, the Lenders party</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11"/>
            <w:shd w:val="clear" w:color="auto" w:fill="0000FF"/>
          </w:tcPr>
          <w:p>
            <w:pPr>
              <w:spacing w:after="0" w:line="20" w:lineRule="exact"/>
              <w:rPr>
                <w:sz w:val="1"/>
                <w:szCs w:val="1"/>
                <w:color w:val="auto"/>
              </w:rPr>
            </w:pPr>
          </w:p>
        </w:tc>
        <w:tc>
          <w:tcPr>
            <w:tcW w:w="1260" w:type="dxa"/>
            <w:vAlign w:val="bottom"/>
            <w:gridSpan w:val="1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thereto, PNC Bank, National Association, as Administrative</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Agent, and PNC Capital Markets, LLC, as sole lead arranger</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1"/>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and sole bookrunner, dated July 17, 2019.</w:t>
              </w:r>
            </w:hyperlink>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37"/>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 2021</w:t>
            </w:r>
          </w:p>
        </w:tc>
      </w:tr>
      <w:tr>
        <w:trPr>
          <w:trHeight w:val="43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 2021</w:t>
            </w:r>
          </w:p>
        </w:tc>
      </w:tr>
      <w:tr>
        <w:trPr>
          <w:trHeight w:val="432"/>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864"/>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10.3.2</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30, 2014</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4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18, 2020</w:t>
            </w:r>
          </w:p>
        </w:tc>
      </w:tr>
      <w:tr>
        <w:trPr>
          <w:trHeight w:val="54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6, 2022</w:t>
            </w:r>
          </w:p>
        </w:tc>
      </w:tr>
      <w:tr>
        <w:trPr>
          <w:trHeight w:val="648"/>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756"/>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553"/>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333-193661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14, 2014</w:t>
            </w:r>
          </w:p>
        </w:tc>
      </w:tr>
      <w:tr>
        <w:trPr>
          <w:trHeight w:val="473"/>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12, 2016</w:t>
            </w:r>
          </w:p>
        </w:tc>
      </w:tr>
      <w:tr>
        <w:trPr>
          <w:trHeight w:val="689"/>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2, 2016</w:t>
            </w:r>
          </w:p>
        </w:tc>
      </w:tr>
      <w:tr>
        <w:trPr>
          <w:trHeight w:val="972"/>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0" w:type="dxa"/>
            <w:vAlign w:val="bottom"/>
          </w:tcPr>
          <w:p>
            <w:pPr>
              <w:spacing w:after="0"/>
              <w:rPr>
                <w:sz w:val="24"/>
                <w:szCs w:val="24"/>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17, 2019</w:t>
            </w:r>
          </w:p>
        </w:tc>
      </w:tr>
    </w:tbl>
    <w:p>
      <w:pPr>
        <w:spacing w:after="0" w:line="605" w:lineRule="exact"/>
        <w:rPr>
          <w:sz w:val="20"/>
          <w:szCs w:val="20"/>
          <w:color w:val="auto"/>
        </w:rPr>
      </w:pPr>
    </w:p>
    <w:p>
      <w:pPr>
        <w:sectPr>
          <w:pgSz w:w="11900" w:h="16838" w:orient="portrait"/>
          <w:cols w:equalWidth="0" w:num="2">
            <w:col w:w="5660" w:space="100"/>
            <w:col w:w="5480"/>
          </w:cols>
          <w:pgMar w:left="320" w:top="121"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7"/>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83"/>
        </w:trPr>
        <w:tc>
          <w:tcPr>
            <w:tcW w:w="1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gridSpan w:val="26"/>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Equity Purchase Agreement among Paylocity Corporation,</w:t>
              </w:r>
            </w:hyperlink>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Blue Marble Payroll, LLC and the Equityholders party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thereto, dated August 31, 2021.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Employment Agreement between Paylocity</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Corporation and Rachit Lohani, dated September 27, 2021.</w:t>
            </w:r>
          </w:p>
        </w:tc>
        <w:tc>
          <w:tcPr>
            <w:tcW w:w="140" w:type="dxa"/>
            <w:vAlign w:val="bottom"/>
            <w:gridSpan w:val="5"/>
          </w:tcPr>
          <w:p>
            <w:pPr>
              <w:spacing w:after="0"/>
              <w:rPr>
                <w:sz w:val="19"/>
                <w:szCs w:val="19"/>
                <w:color w:val="auto"/>
              </w:rPr>
            </w:pPr>
          </w:p>
        </w:tc>
      </w:tr>
      <w:tr>
        <w:trPr>
          <w:trHeight w:val="34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4420" w:type="dxa"/>
            <w:vAlign w:val="bottom"/>
            <w:gridSpan w:val="26"/>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Amendment to Executive Employment Agreement between</w:t>
              </w:r>
            </w:hyperlink>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Paylocity Corporation and Toby J. Williams, dated March</w:t>
              </w:r>
            </w:hyperlink>
          </w:p>
        </w:tc>
        <w:tc>
          <w:tcPr>
            <w:tcW w:w="120" w:type="dxa"/>
            <w:vAlign w:val="bottom"/>
            <w:gridSpan w:val="4"/>
          </w:tcPr>
          <w:p>
            <w:pPr>
              <w:spacing w:after="0"/>
              <w:rPr>
                <w:sz w:val="19"/>
                <w:szCs w:val="19"/>
                <w:color w:val="auto"/>
              </w:rPr>
            </w:pPr>
          </w:p>
        </w:tc>
      </w:tr>
      <w:tr>
        <w:trPr>
          <w:trHeight w:val="236"/>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11, 2022.</w:t>
              </w:r>
            </w:hyperlink>
          </w:p>
        </w:tc>
        <w:tc>
          <w:tcPr>
            <w:tcW w:w="2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4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Amended and Restated Executive Employment Agreement</w:t>
              </w:r>
            </w:hyperlink>
          </w:p>
        </w:tc>
        <w:tc>
          <w:tcPr>
            <w:tcW w:w="160" w:type="dxa"/>
            <w:vAlign w:val="bottom"/>
            <w:gridSpan w:val="6"/>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26"/>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between Paylocity Corporation and Ryan Glenn, dated</w:t>
              </w:r>
            </w:hyperlink>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March 11, 2022.</w:t>
              </w:r>
            </w:hyperlink>
          </w:p>
        </w:tc>
        <w:tc>
          <w:tcPr>
            <w:tcW w:w="500" w:type="dxa"/>
            <w:vAlign w:val="bottom"/>
            <w:gridSpan w:val="15"/>
          </w:tcPr>
          <w:p>
            <w:pPr>
              <w:spacing w:after="0"/>
              <w:rPr>
                <w:sz w:val="20"/>
                <w:szCs w:val="20"/>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4420" w:type="dxa"/>
            <w:vAlign w:val="bottom"/>
            <w:gridSpan w:val="2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Transition and Separation Agreement between Paylocity</w:t>
              </w:r>
            </w:hyperlink>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Corporation and Michael Haske, dated March 11, 2022.</w:t>
              </w:r>
            </w:hyperlink>
          </w:p>
        </w:tc>
        <w:tc>
          <w:tcPr>
            <w:tcW w:w="40" w:type="dxa"/>
            <w:vAlign w:val="bottom"/>
            <w:tcBorders>
              <w:top w:val="single" w:sz="8" w:color="0000FF"/>
            </w:tcBorders>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36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Consulting Services Agreement between Paylocity</w:t>
              </w:r>
            </w:hyperlink>
          </w:p>
        </w:tc>
        <w:tc>
          <w:tcPr>
            <w:tcW w:w="760" w:type="dxa"/>
            <w:vAlign w:val="bottom"/>
            <w:gridSpan w:val="1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Corporation and Michael Haske, dated March 11, 2022.</w:t>
              </w:r>
            </w:hyperlink>
          </w:p>
        </w:tc>
        <w:tc>
          <w:tcPr>
            <w:tcW w:w="400" w:type="dxa"/>
            <w:vAlign w:val="bottom"/>
            <w:gridSpan w:val="12"/>
          </w:tcPr>
          <w:p>
            <w:pPr>
              <w:spacing w:after="0"/>
              <w:rPr>
                <w:sz w:val="17"/>
                <w:szCs w:val="17"/>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Code of Business Conduct and Ethics.</w:t>
              </w:r>
            </w:hyperlink>
          </w:p>
        </w:tc>
        <w:tc>
          <w:tcPr>
            <w:tcW w:w="1660" w:type="dxa"/>
            <w:vAlign w:val="bottom"/>
            <w:gridSpan w:val="18"/>
          </w:tcPr>
          <w:p>
            <w:pPr>
              <w:spacing w:after="0"/>
              <w:rPr>
                <w:sz w:val="24"/>
                <w:szCs w:val="24"/>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w:t>
            </w:r>
          </w:p>
        </w:tc>
        <w:tc>
          <w:tcPr>
            <w:tcW w:w="420" w:type="dxa"/>
            <w:vAlign w:val="bottom"/>
            <w:gridSpan w:val="13"/>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Accounting Firm.</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Power of Attorney (see page 50 to this Annual Report on</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Form 10-K).</w:t>
            </w:r>
          </w:p>
        </w:tc>
        <w:tc>
          <w:tcPr>
            <w:tcW w:w="3180" w:type="dxa"/>
            <w:vAlign w:val="bottom"/>
            <w:tcBorders>
              <w:top w:val="single" w:sz="8" w:color="0000FF"/>
            </w:tcBorders>
            <w:gridSpan w:val="14"/>
          </w:tcPr>
          <w:p>
            <w:pPr>
              <w:spacing w:after="0"/>
              <w:rPr>
                <w:sz w:val="19"/>
                <w:szCs w:val="19"/>
                <w:color w:val="auto"/>
              </w:rPr>
            </w:pPr>
          </w:p>
        </w:tc>
        <w:tc>
          <w:tcPr>
            <w:tcW w:w="320" w:type="dxa"/>
            <w:vAlign w:val="bottom"/>
            <w:gridSpan w:val="10"/>
          </w:tcPr>
          <w:p>
            <w:pPr>
              <w:spacing w:after="0"/>
              <w:rPr>
                <w:sz w:val="19"/>
                <w:szCs w:val="19"/>
                <w:color w:val="auto"/>
              </w:rPr>
            </w:pPr>
          </w:p>
        </w:tc>
      </w:tr>
      <w:tr>
        <w:trPr>
          <w:trHeight w:val="34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Required Under</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220" w:type="dxa"/>
            <w:vAlign w:val="bottom"/>
            <w:tcBorders>
              <w:top w:val="single" w:sz="8" w:color="0000EE"/>
            </w:tcBorders>
            <w:gridSpan w:val="6"/>
          </w:tcPr>
          <w:p>
            <w:pPr>
              <w:spacing w:after="0"/>
              <w:rPr>
                <w:sz w:val="19"/>
                <w:szCs w:val="19"/>
                <w:color w:val="auto"/>
              </w:rPr>
            </w:pPr>
          </w:p>
        </w:tc>
        <w:tc>
          <w:tcPr>
            <w:tcW w:w="80" w:type="dxa"/>
            <w:vAlign w:val="bottom"/>
            <w:gridSpan w:val="3"/>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1"/>
          </w:tcPr>
          <w:p>
            <w:pPr>
              <w:spacing w:after="0"/>
              <w:rPr>
                <w:sz w:val="20"/>
                <w:szCs w:val="20"/>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Required Under</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220" w:type="dxa"/>
            <w:vAlign w:val="bottom"/>
            <w:tcBorders>
              <w:top w:val="single" w:sz="8" w:color="0000EE"/>
            </w:tcBorders>
            <w:gridSpan w:val="6"/>
          </w:tcPr>
          <w:p>
            <w:pPr>
              <w:spacing w:after="0"/>
              <w:rPr>
                <w:sz w:val="19"/>
                <w:szCs w:val="19"/>
                <w:color w:val="auto"/>
              </w:rPr>
            </w:pPr>
          </w:p>
        </w:tc>
        <w:tc>
          <w:tcPr>
            <w:tcW w:w="80" w:type="dxa"/>
            <w:vAlign w:val="bottom"/>
            <w:gridSpan w:val="3"/>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1"/>
          </w:tcPr>
          <w:p>
            <w:pPr>
              <w:spacing w:after="0"/>
              <w:rPr>
                <w:sz w:val="20"/>
                <w:szCs w:val="20"/>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Under</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14"/>
            <w:shd w:val="clear" w:color="auto" w:fill="0000EE"/>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Rule 13a-14(a) and 15d-14(a) of the Securities Exchange</w:t>
            </w:r>
          </w:p>
        </w:tc>
        <w:tc>
          <w:tcPr>
            <w:tcW w:w="300" w:type="dxa"/>
            <w:vAlign w:val="bottom"/>
            <w:gridSpan w:val="9"/>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Act of 1934, as amended.</w:t>
            </w:r>
          </w:p>
        </w:tc>
        <w:tc>
          <w:tcPr>
            <w:tcW w:w="2580" w:type="dxa"/>
            <w:vAlign w:val="bottom"/>
            <w:gridSpan w:val="21"/>
          </w:tcPr>
          <w:p>
            <w:pPr>
              <w:spacing w:after="0"/>
              <w:rPr>
                <w:sz w:val="20"/>
                <w:szCs w:val="20"/>
                <w:color w:val="auto"/>
              </w:rPr>
            </w:pPr>
          </w:p>
        </w:tc>
      </w:tr>
      <w:tr>
        <w:trPr>
          <w:trHeight w:val="33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Under Rule 13a-</w:t>
            </w:r>
          </w:p>
        </w:tc>
      </w:tr>
      <w:tr>
        <w:trPr>
          <w:trHeight w:val="223"/>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top w:val="single" w:sz="8" w:color="0000EE"/>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14(a) and 15d-14(a) of the Securities Exchange Act of 1934,</w:t>
            </w:r>
          </w:p>
        </w:tc>
        <w:tc>
          <w:tcPr>
            <w:tcW w:w="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49" w:lineRule="exact"/>
        <w:rPr>
          <w:sz w:val="20"/>
          <w:szCs w:val="20"/>
          <w:color w:val="auto"/>
        </w:rPr>
      </w:pPr>
    </w:p>
    <w:p>
      <w:pPr>
        <w:ind w:left="1240" w:right="380"/>
        <w:spacing w:after="0" w:line="313" w:lineRule="auto"/>
        <w:rPr>
          <w:sz w:val="20"/>
          <w:szCs w:val="20"/>
          <w:color w:val="auto"/>
        </w:rPr>
      </w:pPr>
      <w:r>
        <w:rPr>
          <w:rFonts w:ascii="Times New Roman" w:cs="Times New Roman" w:eastAsia="Times New Roman" w:hAnsi="Times New Roman"/>
          <w:sz w:val="18"/>
          <w:szCs w:val="18"/>
          <w:u w:val="single" w:color="auto"/>
          <w:color w:val="0000EE"/>
        </w:rPr>
        <w:t>as amended, and 18 U.S.C.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480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426"/>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001-36348</w:t>
            </w:r>
          </w:p>
        </w:tc>
        <w:tc>
          <w:tcPr>
            <w:tcW w:w="80" w:type="dxa"/>
            <w:vAlign w:val="bottom"/>
          </w:tcPr>
          <w:p>
            <w:pPr>
              <w:spacing w:after="0"/>
              <w:rPr>
                <w:sz w:val="24"/>
                <w:szCs w:val="24"/>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001-36348</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851"/>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001-36348</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1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70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001-36348</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540"/>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001-36348</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March 14, 2022</w:t>
            </w:r>
          </w:p>
        </w:tc>
      </w:tr>
      <w:tr>
        <w:trPr>
          <w:trHeight w:val="446"/>
        </w:trPr>
        <w:tc>
          <w:tcPr>
            <w:tcW w:w="7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001-36348</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14.1</w:t>
            </w:r>
          </w:p>
        </w:tc>
        <w:tc>
          <w:tcPr>
            <w:tcW w:w="1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August 22, 2014</w:t>
            </w:r>
          </w:p>
        </w:tc>
      </w:tr>
    </w:tbl>
    <w:p>
      <w:pPr>
        <w:sectPr>
          <w:pgSz w:w="11900" w:h="16838" w:orient="portrait"/>
          <w:cols w:equalWidth="0" w:num="2">
            <w:col w:w="5720" w:space="40"/>
            <w:col w:w="548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520" w:type="dxa"/>
            <w:vAlign w:val="bottom"/>
            <w:gridSpan w:val="7"/>
          </w:tcPr>
          <w:p>
            <w:pPr>
              <w:ind w:left="1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Co-Chief Executive Officer Required Under</w:t>
            </w:r>
          </w:p>
        </w:tc>
        <w:tc>
          <w:tcPr>
            <w:tcW w:w="180" w:type="dxa"/>
            <w:vAlign w:val="bottom"/>
            <w:gridSpan w:val="3"/>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Rule 13a-14(a) and 15d-14(a) of the Securities Exchange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Act of 1934, as amended, and 18 U.S.C. §1350 as adopted</w:t>
            </w:r>
          </w:p>
        </w:tc>
        <w:tc>
          <w:tcPr>
            <w:tcW w:w="320" w:type="dxa"/>
            <w:vAlign w:val="bottom"/>
            <w:gridSpan w:val="4"/>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Required Under</w:t>
            </w:r>
          </w:p>
        </w:tc>
        <w:tc>
          <w:tcPr>
            <w:tcW w:w="340" w:type="dxa"/>
            <w:vAlign w:val="bottom"/>
            <w:tcBorders>
              <w:top w:val="single" w:sz="8" w:color="0000EE"/>
            </w:tcBorders>
            <w:gridSpan w:val="4"/>
          </w:tcPr>
          <w:p>
            <w:pPr>
              <w:spacing w:after="0"/>
              <w:rPr>
                <w:sz w:val="24"/>
                <w:szCs w:val="24"/>
                <w:color w:val="auto"/>
              </w:rPr>
            </w:pPr>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Rule 13a-14(a) and 15d-14(a) of the Securities Exchange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Act of 1934, as amended, and 18 U.S.C. §1350 as adopted</w:t>
            </w:r>
          </w:p>
        </w:tc>
        <w:tc>
          <w:tcPr>
            <w:tcW w:w="320" w:type="dxa"/>
            <w:vAlign w:val="bottom"/>
            <w:gridSpan w:val="4"/>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7" w:lineRule="exact"/>
        <w:rPr>
          <w:sz w:val="20"/>
          <w:szCs w:val="20"/>
          <w:color w:val="auto"/>
        </w:rPr>
      </w:pPr>
    </w:p>
    <w:p>
      <w:pPr>
        <w:ind w:right="6760" w:firstLine="8"/>
        <w:spacing w:after="0" w:line="250"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51" w:lineRule="exact"/>
        <w:rPr>
          <w:sz w:val="20"/>
          <w:szCs w:val="20"/>
          <w:color w:val="auto"/>
        </w:rPr>
      </w:pPr>
    </w:p>
    <w:p>
      <w:pPr>
        <w:ind w:left="20"/>
        <w:spacing w:after="0"/>
        <w:tabs>
          <w:tab w:leader="none" w:pos="5380" w:val="left"/>
          <w:tab w:leader="none" w:pos="59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Steven R. Beauchamp</w:t>
      </w:r>
    </w:p>
    <w:p>
      <w:pPr>
        <w:spacing w:after="0" w:line="9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Co-Chief Executive Officer (Principal Executive Officer) and Director</w:t>
      </w:r>
    </w:p>
    <w:p>
      <w:pPr>
        <w:spacing w:after="0" w:line="360" w:lineRule="exact"/>
        <w:rPr>
          <w:sz w:val="20"/>
          <w:szCs w:val="20"/>
          <w:color w:val="auto"/>
        </w:rPr>
      </w:pPr>
    </w:p>
    <w:p>
      <w:pPr>
        <w:ind w:left="20"/>
        <w:spacing w:after="0"/>
        <w:tabs>
          <w:tab w:leader="none" w:pos="5380" w:val="left"/>
          <w:tab w:leader="none" w:pos="59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Toby J. Williams</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President, Co-Chief Executive Officer (Principal Executive Officer) and</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223" w:lineRule="exact"/>
        <w:rPr>
          <w:sz w:val="20"/>
          <w:szCs w:val="20"/>
          <w:color w:val="auto"/>
        </w:rPr>
      </w:pPr>
    </w:p>
    <w:p>
      <w:pPr>
        <w:ind w:left="1400"/>
        <w:spacing w:after="0"/>
        <w:tabs>
          <w:tab w:leader="none" w:pos="6240" w:val="left"/>
          <w:tab w:leader="none" w:pos="101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372" w:lineRule="exact"/>
        <w:rPr>
          <w:sz w:val="20"/>
          <w:szCs w:val="20"/>
          <w:color w:val="auto"/>
        </w:rPr>
      </w:pPr>
    </w:p>
    <w:p>
      <w:pPr>
        <w:ind w:left="20" w:right="940"/>
        <w:spacing w:after="0" w:line="360" w:lineRule="auto"/>
        <w:rPr>
          <w:sz w:val="20"/>
          <w:szCs w:val="20"/>
          <w:color w:val="auto"/>
        </w:rPr>
      </w:pPr>
      <w:r>
        <w:rPr>
          <w:rFonts w:ascii="Times New Roman" w:cs="Times New Roman" w:eastAsia="Times New Roman" w:hAnsi="Times New Roman"/>
          <w:sz w:val="18"/>
          <w:szCs w:val="18"/>
          <w:color w:val="auto"/>
        </w:rPr>
        <w:t xml:space="preserve">/s/ Steven R. Beauchamp </w:t>
      </w:r>
      <w:r>
        <w:rPr>
          <w:rFonts w:ascii="Times New Roman" w:cs="Times New Roman" w:eastAsia="Times New Roman" w:hAnsi="Times New Roman"/>
          <w:sz w:val="18"/>
          <w:szCs w:val="18"/>
          <w:i w:val="1"/>
          <w:i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Toby J. Williams</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Ryan Glenn</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Nicholas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Nicholas Rost</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I. Sarowitz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Steven I. Sarowitz</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Virginia G.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Virginia G. Breen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Ellen Carnahan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Ellen Carnahan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Jeffrey T.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Jeffrey T. Diehl</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Robin L.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Robin L. Pederson</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Andres D. 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342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Andres D. Reiner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Co-Chief Executive Officer (Principal Executive Officer) and 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President, Co-Chief Executive Officer (Principal Executive Officer) and</w:t>
      </w:r>
      <w:r>
        <w:rPr>
          <w:sz w:val="20"/>
          <w:szCs w:val="20"/>
          <w:color w:val="auto"/>
        </w:rPr>
        <w:tab/>
      </w:r>
      <w:r>
        <w:rPr>
          <w:rFonts w:ascii="Times New Roman" w:cs="Times New Roman" w:eastAsia="Times New Roman" w:hAnsi="Times New Roman"/>
          <w:sz w:val="17"/>
          <w:szCs w:val="17"/>
          <w:color w:val="auto"/>
        </w:rPr>
        <w:t>August 5,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Chief Financial Officer and Treasurer (Principal Financial Officer)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Vice President and Chief Accounting Officer (Principal Accounting Officer)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506" w:lineRule="exact"/>
        <w:rPr>
          <w:sz w:val="20"/>
          <w:szCs w:val="20"/>
          <w:color w:val="auto"/>
        </w:rPr>
      </w:pPr>
    </w:p>
    <w:p>
      <w:pPr>
        <w:sectPr>
          <w:pgSz w:w="11900" w:h="16838" w:orient="portrait"/>
          <w:cols w:equalWidth="0" w:num="2">
            <w:col w:w="2780" w:space="720"/>
            <w:col w:w="76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right="980"/>
        <w:spacing w:after="0" w:line="360" w:lineRule="auto"/>
        <w:rPr>
          <w:sz w:val="20"/>
          <w:szCs w:val="20"/>
          <w:color w:val="auto"/>
        </w:rPr>
      </w:pPr>
      <w:r>
        <w:rPr>
          <w:rFonts w:ascii="Times New Roman" w:cs="Times New Roman" w:eastAsia="Times New Roman" w:hAnsi="Times New Roman"/>
          <w:sz w:val="18"/>
          <w:szCs w:val="18"/>
          <w:color w:val="auto"/>
        </w:rPr>
        <w:t xml:space="preserve">/s/ Kenneth B. Robinson </w:t>
      </w:r>
      <w:r>
        <w:rPr>
          <w:rFonts w:ascii="Times New Roman" w:cs="Times New Roman" w:eastAsia="Times New Roman" w:hAnsi="Times New Roman"/>
          <w:sz w:val="18"/>
          <w:szCs w:val="18"/>
          <w:i w:val="1"/>
          <w:iCs w:val="1"/>
          <w:color w:val="auto"/>
        </w:rPr>
        <w:t>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1342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1342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Ronald V. Waters,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80" w:space="720"/>
            <w:col w:w="7380"/>
          </w:cols>
          <w:pgMar w:left="320" w:top="121" w:right="6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June 30, 2021 and 2022</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Income for the years ended June 30, 2020, 2021 and 2022</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Stockholders’ Equity for the years ended June 30, 2020, 2021 and 2022</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June 30, 2020, 2021 and 2022</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50800</wp:posOffset>
            </wp:positionV>
            <wp:extent cx="436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F-5</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F-6</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F-7</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F-8</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2">
            <w:col w:w="10020" w:space="720"/>
            <w:col w:w="300"/>
          </w:cols>
          <w:pgMar w:left="320" w:top="121"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Paylocity Holding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Paylocity Holding Corporation and subsidiaries (the Company) as of June 30, 2022 and</w:t>
      </w:r>
    </w:p>
    <w:p>
      <w:pPr>
        <w:spacing w:after="0" w:line="2"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2021, the related consolidated statements of operations and comprehensive income, changes in stockholders’ equity, and cash flows for each of the years in the three- year period ended June 30, 2022, and the related notes (collectively, the consolidated financial statements). We also have audited the Company’s</w:t>
      </w:r>
    </w:p>
    <w:p>
      <w:pPr>
        <w:spacing w:after="0" w:line="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internal control over financial reporting as of June 30, 2022, based on criteria established in Internal Control – Integrated Framework (2013) issued by the Committee of Sponsoring Organizations of the Treadway Commission.</w:t>
      </w:r>
    </w:p>
    <w:p>
      <w:pPr>
        <w:spacing w:after="0" w:line="19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June 30, 2022 and 2021, and the results of its operations and its cash flows for each of the years in the three-year period ended June 30, 2022, in conformity</w:t>
      </w:r>
    </w:p>
    <w:p>
      <w:pPr>
        <w:spacing w:after="0" w:line="219" w:lineRule="auto"/>
        <w:rPr>
          <w:sz w:val="20"/>
          <w:szCs w:val="20"/>
          <w:color w:val="auto"/>
        </w:rPr>
      </w:pPr>
      <w:r>
        <w:rPr>
          <w:rFonts w:ascii="Times New Roman" w:cs="Times New Roman" w:eastAsia="Times New Roman" w:hAnsi="Times New Roman"/>
          <w:sz w:val="18"/>
          <w:szCs w:val="18"/>
          <w:color w:val="auto"/>
        </w:rPr>
        <w:t>with U.S. generally accepted accounting principles. Also in our opinion, the Company maintained, in all material respects, effective internal control over</w:t>
      </w:r>
    </w:p>
    <w:p>
      <w:pPr>
        <w:ind w:right="660"/>
        <w:spacing w:after="0" w:line="226" w:lineRule="auto"/>
        <w:rPr>
          <w:sz w:val="20"/>
          <w:szCs w:val="20"/>
          <w:color w:val="auto"/>
        </w:rPr>
      </w:pPr>
      <w:r>
        <w:rPr>
          <w:rFonts w:ascii="Times New Roman" w:cs="Times New Roman" w:eastAsia="Times New Roman" w:hAnsi="Times New Roman"/>
          <w:sz w:val="18"/>
          <w:szCs w:val="18"/>
          <w:color w:val="auto"/>
        </w:rPr>
        <w:t>financial reporting as of June 30, 2022 based on criteria established in Internal Control – Integrated Framework (2013) issued by the Committee of Sponsoring Organizations of the Treadway Commission.</w:t>
      </w:r>
    </w:p>
    <w:p>
      <w:pPr>
        <w:spacing w:after="0" w:line="19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The Company acquired Blue Marble Payroll, LLC (Blue Marble) in August 2021 and Cloudsnap, Inc. in January 2022 (the Acquired Businesses), and management excluded from its assessment of the effectiveness of the Company’s internal control over financial reporting as of June 30, 2022, the Acquired</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Businesses’ internal control over financial reporting associated with 2% of total assets and less than 2% of total revenues included in the consolidated financial statements of the Company as of and for the year ended June 30, 2022. Our audit of internal control over financial reporting of the Company also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an evaluation of the internal control over financial reporting of the Acquired Businesses.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14"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w:t>
      </w:r>
    </w:p>
    <w:p>
      <w:pPr>
        <w:ind w:right="440"/>
        <w:spacing w:after="0" w:line="232" w:lineRule="auto"/>
        <w:rPr>
          <w:sz w:val="20"/>
          <w:szCs w:val="20"/>
          <w:color w:val="auto"/>
        </w:rPr>
      </w:pPr>
      <w:r>
        <w:rPr>
          <w:rFonts w:ascii="Times New Roman" w:cs="Times New Roman" w:eastAsia="Times New Roman" w:hAnsi="Times New Roman"/>
          <w:sz w:val="17"/>
          <w:szCs w:val="17"/>
          <w:color w:val="auto"/>
        </w:rPr>
        <w:t>Control Over Financial Reporting and Attestation Report of the Registered Public Accounting Firm. Our responsibility is to express an opinion on the Company’s consolidated financial statements and an opinion on the Company’s internal control over financial reporting based on our audits. We are a</w:t>
      </w:r>
    </w:p>
    <w:p>
      <w:pPr>
        <w:ind w:right="40"/>
        <w:spacing w:after="0" w:line="211" w:lineRule="auto"/>
        <w:rPr>
          <w:sz w:val="20"/>
          <w:szCs w:val="20"/>
          <w:color w:val="auto"/>
        </w:rPr>
      </w:pPr>
      <w:r>
        <w:rPr>
          <w:rFonts w:ascii="Times New Roman" w:cs="Times New Roman" w:eastAsia="Times New Roman" w:hAnsi="Times New Roman"/>
          <w:sz w:val="18"/>
          <w:szCs w:val="18"/>
          <w:color w:val="auto"/>
        </w:rPr>
        <w:t>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the PCAOB.</w:t>
      </w:r>
    </w:p>
    <w:p>
      <w:pPr>
        <w:spacing w:after="0" w:line="20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w:t>
      </w:r>
    </w:p>
    <w:p>
      <w:pPr>
        <w:spacing w:after="0"/>
        <w:rPr>
          <w:sz w:val="20"/>
          <w:szCs w:val="20"/>
          <w:color w:val="auto"/>
        </w:rPr>
      </w:pPr>
      <w:r>
        <w:rPr>
          <w:rFonts w:ascii="Times New Roman" w:cs="Times New Roman" w:eastAsia="Times New Roman" w:hAnsi="Times New Roman"/>
          <w:sz w:val="18"/>
          <w:szCs w:val="18"/>
          <w:color w:val="auto"/>
        </w:rPr>
        <w:t>internal control over financial reporting was maintained in all material respects.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w:t>
      </w:r>
    </w:p>
    <w:p>
      <w:pPr>
        <w:spacing w:after="0" w:line="2"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18"/>
          <w:szCs w:val="18"/>
          <w:color w:val="auto"/>
        </w:rPr>
        <w:t>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w:t>
      </w:r>
    </w:p>
    <w:p>
      <w:pPr>
        <w:spacing w:after="0" w:line="219"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consolidated financial statements. Our audit of internal</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procedures as we considered necessary in the circumstances. We believe that our audits provide a reasonable basis for our opinions.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w:t>
      </w:r>
    </w:p>
    <w:p>
      <w:pPr>
        <w:spacing w:after="0" w:line="2"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w:t>
      </w:r>
    </w:p>
    <w:p>
      <w:pPr>
        <w:spacing w:after="0" w:line="220" w:lineRule="auto"/>
        <w:rPr>
          <w:sz w:val="20"/>
          <w:szCs w:val="20"/>
          <w:color w:val="auto"/>
        </w:rPr>
      </w:pPr>
      <w:r>
        <w:rPr>
          <w:rFonts w:ascii="Times New Roman" w:cs="Times New Roman" w:eastAsia="Times New Roman" w:hAnsi="Times New Roman"/>
          <w:sz w:val="18"/>
          <w:szCs w:val="18"/>
          <w:color w:val="auto"/>
        </w:rPr>
        <w:t>reflect the transactions and dispositions of the assets of the company; (2) provide reasonable assurance that transactions are recorded as necessary to permit</w:t>
      </w:r>
    </w:p>
    <w:p>
      <w:pPr>
        <w:ind w:right="400"/>
        <w:spacing w:after="0" w:line="226" w:lineRule="auto"/>
        <w:rPr>
          <w:sz w:val="20"/>
          <w:szCs w:val="20"/>
          <w:color w:val="auto"/>
        </w:rPr>
      </w:pPr>
      <w:r>
        <w:rPr>
          <w:rFonts w:ascii="Times New Roman" w:cs="Times New Roman" w:eastAsia="Times New Roman" w:hAnsi="Times New Roman"/>
          <w:sz w:val="18"/>
          <w:szCs w:val="18"/>
          <w:color w:val="auto"/>
        </w:rPr>
        <w:t>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14"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w:t>
      </w:r>
    </w:p>
    <w:p>
      <w:pPr>
        <w:spacing w:after="0" w:line="220" w:lineRule="auto"/>
        <w:rPr>
          <w:sz w:val="20"/>
          <w:szCs w:val="20"/>
          <w:color w:val="auto"/>
        </w:rPr>
      </w:pPr>
      <w:r>
        <w:rPr>
          <w:rFonts w:ascii="Times New Roman" w:cs="Times New Roman" w:eastAsia="Times New Roman" w:hAnsi="Times New Roman"/>
          <w:sz w:val="18"/>
          <w:szCs w:val="18"/>
          <w:color w:val="auto"/>
        </w:rPr>
        <w:t>financial statements and (2) involved our especially challenging, subjective, or complex judgments. The communication of critical audit matters does not</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Capitalized internal-use software development costs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Notes 2 and 7 to the consolidated financial statements, the Company capitalizes certain internal-use software costs related to new</w:t>
      </w:r>
    </w:p>
    <w:p>
      <w:pPr>
        <w:spacing w:after="0" w:line="2" w:lineRule="exact"/>
        <w:rPr>
          <w:sz w:val="20"/>
          <w:szCs w:val="20"/>
          <w:color w:val="auto"/>
        </w:rPr>
      </w:pPr>
    </w:p>
    <w:p>
      <w:pPr>
        <w:ind w:left="660" w:right="240"/>
        <w:spacing w:after="0" w:line="223" w:lineRule="auto"/>
        <w:rPr>
          <w:sz w:val="20"/>
          <w:szCs w:val="20"/>
          <w:color w:val="auto"/>
        </w:rPr>
      </w:pPr>
      <w:r>
        <w:rPr>
          <w:rFonts w:ascii="Times New Roman" w:cs="Times New Roman" w:eastAsia="Times New Roman" w:hAnsi="Times New Roman"/>
          <w:sz w:val="17"/>
          <w:szCs w:val="17"/>
          <w:color w:val="auto"/>
        </w:rPr>
        <w:t>products as well as existing products when those costs will result in significant additional functionality. The Company's capitalized internal-use software asset, net of accumulated amortization, was $62.0 million as of June 30, 2022. The Company capitalized $42.2 million of internal-use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costs during the year ended June 30, 2022.</w:t>
      </w:r>
    </w:p>
    <w:p>
      <w:pPr>
        <w:spacing w:after="0" w:line="205" w:lineRule="exact"/>
        <w:rPr>
          <w:sz w:val="20"/>
          <w:szCs w:val="20"/>
          <w:color w:val="auto"/>
        </w:rPr>
      </w:pPr>
    </w:p>
    <w:p>
      <w:pPr>
        <w:ind w:left="660" w:right="760"/>
        <w:spacing w:after="0" w:line="250" w:lineRule="auto"/>
        <w:rPr>
          <w:sz w:val="20"/>
          <w:szCs w:val="20"/>
          <w:color w:val="auto"/>
        </w:rPr>
      </w:pPr>
      <w:r>
        <w:rPr>
          <w:rFonts w:ascii="Times New Roman" w:cs="Times New Roman" w:eastAsia="Times New Roman" w:hAnsi="Times New Roman"/>
          <w:sz w:val="18"/>
          <w:szCs w:val="18"/>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76" w:lineRule="exact"/>
        <w:rPr>
          <w:sz w:val="20"/>
          <w:szCs w:val="20"/>
          <w:color w:val="auto"/>
        </w:rPr>
      </w:pPr>
    </w:p>
    <w:p>
      <w:pPr>
        <w:ind w:left="660" w:right="320"/>
        <w:spacing w:after="0"/>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w:t>
      </w:r>
    </w:p>
    <w:p>
      <w:pPr>
        <w:spacing w:after="0" w:line="1" w:lineRule="exact"/>
        <w:rPr>
          <w:sz w:val="20"/>
          <w:szCs w:val="20"/>
          <w:color w:val="auto"/>
        </w:rPr>
      </w:pPr>
    </w:p>
    <w:p>
      <w:pPr>
        <w:ind w:left="660" w:right="40"/>
        <w:spacing w:after="0" w:line="211" w:lineRule="auto"/>
        <w:rPr>
          <w:sz w:val="20"/>
          <w:szCs w:val="20"/>
          <w:color w:val="auto"/>
        </w:rPr>
      </w:pPr>
      <w:r>
        <w:rPr>
          <w:rFonts w:ascii="Times New Roman" w:cs="Times New Roman" w:eastAsia="Times New Roman" w:hAnsi="Times New Roman"/>
          <w:sz w:val="18"/>
          <w:szCs w:val="18"/>
          <w:color w:val="auto"/>
        </w:rPr>
        <w:t>capitalize the costs by reading the Company's analysis and discussing the objective and status of the projects with IT department management. We also assessed a sample of the Company's capitalized costs by confirming the nature of the activities performed with individual software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developers.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proprietary technology intangible asset</w:t>
      </w:r>
    </w:p>
    <w:p>
      <w:pPr>
        <w:spacing w:after="0" w:line="241"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18"/>
          <w:szCs w:val="18"/>
          <w:color w:val="auto"/>
        </w:rPr>
        <w:t>As discussed in Notes 2 and 6 to the consolidated financial statements, on August 31, 2021, the Company acquired Blue Marble. As a result of the transaction, the Company acquired a proprietary technology intangible asset with an acquisition-date fair value of $21.2 million.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identified the evaluation of the acquisition-date fair value of the proprietary technology intangible asset acquired in the Blue Marble</w:t>
      </w:r>
    </w:p>
    <w:p>
      <w:pPr>
        <w:spacing w:after="0" w:line="2" w:lineRule="exact"/>
        <w:rPr>
          <w:sz w:val="20"/>
          <w:szCs w:val="20"/>
          <w:color w:val="auto"/>
        </w:rPr>
      </w:pPr>
    </w:p>
    <w:p>
      <w:pPr>
        <w:ind w:left="660" w:right="20"/>
        <w:spacing w:after="0" w:line="223" w:lineRule="auto"/>
        <w:rPr>
          <w:sz w:val="20"/>
          <w:szCs w:val="20"/>
          <w:color w:val="auto"/>
        </w:rPr>
      </w:pPr>
      <w:r>
        <w:rPr>
          <w:rFonts w:ascii="Times New Roman" w:cs="Times New Roman" w:eastAsia="Times New Roman" w:hAnsi="Times New Roman"/>
          <w:sz w:val="17"/>
          <w:szCs w:val="17"/>
          <w:color w:val="auto"/>
        </w:rPr>
        <w:t>acquisition as a critical audit matter. A high degree of subjective auditor judgment and the involvement of valuation professionals with specialized skills and knowledge were required to assess certain assumptions used to estimate fair value, specifically the forecasted revenue growth rates and</w:t>
      </w:r>
    </w:p>
    <w:p>
      <w:pPr>
        <w:spacing w:after="0" w:line="1" w:lineRule="exact"/>
        <w:rPr>
          <w:sz w:val="20"/>
          <w:szCs w:val="20"/>
          <w:color w:val="auto"/>
        </w:rPr>
      </w:pPr>
    </w:p>
    <w:p>
      <w:pPr>
        <w:ind w:left="660" w:right="600"/>
        <w:spacing w:after="0" w:line="233" w:lineRule="auto"/>
        <w:rPr>
          <w:sz w:val="20"/>
          <w:szCs w:val="20"/>
          <w:color w:val="auto"/>
        </w:rPr>
      </w:pPr>
      <w:r>
        <w:rPr>
          <w:rFonts w:ascii="Times New Roman" w:cs="Times New Roman" w:eastAsia="Times New Roman" w:hAnsi="Times New Roman"/>
          <w:sz w:val="18"/>
          <w:szCs w:val="18"/>
          <w:color w:val="auto"/>
        </w:rPr>
        <w:t>the discount rate applied. Changes in these assumptions could have had a significant impact on the fair value of the proprietary technology intangible asset.</w:t>
      </w:r>
    </w:p>
    <w:p>
      <w:pPr>
        <w:spacing w:after="0" w:line="199" w:lineRule="exact"/>
        <w:rPr>
          <w:sz w:val="20"/>
          <w:szCs w:val="20"/>
          <w:color w:val="auto"/>
        </w:rPr>
      </w:pPr>
    </w:p>
    <w:p>
      <w:pPr>
        <w:ind w:left="660" w:right="400"/>
        <w:spacing w:after="0" w:line="236"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fair value measurement process for the Blue Marble acquisition, including</w:t>
      </w:r>
    </w:p>
    <w:p>
      <w:pPr>
        <w:ind w:left="660"/>
        <w:spacing w:after="0" w:line="219" w:lineRule="auto"/>
        <w:rPr>
          <w:sz w:val="20"/>
          <w:szCs w:val="20"/>
          <w:color w:val="auto"/>
        </w:rPr>
      </w:pPr>
      <w:r>
        <w:rPr>
          <w:rFonts w:ascii="Times New Roman" w:cs="Times New Roman" w:eastAsia="Times New Roman" w:hAnsi="Times New Roman"/>
          <w:sz w:val="18"/>
          <w:szCs w:val="18"/>
          <w:color w:val="auto"/>
        </w:rPr>
        <w:t>controls related to the determination of the assumptions noted above. We evaluated the forecasted revenue growth rates used by the Company by</w:t>
      </w:r>
    </w:p>
    <w:p>
      <w:pPr>
        <w:ind w:left="660" w:right="200"/>
        <w:spacing w:after="0" w:line="226" w:lineRule="auto"/>
        <w:rPr>
          <w:sz w:val="20"/>
          <w:szCs w:val="20"/>
          <w:color w:val="auto"/>
        </w:rPr>
      </w:pPr>
      <w:r>
        <w:rPr>
          <w:rFonts w:ascii="Times New Roman" w:cs="Times New Roman" w:eastAsia="Times New Roman" w:hAnsi="Times New Roman"/>
          <w:sz w:val="18"/>
          <w:szCs w:val="18"/>
          <w:color w:val="auto"/>
        </w:rPr>
        <w:t>comparing them to the growth rates of peer companies and to actual post-acquisition Blue Marble revenue. We involved valuation professionals with specialized skills and knowledge, who assisted us in evaluating the reasonableness of:</w:t>
      </w:r>
    </w:p>
    <w:p>
      <w:pPr>
        <w:spacing w:after="0" w:line="198"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comparable companies used by the Company to determine the discount rate and to evaluate Blue Marble’s forecasted revenue growth rates</w:t>
      </w:r>
    </w:p>
    <w:p>
      <w:pPr>
        <w:spacing w:after="0" w:line="13" w:lineRule="exact"/>
        <w:rPr>
          <w:rFonts w:ascii="Times New Roman" w:cs="Times New Roman" w:eastAsia="Times New Roman" w:hAnsi="Times New Roman"/>
          <w:sz w:val="17"/>
          <w:szCs w:val="17"/>
          <w:color w:val="auto"/>
        </w:rPr>
      </w:pPr>
    </w:p>
    <w:p>
      <w:pPr>
        <w:ind w:left="980" w:right="300" w:hanging="324"/>
        <w:spacing w:after="0" w:line="22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by the Company by comparing its components to publicly available market data, recomputing the discount rate, and reconciling the discount rate used by the Company to the internal rate of return and the weighted average return on assets.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59,501</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243,907</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3,987,776</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4,231,683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229,067</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w:t>
            </w:r>
          </w:p>
        </w:tc>
      </w:tr>
      <w:tr>
        <w:trPr>
          <w:trHeight w:val="281"/>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2,414,885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4,809,014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103,109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124,384</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132,758</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Client fund obligations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4,120,534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1,937,955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4,195,551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2021 and</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155,000 shares authorized at June 30, 2021 and June 30, 2022; 54,594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June 30, 2021 and 55,190 shares issued and outstanding at June 30, 2022</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325,868</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476,930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613,463</w:t>
            </w:r>
          </w:p>
        </w:tc>
      </w:tr>
      <w:tr>
        <w:trPr>
          <w:trHeight w:val="281"/>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2,414,885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4,809,014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847,694</w:t>
            </w: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852,651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565,649</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214,455</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102,908</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163,692</w:t>
            </w: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481,055</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84,594</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83,597</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64,455</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56,305</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56,445</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33655</wp:posOffset>
            </wp:positionV>
            <wp:extent cx="54521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2019</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53,075</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2020</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53,792</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2021</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54,594</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 exercised</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under employee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settlement for taxes and/or exercise price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related to equity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losses on securities, net of tax</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2022</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3"/>
              </w:rPr>
              <w:t>55,190</w:t>
            </w:r>
          </w:p>
        </w:tc>
        <w:tc>
          <w:tcPr>
            <w:tcW w:w="80" w:type="dxa"/>
            <w:vAlign w:val="bottom"/>
          </w:tcPr>
          <w:p>
            <w:pPr>
              <w:spacing w:after="0"/>
              <w:rPr>
                <w:sz w:val="18"/>
                <w:szCs w:val="18"/>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-4311015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-3917315</wp:posOffset>
            </wp:positionV>
            <wp:extent cx="713232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-3402965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-2837180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-2442210</wp:posOffset>
            </wp:positionV>
            <wp:extent cx="7132320"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1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207,982</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307,964</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49,890</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49,890</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8,901</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8,901</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(41,944)</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(41,944)</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64,455</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227,907</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392,908</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65,662</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65,662</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3,313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12,214</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(67,377)</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(67,377)</w:t>
            </w:r>
          </w:p>
        </w:tc>
        <w:tc>
          <w:tcPr>
            <w:tcW w:w="0" w:type="dxa"/>
            <w:vAlign w:val="bottom"/>
          </w:tcPr>
          <w:p>
            <w:pPr>
              <w:spacing w:after="0"/>
              <w:rPr>
                <w:sz w:val="1"/>
                <w:szCs w:val="1"/>
                <w:color w:val="auto"/>
              </w:rPr>
            </w:pPr>
          </w:p>
        </w:tc>
      </w:tr>
      <w:tr>
        <w:trPr>
          <w:trHeight w:val="230"/>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241,718</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235,091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476,930</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103,733</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103,733</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2,226</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5"/>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14,103</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0" w:type="dxa"/>
            <w:vAlign w:val="bottom"/>
          </w:tcPr>
          <w:p>
            <w:pPr>
              <w:spacing w:after="0"/>
              <w:rPr>
                <w:sz w:val="1"/>
                <w:szCs w:val="1"/>
                <w:color w:val="auto"/>
              </w:rPr>
            </w:pPr>
          </w:p>
        </w:tc>
      </w:tr>
      <w:tr>
        <w:trPr>
          <w:trHeight w:val="405"/>
        </w:trPr>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(71,937)</w:t>
            </w:r>
          </w:p>
        </w:tc>
        <w:tc>
          <w:tcPr>
            <w:tcW w:w="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(71,937)</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0" w:type="dxa"/>
            <w:vAlign w:val="bottom"/>
          </w:tcPr>
          <w:p>
            <w:pPr>
              <w:spacing w:after="0"/>
              <w:rPr>
                <w:sz w:val="1"/>
                <w:szCs w:val="1"/>
                <w:color w:val="auto"/>
              </w:rPr>
            </w:pPr>
          </w:p>
        </w:tc>
      </w:tr>
      <w:tr>
        <w:trPr>
          <w:trHeight w:val="216"/>
        </w:trPr>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0" w:type="dxa"/>
            <w:vAlign w:val="bottom"/>
          </w:tcPr>
          <w:p>
            <w:pPr>
              <w:spacing w:after="0"/>
              <w:rPr>
                <w:sz w:val="1"/>
                <w:szCs w:val="1"/>
                <w:color w:val="auto"/>
              </w:rPr>
            </w:pPr>
          </w:p>
        </w:tc>
      </w:tr>
      <w:tr>
        <w:trPr>
          <w:trHeight w:val="23"/>
        </w:trPr>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289,843</w:t>
            </w: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0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613,463</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-8255</wp:posOffset>
            </wp:positionV>
            <wp:extent cx="8572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260"/>
            <w:col w:w="5360"/>
          </w:cols>
          <w:pgMar w:left="320" w:top="121" w:right="3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96,202</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50,218</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and amortization of premiums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3"/>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(73,263)</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w:t>
            </w:r>
          </w:p>
        </w:tc>
        <w:tc>
          <w:tcPr>
            <w:tcW w:w="0" w:type="dxa"/>
            <w:vAlign w:val="bottom"/>
          </w:tcPr>
          <w:p>
            <w:pPr>
              <w:spacing w:after="0"/>
              <w:rPr>
                <w:sz w:val="1"/>
                <w:szCs w:val="1"/>
                <w:color w:val="auto"/>
              </w:rPr>
            </w:pPr>
          </w:p>
        </w:tc>
      </w:tr>
      <w:tr>
        <w:trPr>
          <w:trHeight w:val="193"/>
        </w:trPr>
        <w:tc>
          <w:tcPr>
            <w:tcW w:w="6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155,053</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available-for-sale securities and other</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(433,962)</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116,848</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(34,515)</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(18,069)</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(107,576)</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(479,774)</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2,228,038</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0" w:type="dxa"/>
            <w:vAlign w:val="bottom"/>
          </w:tcPr>
          <w:p>
            <w:pPr>
              <w:spacing w:after="0"/>
              <w:rPr>
                <w:sz w:val="1"/>
                <w:szCs w:val="1"/>
                <w:color w:val="auto"/>
              </w:rPr>
            </w:pP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6"/>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280,478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2,172,293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1,847,572</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year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1,492,133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year</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1,492,133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and internal-use software, accrued but not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0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(refunds received)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Sheets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202,287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139,756</w:t>
            </w:r>
          </w:p>
        </w:tc>
        <w:tc>
          <w:tcPr>
            <w:tcW w:w="0" w:type="dxa"/>
            <w:vAlign w:val="bottom"/>
          </w:tcPr>
          <w:p>
            <w:pPr>
              <w:spacing w:after="0"/>
              <w:rPr>
                <w:sz w:val="1"/>
                <w:szCs w:val="1"/>
                <w:color w:val="auto"/>
              </w:rPr>
            </w:pPr>
          </w:p>
        </w:tc>
      </w:tr>
      <w:tr>
        <w:trPr>
          <w:trHeight w:val="192"/>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1,241,282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1,743,594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3,653,697</w:t>
            </w:r>
          </w:p>
        </w:tc>
        <w:tc>
          <w:tcPr>
            <w:tcW w:w="0" w:type="dxa"/>
            <w:vAlign w:val="bottom"/>
          </w:tcPr>
          <w:p>
            <w:pPr>
              <w:spacing w:after="0"/>
              <w:rPr>
                <w:sz w:val="1"/>
                <w:szCs w:val="1"/>
                <w:color w:val="auto"/>
              </w:rPr>
            </w:pPr>
          </w:p>
        </w:tc>
      </w:tr>
      <w:tr>
        <w:trPr>
          <w:trHeight w:val="2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1,492,133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900" w:hanging="244"/>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pursuant to the rules and regulations of the United States Securities and Exchange Commission (the “SEC”).</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accounts and transactions have been eliminated in consolidation.</w:t>
      </w:r>
    </w:p>
    <w:p>
      <w:pPr>
        <w:spacing w:after="0" w:line="158" w:lineRule="exact"/>
        <w:rPr>
          <w:sz w:val="20"/>
          <w:szCs w:val="20"/>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58"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w:t>
      </w:r>
    </w:p>
    <w:p>
      <w:pPr>
        <w:spacing w:after="0" w:line="221"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Funds Held For Clients, Corporate Investments and Client Fund Obligations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and interest on Corporate investments is reported as Other income (expense) on the Consolidated Statements of Operations and Comprehensive Income,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2020, 2021 or 2022.</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72"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Amounts collected on trade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credit losses related to accounts receivable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80" w:hanging="224"/>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8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79"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Capitalized internal-use software costs are amortized on a straight-line basis over the estimated useful lives, generally over a 24 or 36-month period. Management evaluates the useful lives of these assets on an annual basis and tests for impairment whenever events or changes in circumstances occur that could impact the recoverability of these assets.</w:t>
      </w:r>
    </w:p>
    <w:p>
      <w:pPr>
        <w:spacing w:after="0" w:line="172" w:lineRule="exact"/>
        <w:rPr>
          <w:sz w:val="20"/>
          <w:szCs w:val="20"/>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22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3" w:lineRule="exact"/>
        <w:rPr>
          <w:sz w:val="20"/>
          <w:szCs w:val="20"/>
          <w:color w:val="auto"/>
        </w:rPr>
      </w:pPr>
    </w:p>
    <w:p>
      <w:pPr>
        <w:ind w:left="880" w:hanging="224"/>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engages a valuation specialist to assist in the fair value measurement of assets acquired and liabilities assumed for each acquisition.</w:t>
      </w:r>
    </w:p>
    <w:p>
      <w:pPr>
        <w:spacing w:after="0" w:line="185" w:lineRule="exact"/>
        <w:rPr>
          <w:sz w:val="20"/>
          <w:szCs w:val="20"/>
          <w:color w:val="auto"/>
        </w:rPr>
      </w:pPr>
    </w:p>
    <w:p>
      <w:pPr>
        <w:ind w:left="880" w:hanging="22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Intangible Assets, Net of Accumulated Amortization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83" w:lineRule="exact"/>
        <w:rPr>
          <w:sz w:val="20"/>
          <w:szCs w:val="20"/>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review of goodwill in its fiscal fourth quarter or when a triggering event occurs between annual impairment tests. No impairment was recorded in fiscal 2020, 2021 or 2022 as a result of the Company’s qualitative assessments over its single reporting segment.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landlord, such as insurance, taxes, and common area maintenance, payments based on the usage of the asset, and rental payments adjusted periodically for inflation. Variable payments are expensed as incurred and included within variable rent expense.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agreements do not contain material residual value guarantees, restrictions, or covenants.</w:t>
      </w:r>
    </w:p>
    <w:p>
      <w:pPr>
        <w:spacing w:after="0" w:line="221" w:lineRule="exact"/>
        <w:rPr>
          <w:sz w:val="20"/>
          <w:szCs w:val="20"/>
          <w:color w:val="auto"/>
        </w:rPr>
      </w:pPr>
    </w:p>
    <w:p>
      <w:pPr>
        <w:ind w:left="960" w:hanging="30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13 for additional information on income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applies Accounting Standards Codification Topic 606, Revenue from Contracts with Customers (“Topic 606”). Topic 606 requires revenue to be recognized when an entity transfers control of goods or services to a customer in an amount that reflects the consideration to which a company also expects to be entitled to for those goods or services. To achieve this core principle, the Company recognizes revenue from contracts with customers based on the following five steps:</w:t>
      </w:r>
    </w:p>
    <w:p>
      <w:pPr>
        <w:spacing w:after="0" w:line="180" w:lineRule="exact"/>
        <w:rPr>
          <w:sz w:val="20"/>
          <w:szCs w:val="20"/>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performance obligations in the contract; and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offers term agreements to its clients, which are generally two years in length. Recurring fees are derived from cloud-based payroll and HCM software solutions as follows:</w:t>
      </w:r>
    </w:p>
    <w:p>
      <w:pPr>
        <w:spacing w:after="0" w:line="176" w:lineRule="exact"/>
        <w:rPr>
          <w:sz w:val="20"/>
          <w:szCs w:val="20"/>
          <w:color w:val="auto"/>
        </w:rPr>
      </w:pPr>
    </w:p>
    <w:p>
      <w:pPr>
        <w:ind w:left="98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attendance reporting services, including time clock rentals, are delivered on a monthly basis,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HR-related software solutions, including employee management and benefits enrollment and administration, are delivered on a monthly basis.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HCM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certain optional performance obligations that are satisfied at a point in time including the sales of time clocks and W-2 services.</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58"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costs to provide HCM and payroll solutions relating to the provision of ongoing client support and implementation activities and also includes amortization of capitalized internal-use software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certain acquired intangibles. The Company generally expenses these costs when incurred except for costs related to the implementation of the Company’s proprietary products. These costs are capitalized and amortized over a period of 7 years.</w:t>
      </w:r>
    </w:p>
    <w:p>
      <w:pPr>
        <w:spacing w:after="0" w:line="158" w:lineRule="exact"/>
        <w:rPr>
          <w:sz w:val="20"/>
          <w:szCs w:val="20"/>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amounted to $1,023, $3,189 and $8,335 for the years ended June 30, 2020, 2021 and 2022, respectively.</w:t>
      </w:r>
    </w:p>
    <w:p>
      <w:pPr>
        <w:spacing w:after="0" w:line="158" w:lineRule="exact"/>
        <w:rPr>
          <w:sz w:val="20"/>
          <w:szCs w:val="20"/>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For market share units, the Company estimates grant date fair value using a discrete model based on multiple stock price-paths developed through the use of Monte Carlo simulation. For estimated shares purchasable under the ESPP, the Company estimates grant date fair value using the Black-Scholes option-pricing model. The Company may update the assumed forfeiture rates based on historical experience as appropriate.</w:t>
      </w:r>
    </w:p>
    <w:p>
      <w:pPr>
        <w:spacing w:after="0" w:line="183" w:lineRule="exact"/>
        <w:rPr>
          <w:sz w:val="20"/>
          <w:szCs w:val="20"/>
          <w:color w:val="auto"/>
        </w:rPr>
      </w:pPr>
    </w:p>
    <w:p>
      <w:pPr>
        <w:ind w:left="880" w:hanging="224"/>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reporting segment. For fiscal 2022, the Company’s chief operation decision maker was the Company’s Co-Chief Executive Officers.</w:t>
      </w:r>
    </w:p>
    <w:p>
      <w:pPr>
        <w:spacing w:after="0" w:line="172" w:lineRule="exact"/>
        <w:rPr>
          <w:sz w:val="20"/>
          <w:szCs w:val="20"/>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revenue by Recurring fees and Implementation services and other, which the Company believes depicts the nature, amount and timing of its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818,137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29,557</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546,212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25,109</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Consolidated Balance Sheets. The Company expects to recognize these deferred revenue balances of $9,926 in fiscal 2023, $2,216 in fiscal 2024, and $91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balances and the related amortization expense for these deferred contract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90"/>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Consolidated Balance Sheets. Amortization of deferred contract costs is recorded in Cost of revenues, Sales and marketing, and General and administrative in the Consolidated Statements of Operations and Comprehensive Income. The Company did not record any impairment losses associated with its deferred contract costs during the years ended June 30, 2020, 2021 or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term-based contracts was approximately $51,823 as of June 30, 2022, which will be generally recognized over the next 24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2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50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(1)</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w:t>
            </w: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1,966,333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1,966,420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Included within the fair value of total available-for-sale securities above is $4,456 of Corporate investments and $16,083 of Funds held for clients.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58"/>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32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9"/>
        </w:trPr>
        <w:tc>
          <w:tcPr>
            <w:tcW w:w="49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 (2)</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r>
      <w:tr>
        <w:trPr>
          <w:trHeight w:val="256"/>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4,130,658</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 All available-for-sale securities are included in Funds held for clients.</w:t>
      </w:r>
    </w:p>
    <w:p>
      <w:pPr>
        <w:spacing w:after="0" w:line="33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money market funds, commercial paper and certificates of deposit as of June 30, 2021 and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consolidated balance sheets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1,759,677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3,987,776</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1,966,420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Available-for-sale securities that have been in an unrealized loss position for a period of less than 12 months as of June 30, 2022 had fair market value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060" w:type="dxa"/>
            <w:vAlign w:val="bottom"/>
            <w:tcBorders>
              <w:bottom w:val="single" w:sz="8" w:color="auto"/>
            </w:tcBorders>
            <w:gridSpan w:val="5"/>
          </w:tcPr>
          <w:p>
            <w:pPr>
              <w:spacing w:after="0"/>
              <w:rPr>
                <w:sz w:val="3"/>
                <w:szCs w:val="3"/>
                <w:color w:val="auto"/>
              </w:rPr>
            </w:pPr>
          </w:p>
        </w:tc>
      </w:tr>
      <w:tr>
        <w:trPr>
          <w:trHeight w:val="158"/>
        </w:trPr>
        <w:tc>
          <w:tcPr>
            <w:tcW w:w="8180" w:type="dxa"/>
            <w:vAlign w:val="bottom"/>
          </w:tcPr>
          <w:p>
            <w:pPr>
              <w:spacing w:after="0"/>
              <w:rPr>
                <w:sz w:val="13"/>
                <w:szCs w:val="13"/>
                <w:color w:val="auto"/>
              </w:rPr>
            </w:pPr>
          </w:p>
        </w:tc>
        <w:tc>
          <w:tcPr>
            <w:tcW w:w="306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 position for less</w:t>
            </w:r>
          </w:p>
        </w:tc>
      </w:tr>
      <w:tr>
        <w:trPr>
          <w:trHeight w:val="190"/>
        </w:trPr>
        <w:tc>
          <w:tcPr>
            <w:tcW w:w="8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gridSpan w:val="4"/>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rPr>
              <w:t>than 12 months</w:t>
            </w:r>
          </w:p>
        </w:tc>
      </w:tr>
      <w:tr>
        <w:trPr>
          <w:trHeight w:val="23"/>
        </w:trPr>
        <w:tc>
          <w:tcPr>
            <w:tcW w:w="818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285,651</w:t>
            </w:r>
          </w:p>
        </w:tc>
      </w:tr>
      <w:tr>
        <w:trPr>
          <w:trHeight w:val="21"/>
        </w:trPr>
        <w:tc>
          <w:tcPr>
            <w:tcW w:w="8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available-for sale securities in an unrealized loss position as of June 30, 2021. As a result, no securities had been in an unrealized loss position for more than 12 months as of June 30, 2022.</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years ended June 30, 2020, 2021 or 2022. All securities in the Company's portfolio held an A-1 rating or better as of June 30, 2022.</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years ended June 30, 2020, 2021 or 2022. Gross realized gains and losses on the sale of available-for-sale securities were immaterial for the years ended June 30, 2020, 2021 and 2022.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June 30,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4"/>
                <w:szCs w:val="14"/>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2021 and 2022 based upon the short-term nature of these assets and liabilities.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securities and other.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2021 or 2022.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1,743,594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1,966,420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0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3,640,427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3,780,183</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6 for further details on the fair value measurements of certain assets and liabilities recorded at fair value on a non-recurring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Combinations</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April 3, 2020, the Company acquired all of the shares outstanding of VidGrid, Inc. (“VidGrid”) through a merger for purchase price consideration of $17,256, which was paid in cash upon closing. VidGrid, Inc. is a leading video platform provider that enables peer-to-peer video learning courses, transforming video into two-way communication. This transaction expands the Company’s product functionality around workplace video communication and reaffirms its commitment to stronger employee collaboration, engagement and retention while helping clients prepare for the workplaces of the future. The allocation of the purchase price for VidGrid is approximately $12,065 of goodwill, $2,962 of proprietary technology and other immaterial assets and liabilities.</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November 13, 2020, the Company acquired all of the shares outstanding of Samepage Labs Inc. (“Samepage”) through a merger for purchase price consideration of $15,018, which was paid in cash upon closing. Samepage offers digital collaboration tools including task management, file sharing, real-time collaboration and more. This transaction expands the Company’s product functionality in these areas and demonstrates its commitment to building a modern workforce suite of solutions that meet the needs of HR teams and employees. The allocation of the purchase price for Samepage is approximately $11,995 of goodwill, $3,167 of proprietary technology and other immaterial assets and liabilities.</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August 31, 2021, the Company entered into an Equity Purchase Agreement (the “Purchase Agreement”) with Blue Marble Payroll, LLC (“Blue Marble”) and its equity holders and acquired all of the issued and outstanding equity interests of Blue Marble for cash consideration of $60,961, subject to customary purchase price adjustments. Blue Marble’s payroll platform enables U.S.-based companies to manage payroll for employees outside the U.S. in line with complex local and country-specific requirements across many countries. This acquisition enables the Company to better serve its clients in managing their international workforces through a unified solution to pay employees, automate processes and stay compliant with regulations in other countries.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 entity affiliated with Steven I. Sarowitz, the Chairman of the Board of Directors and the largest shareholder of the Company, was the largest equity holder of Blue Marble. The Board of Directors of the Company appointed the Audit Committee, which is comprised solely of directors who are independent of the management of Blue Marble, the Blue Marble equity holders and the Company, to evaluate, assess and negotiate on its behalf the terms and conditions in the Purchase Agreement. The Audit Committee and the disinterested directors of the Company’s Board of Directors unanimously approved the Purchase Agreement and transactions specified within 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Blue Marble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31, 2021</w:t>
            </w:r>
          </w:p>
        </w:tc>
      </w:tr>
      <w:tr>
        <w:trPr>
          <w:trHeight w:val="37"/>
        </w:trPr>
        <w:tc>
          <w:tcPr>
            <w:tcW w:w="97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34,776</w:t>
            </w:r>
          </w:p>
        </w:tc>
      </w:tr>
      <w:tr>
        <w:trPr>
          <w:trHeight w:val="27"/>
        </w:trPr>
        <w:tc>
          <w:tcPr>
            <w:tcW w:w="9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7"/>
        </w:trPr>
        <w:tc>
          <w:tcPr>
            <w:tcW w:w="9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integrations and seamless data sharing between critical systems more efficiently and effectively, while helping to unify and automate business processes across clients' HR, finance, benefits, and other systems.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allocation of the purchase price for Cloudsnap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37"/>
        </w:trPr>
        <w:tc>
          <w:tcPr>
            <w:tcW w:w="97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for Cloudsnap are currently provisional and are subject to change over the measurement period as the Company continues to evaluate and analyze the estimates and assumptions used in the valuation. The measurement period will end no later than one year from the acquisition date.</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results from these acquisitions have been included in the Company’s consolidated financial statements since the closing of the acquisitions and are not material to the Company. Pro forma information was not presented because the effects of the acquisitions are not material to the Company’s consolidated financial statements. The goodwill related to these transactions is primarily attributable to the assembled workforce and growth opportunities from the expansion and enhancement of the Company’s product offerings. The goodwill associated with the Blue Marble acquisition is deductible for income tax purposes. The goodwill associated with the VidGrid, Samepage and Cloudsnap acquisitions is not deductible for income tax purposes. Direct costs related to these acquisitions were immaterial and expensed as incurred as Cost of revenues and General and administrative in the Consolidated Statements of Operations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Internal-Use Software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(131,171)</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amounted to $19,261, $23,227 and $25,267 for the years ended June 30, 2020, 2021 and 2022, respectively and is included in Cost of revenues.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$16,129, $15,905 and $16,199 for the years ended June 30, 2020, 2021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years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4"/>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acquisitions</w:t>
            </w:r>
          </w:p>
        </w:tc>
        <w:tc>
          <w:tcPr>
            <w:tcW w:w="25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0" w:type="dxa"/>
            <w:vAlign w:val="bottom"/>
          </w:tcPr>
          <w:p>
            <w:pPr>
              <w:spacing w:after="0"/>
              <w:rPr>
                <w:sz w:val="1"/>
                <w:szCs w:val="1"/>
                <w:color w:val="auto"/>
              </w:rPr>
            </w:pPr>
          </w:p>
        </w:tc>
      </w:tr>
      <w:tr>
        <w:trPr>
          <w:trHeight w:val="28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5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6 for further details on the acquisitions during the years ended June 30, 2021 and 2022.</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gridSpan w:val="5"/>
            <w:vMerge w:val="continue"/>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6"/>
        </w:trPr>
        <w:tc>
          <w:tcPr>
            <w:tcW w:w="40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vMerge w:val="restart"/>
          </w:tcPr>
          <w:p>
            <w:pPr>
              <w:jc w:val="center"/>
              <w:ind w:right="178"/>
              <w:spacing w:after="0" w:line="12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5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2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2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5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304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F-21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$2,523, $3,840 and $8,752 for the years ended June 30, 2020, 2021 and 2022, respectively, and is included in Cost of revenues and General and administrative. Future amortization expense for acquired intangible assets was as follows, as of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are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secured revolving credit facility (the “credit facility”) under which the Company may borrow up to $250,000, which may be increased to up to $375,000, subject to obtaining additional lender commitments and certain approvals and satisfying other requirements. The credit facility is scheduled to expire in July 2024, and any borrowings outstanding will mature and be payable upon such expiration. In April 2020, the Company borrowed $100,000 under the credit facility, which the Company repaid during the third quarter of fiscal 2021. In January 2022, the Company borrowed $50,000 under the credit facility in connection with its acquisition of Cloudsnap, which it repaid during the third quarter of fiscal 2022. There were no borrowings outstanding under the credit facility at June 30, 2021 or 2022. The Company incurred interest expense related to any borrowings at average interest rates of 1.04% and 1.01% during the years ended June 30, 2021 and 2022, respectively.</w:t>
      </w:r>
    </w:p>
    <w:p>
      <w:pPr>
        <w:spacing w:after="0" w:line="18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 with respect to London Interbank Offered Rate (“LIBOR”) revolving loans.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generally bear interest, at the Company’s option, at a rate per annum determined by reference to either the LIBOR (or a replacement index for the LIBOR rate) or an adjusted base rate, in each case plus an applicable margin ranging from 0.875% to 1.375% and 0.0% to 0.375%, respectively, based on the then-applicable net senior secured leverage ratio. Additionally, the Company is required to pay certain commitment, letter of credit fronting and letter of credit participation fees on available and/or undrawn portions of the credit facility.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Under the credit facility, the Company is required to comply with certain customary affirmative and negative covenants, including a requirement to maintain a maximum net total leverage ratio of not greater than 4.00 to 1.00, a maximum net senior secured leverage ratio of not greater than 3.50 to 1.00 and a minimum interest coverage ratio of not less than 3.00 to 1.00. As of June 30, 2022, the Company was in compliance with all of the aforementioned covenants.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office space under non-cancellable operating leases expiring on various dates from November 2022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2022 through January 2027.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classification of the Company’s operating lease right-of-use assets, operating lease liabilities and other supplemental information related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leases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9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43,984</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49,210</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8,399</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7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69,119</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7"/>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the Company’s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operating lease liabilities     </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r>
    </w:tbl>
    <w:p>
      <w:pPr>
        <w:spacing w:after="0" w:line="31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undiscounted cash flows for future maturities of the Company’s operating lease liabilities and the reconciliation to the balance of operating lease liabilities reflected on the Company’s balance sheet are as follows as of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41,519</w:t>
            </w:r>
          </w:p>
        </w:tc>
      </w:tr>
      <w:tr>
        <w:trPr>
          <w:trHeight w:val="27"/>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w:t>
            </w:r>
          </w:p>
        </w:tc>
      </w:tr>
      <w:tr>
        <w:trPr>
          <w:trHeight w:val="27"/>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 Company had not entered into any leases that had not yet commenced.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for the years ended June 30, 2020, 2021 and 2022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7"/>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U.S. federal income tax rate of 21%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2020, 2021 and 2022 to pretax income as a result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58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158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 and other credits</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expenses</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6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years ended June 30, 2020, 2021 and 2022 was 4.0%, (24.0)% and (8.6)%, respectively, on pre-tax income of $67,118, $57,104 and $83,597, respectively. The increase in the effective tax rate is primarily due to decreased deductions related to stock-based compensation and state income tax benefit.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hanging="244"/>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Deferred Tax Assets and Liabilities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June 30, 2021 and 2022 are presented below.</w:t>
      </w:r>
    </w:p>
    <w:p>
      <w:pPr>
        <w:spacing w:after="0" w:line="209"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Federal and state tax credits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Deferred contract costs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22,857</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45,574</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30,498</w:t>
            </w:r>
          </w:p>
        </w:tc>
      </w:tr>
      <w:tr>
        <w:trPr>
          <w:trHeight w:val="27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43"/>
        </w:trPr>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w:t>
            </w:r>
          </w:p>
        </w:tc>
      </w:tr>
      <w:tr>
        <w:trPr>
          <w:trHeight w:val="27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43"/>
        </w:trPr>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-1362075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-1019810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-676910</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-334010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8255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840"/>
        <w:spacing w:after="0"/>
        <w:tabs>
          <w:tab w:leader="none" w:pos="2400" w:val="left"/>
        </w:tabs>
        <w:rPr>
          <w:sz w:val="20"/>
          <w:szCs w:val="20"/>
          <w:color w:val="auto"/>
        </w:rPr>
      </w:pPr>
      <w:r>
        <w:rPr>
          <w:rFonts w:ascii="Times New Roman" w:cs="Times New Roman" w:eastAsia="Times New Roman" w:hAnsi="Times New Roman"/>
          <w:sz w:val="18"/>
          <w:szCs w:val="18"/>
          <w:color w:val="auto"/>
        </w:rPr>
        <w:t>(56,618)</w:t>
      </w:r>
      <w:r>
        <w:rPr>
          <w:sz w:val="20"/>
          <w:szCs w:val="20"/>
          <w:color w:val="auto"/>
        </w:rPr>
        <w:tab/>
      </w:r>
      <w:r>
        <w:rPr>
          <w:rFonts w:ascii="Times New Roman" w:cs="Times New Roman" w:eastAsia="Times New Roman" w:hAnsi="Times New Roman"/>
          <w:sz w:val="18"/>
          <w:szCs w:val="18"/>
          <w:color w:val="auto"/>
        </w:rPr>
        <w:t>(75,028)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26035</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2400" w:val="left"/>
        </w:tabs>
        <w:rPr>
          <w:sz w:val="20"/>
          <w:szCs w:val="20"/>
          <w:color w:val="auto"/>
        </w:rPr>
      </w:pPr>
      <w:r>
        <w:rPr>
          <w:rFonts w:ascii="Times New Roman" w:cs="Times New Roman" w:eastAsia="Times New Roman" w:hAnsi="Times New Roman"/>
          <w:sz w:val="18"/>
          <w:szCs w:val="18"/>
          <w:color w:val="auto"/>
        </w:rPr>
        <w:t>(11,460)</w:t>
      </w:r>
      <w:r>
        <w:rPr>
          <w:sz w:val="20"/>
          <w:szCs w:val="20"/>
          <w:color w:val="auto"/>
        </w:rPr>
        <w:tab/>
      </w:r>
      <w:r>
        <w:rPr>
          <w:rFonts w:ascii="Times New Roman" w:cs="Times New Roman" w:eastAsia="Times New Roman" w:hAnsi="Times New Roman"/>
          <w:sz w:val="18"/>
          <w:szCs w:val="18"/>
          <w:color w:val="auto"/>
        </w:rPr>
        <w:t>(12,708)</w:t>
      </w:r>
    </w:p>
    <w:p>
      <w:pPr>
        <w:spacing w:after="0" w:line="63" w:lineRule="exact"/>
        <w:rPr>
          <w:sz w:val="20"/>
          <w:szCs w:val="20"/>
          <w:color w:val="auto"/>
        </w:rPr>
      </w:pPr>
    </w:p>
    <w:p>
      <w:pPr>
        <w:ind w:left="840"/>
        <w:spacing w:after="0"/>
        <w:tabs>
          <w:tab w:leader="none" w:pos="2400" w:val="left"/>
        </w:tabs>
        <w:rPr>
          <w:sz w:val="20"/>
          <w:szCs w:val="20"/>
          <w:color w:val="auto"/>
        </w:rPr>
      </w:pPr>
      <w:r>
        <w:rPr>
          <w:rFonts w:ascii="Times New Roman" w:cs="Times New Roman" w:eastAsia="Times New Roman" w:hAnsi="Times New Roman"/>
          <w:sz w:val="18"/>
          <w:szCs w:val="18"/>
          <w:color w:val="auto"/>
        </w:rPr>
        <w:t>(10,664)</w:t>
      </w:r>
      <w:r>
        <w:rPr>
          <w:sz w:val="20"/>
          <w:szCs w:val="20"/>
          <w:color w:val="auto"/>
        </w:rPr>
        <w:tab/>
      </w:r>
      <w:r>
        <w:rPr>
          <w:rFonts w:ascii="Times New Roman" w:cs="Times New Roman" w:eastAsia="Times New Roman" w:hAnsi="Times New Roman"/>
          <w:sz w:val="18"/>
          <w:szCs w:val="18"/>
          <w:color w:val="auto"/>
        </w:rPr>
        <w:t>(13,661)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26035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500" w:hanging="1436"/>
        <w:spacing w:after="0"/>
        <w:tabs>
          <w:tab w:leader="none" w:pos="2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(3,725)</w:t>
      </w:r>
    </w:p>
    <w:p>
      <w:pPr>
        <w:spacing w:after="0" w:line="63"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(9,763)(8,300)</w:t>
      </w:r>
    </w:p>
    <w:p>
      <w:pPr>
        <w:spacing w:after="0" w:line="27"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81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(89,499)</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(113,422)</w:t>
            </w:r>
          </w:p>
        </w:tc>
      </w:tr>
      <w:tr>
        <w:trPr>
          <w:trHeight w:val="25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w:t>
            </w:r>
          </w:p>
        </w:tc>
      </w:tr>
      <w:tr>
        <w:trPr>
          <w:trHeight w:val="20"/>
        </w:trPr>
        <w:tc>
          <w:tcPr>
            <w:tcW w:w="8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maintains a valuation allowance of $5,850 for certain state tax benefits which may not be realized. Such assessment may change in the future as further evidence becomes available.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June 30, 2022, the Company has gross net operating loss carryforwards for federal income tax purposes of approximately $179,932, of which $37,526 expire between 2034 to 2038. The Company has gross net operating loss carryforwards for state income tax purposes of approximately $138,042, of which $96,702 expire from 2022 to 2041. The remaining $183,746 federal and state net operating loss carryforwards have an indefinite utilization period. The Company also has gross federal and state research and development tax credits and other state credit carryforwards of approximately $32,231, which expire between 2023 and 2042.</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2021 and 2022, the Company’s liabilities for unrecognized tax benefits, which would impact the Company’s effective tax rate if recognized, are presented below. The Company will include applicable penalties and interest when the benefit is recognized: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the year</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subsidiaries, files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consolidated federal income tax return. For years before fiscal year ended June 30, 2019, the Company is no longer subject to U.S. federal examination; however, the Internal Revenue Service (IRS) has the ability to review years prior to fiscal year 2019 to the extent the Company utilized tax attributes carried forward from those prior years. The statute of limitations on state filings is generally three to four years.</w:t>
      </w:r>
    </w:p>
    <w:p>
      <w:pPr>
        <w:spacing w:after="0" w:line="172" w:lineRule="exact"/>
        <w:rPr>
          <w:sz w:val="20"/>
          <w:szCs w:val="20"/>
          <w:color w:val="auto"/>
        </w:rPr>
      </w:pPr>
    </w:p>
    <w:p>
      <w:pPr>
        <w:ind w:left="660" w:right="9260" w:hanging="652"/>
        <w:spacing w:after="0" w:line="532" w:lineRule="auto"/>
        <w:tabs>
          <w:tab w:leader="none" w:pos="357"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spacing w:after="0" w:line="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58"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(“the Committee”).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 The Company’s board of directors approved the increase in the number of common shares in reserve for issuance under the 2014 Plan by 2,400 shares, effective January 1, 2022.</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14,369 shares allocated to the plans, of which 1,976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available for grant under the Company’s equity incentive plans during the year ended June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0"/>
        </w:trPr>
        <w:tc>
          <w:tcPr>
            <w:tcW w:w="9760" w:type="dxa"/>
            <w:vAlign w:val="bottom"/>
          </w:tcPr>
          <w:p>
            <w:pPr>
              <w:spacing w:after="0"/>
              <w:rPr>
                <w:sz w:val="16"/>
                <w:szCs w:val="16"/>
                <w:color w:val="auto"/>
              </w:rPr>
            </w:pPr>
          </w:p>
        </w:tc>
        <w:tc>
          <w:tcPr>
            <w:tcW w:w="14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7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July 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2022 Evergreen provision increase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97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6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grant at June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(“RSUs”), market share units (“MSUs”) and the Employee Stock Purchase Plan (as described below) was included in the following line items in the accompanying Consolidated Statements of Operations and Comprehensive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44,030</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47,493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$2,397, $2,610 and $7,119 of stock-based compensation expense in its capitalized internal-use software costs in the years ended June 30, 2020, 2021 and 2022, respectively.</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August 2020, the compensation committee of the Company’s board of directors approved the modification of the performance targets for vesting of the performance-based restricted stock units granted in fiscal 2020. The Company recorded $6,423 and $6,765 in stock-based compensation expense during the years ended June 30, 2021 and 2022, respectively, related to these modified performance-based restricted stock units.</w:t>
      </w:r>
    </w:p>
    <w:p>
      <w:pPr>
        <w:spacing w:after="0" w:line="13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March 2022, Michael Haske announced his intent to resign from his position effective September 1, 2022. In connection with his resignation, the Company’s board of directors approved a Transition and Separation Agreement and a Consulting Services Agreement whereby Mr. Haske will provide consulting services to the Company for a period of one year after the end of his employment on September 1, 2022. Pursuant to these agreements, the compensation committee of the Company's board of directors approved the modifications of certain of Mr. Haske's outstanding RSUs and MSUs to allow the awards to continue to vest after the end of his service period. As a result, the Company will record the cumulative effect of the modifications and accelerate the recognition of the remaining expense associated with certain of Mr. Haske's unmodified outstanding awards over his remaining substantive service period. The modifications of these awards did not have a material impact on the Company’s financial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stock option activity during the year ended June 30,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0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6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2021</w:t>
            </w:r>
          </w:p>
        </w:tc>
        <w:tc>
          <w:tcPr>
            <w:tcW w:w="1480" w:type="dxa"/>
            <w:vAlign w:val="bottom"/>
            <w:tcBorders>
              <w:bottom w:val="single" w:sz="8" w:color="CCEEFF"/>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765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center"/>
              <w:ind w:left="936"/>
              <w:spacing w:after="0"/>
              <w:rPr>
                <w:sz w:val="20"/>
                <w:szCs w:val="20"/>
                <w:color w:val="auto"/>
              </w:rPr>
            </w:pPr>
            <w:r>
              <w:rPr>
                <w:rFonts w:ascii="Times New Roman" w:cs="Times New Roman" w:eastAsia="Times New Roman" w:hAnsi="Times New Roman"/>
                <w:sz w:val="18"/>
                <w:szCs w:val="18"/>
                <w:color w:val="auto"/>
                <w:w w:val="97"/>
              </w:rPr>
              <w:t>(217)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6"/>
              </w:rPr>
              <w:t>548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2022</w:t>
            </w:r>
          </w:p>
        </w:tc>
        <w:tc>
          <w:tcPr>
            <w:tcW w:w="14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6"/>
              </w:rPr>
              <w:t>548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years ended June 30, 2020, 2021 or 2022. The total intrinsic value of options exercised during the years ended June 30, 2020, 2021 and 2022 was $29,791, $84,072 and $51,457,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Committee. RSUs generally vest over three or four years following the grant date. Certain RSU awards have time-based vesting conditions while other RSUs vest based on the achievement of certain revenue and Adjusted EBITDA targets in current and future fiscal years. For these performance-based RSUs, the Company recognizes stock-based compensation expense based upon the probable achievement of these aforementioned performance metrics. The following table represents restricted stock unit activity during the year ended June 30,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2021</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w:t>
            </w:r>
          </w:p>
        </w:tc>
      </w:tr>
      <w:tr>
        <w:trPr>
          <w:trHeight w:val="27"/>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June 30,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June 30, 2022, there was $90,250 of total unrecognized compensation cost, net of estimated forfeitures, related to unvested restricted stock units granted. That cost is expected to be recognized over a weighted average period of 1.9 years.</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year ended June 30,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4"/>
        </w:trPr>
        <w:tc>
          <w:tcPr>
            <w:tcW w:w="8180" w:type="dxa"/>
            <w:vAlign w:val="bottom"/>
          </w:tcPr>
          <w:p>
            <w:pPr>
              <w:spacing w:after="0"/>
              <w:rPr>
                <w:sz w:val="17"/>
                <w:szCs w:val="17"/>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5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57"/>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June 30,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0"/>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33655</wp:posOffset>
            </wp:positionV>
            <wp:extent cx="21602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gridSpan w:val="2"/>
          </w:tcPr>
          <w:p>
            <w:pPr>
              <w:ind w:left="8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5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47.4 - 47.5%</w:t>
            </w:r>
          </w:p>
        </w:tc>
      </w:tr>
      <w:tr>
        <w:trPr>
          <w:trHeight w:val="25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2.92 - 3.04</w:t>
            </w:r>
          </w:p>
        </w:tc>
      </w:tr>
      <w:tr>
        <w:trPr>
          <w:trHeight w:val="263"/>
        </w:trPr>
        <w:tc>
          <w:tcPr>
            <w:tcW w:w="88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0.43 - 0.47%</w:t>
            </w: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June 30, 2022, there was $12,764 of total unrecognized compensation cost, net of estimated forfeitures, related to unvested MSUs. That cost is expected to be recognized over a period of 1.8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total of excess income tax benefits for stock-based compensation arrangements was $67,816, $128,229 and $143,046 for the years ended June 30, 2020, 2021 and 2022, respectively, and were recognized through Income tax expense (benefit).</w:t>
      </w:r>
    </w:p>
    <w:p>
      <w:pPr>
        <w:spacing w:after="0" w:line="158" w:lineRule="exact"/>
        <w:rPr>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June 30, 2022, a total of 1,493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approved the increase in the number of common shares in reserve for issuance under the ESPP by 400 shares, effective January 1, 2022.</w:t>
      </w:r>
    </w:p>
    <w:p>
      <w:pPr>
        <w:spacing w:after="0" w:line="187"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a total of 101 shares upon the completion of its six-month offering periods ending November 15, 2021 and May 13, 2022. The Company recorded compensation expense attributable to the ESPP of $3,235, $4,570 and $4,676 for the years ended June 30, 2020, 2021 and 2022, respectively, which is included in the summary of stock-based compensation expense above. The grant date fair value of the ESPP offering periods was estimated using the following assumptions: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60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38.6 - 72.2%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42.2 - 72.2%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31.0 - 57.5%</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3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0.15 - 2.44%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0.04 - 0.15%</w:t>
            </w: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0.04 - 1.54%</w:t>
            </w:r>
          </w:p>
        </w:tc>
      </w:tr>
    </w:tbl>
    <w:p>
      <w:pPr>
        <w:spacing w:after="0" w:line="288" w:lineRule="exact"/>
        <w:rPr>
          <w:sz w:val="20"/>
          <w:szCs w:val="20"/>
          <w:color w:val="auto"/>
        </w:rPr>
      </w:pPr>
    </w:p>
    <w:p>
      <w:pPr>
        <w:ind w:left="900" w:hanging="24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with a matching provision that covers all eligible employees. The Company matches 50% of employees’ contributions up to 8% of their gross pay. Contributions were $7,914, $2,658 and $12,305 for the years ended June 30, 2020, 2021 and 2022, respectively. In response to the uncertainties presented by the COVID-19 pandemic, the Company temporarily suspended 401(k) plan matching contributions during the first three quarters of fiscal 2021. The Company reinstated contributions during the fourth quarter of fiscal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58" w:lineRule="exact"/>
        <w:rPr>
          <w:sz w:val="20"/>
          <w:szCs w:val="20"/>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July 12, 2019, a former employee filed a class and collective action complaint under federal and state law alleging that certain employees of the Company were misclassified as salaried exempt employees. The complaint sought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unpaid overtime and other damages. The Company reached an agreement, without admitting any liability or wrongdoing, to settle this matter. The settlement of this claim did not have a material impact to the Company’s financial position, results of operations, or liquidity.</w:t>
      </w:r>
    </w:p>
    <w:p>
      <w:pPr>
        <w:spacing w:after="0" w:line="12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64,455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90,777</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53,547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55,036</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5"/>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market share units and employee stock</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plan shares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55,807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56,445</w:t>
            </w:r>
          </w:p>
        </w:tc>
      </w:tr>
      <w:tr>
        <w:trPr>
          <w:trHeight w:val="270"/>
        </w:trPr>
        <w:tc>
          <w:tcPr>
            <w:tcW w:w="6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market share units and employee stock purchase plan shares as of the balance sheet date that were excluded from the diluted per share calculation for the periods presented because to include them would have been anti-dilutive:</w:t>
      </w:r>
    </w:p>
    <w:p>
      <w:pPr>
        <w:spacing w:after="0" w:line="22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41910</wp:posOffset>
            </wp:positionV>
            <wp:extent cx="29489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1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240"/>
          </w:cols>
          <w:pgMar w:left="320" w:top="121" w:right="33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8"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The following is a summary of our capital stock and certain provisions of our second amended and restated certificate of incorporation (“Certificate of Incorporation”) and second amended and restated bylaws (“Bylaws”). This summary does not purport to be complete and is qualified by the provisions of our Certificate of Incorporation and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89"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155,000,000 shares of common stock, $0.001 par value, and 5,000,000 shares of undesignated preferred stock, $0.001 par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7"/>
          <w:szCs w:val="17"/>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w:t>
      </w:r>
    </w:p>
    <w:p>
      <w:pPr>
        <w:ind w:right="20"/>
        <w:spacing w:after="0" w:line="208" w:lineRule="auto"/>
        <w:rPr>
          <w:sz w:val="20"/>
          <w:szCs w:val="20"/>
          <w:color w:val="auto"/>
        </w:rPr>
      </w:pPr>
      <w:r>
        <w:rPr>
          <w:rFonts w:ascii="Times New Roman" w:cs="Times New Roman" w:eastAsia="Times New Roman" w:hAnsi="Times New Roman"/>
          <w:sz w:val="18"/>
          <w:szCs w:val="18"/>
          <w:color w:val="auto"/>
        </w:rPr>
        <w:t>stock are entitled to receive ratably any dividends declared by our board of directors out of assets legally available. See the section titled "Dividend Policy."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or other subscription rights. There are no redemption or sinking fund provisions applicable to the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the stockholders, to issue from time to time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up to 5,000,000 shares of preferred stock, in one or more series. Our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any or all of which may be greater than or senior to the rights of the common stock. The issuance of</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preferred stock could adversely affect the voting power of holders of common stock and reduce the likelihood that such holders will receive dividend payments and payments upon liquidation, and the likelihood that holders of preferred stock will receive dividend payments and payments upon liquidation may have the effect of delaying, deterring or preventing a change in control, which could depress the market price of our common stock. We have no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plan to issue any shares of preferred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Delaware law nor our Certificate of Incorporation requires our board of directors to declare dividends on our common stock. Any future</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89"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color w:val="auto"/>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w:t>
      </w:r>
    </w:p>
    <w:p>
      <w:pPr>
        <w:ind w:right="240"/>
        <w:spacing w:after="0" w:line="226" w:lineRule="auto"/>
        <w:rPr>
          <w:sz w:val="20"/>
          <w:szCs w:val="20"/>
          <w:color w:val="auto"/>
        </w:rPr>
      </w:pPr>
      <w:r>
        <w:rPr>
          <w:rFonts w:ascii="Times New Roman" w:cs="Times New Roman" w:eastAsia="Times New Roman" w:hAnsi="Times New Roman"/>
          <w:sz w:val="18"/>
          <w:szCs w:val="18"/>
          <w:color w:val="auto"/>
        </w:rPr>
        <w:t>rights, with respect to shares of our common stock. This summary does not purport to be complete and is qualified by the provisions of the amended and restated investor rights agreement.</w:t>
      </w:r>
    </w:p>
    <w:p>
      <w:pPr>
        <w:sectPr>
          <w:pgSz w:w="11900" w:h="16838" w:orient="portrait"/>
          <w:cols w:equalWidth="0" w:num="1">
            <w:col w:w="11240"/>
          </w:cols>
          <w:pgMar w:left="320" w:top="1392" w:right="339" w:bottom="1440" w:gutter="0" w:footer="0" w:header="0"/>
        </w:sectPr>
      </w:pPr>
    </w:p>
    <w:bookmarkStart w:id="84" w:name="page85"/>
    <w:bookmarkEnd w:id="8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Certificate of Incorporation and Bylaws contain certain provisions that may be deemed to have an anti-takeover effect and may delay, deter or</w:t>
      </w:r>
    </w:p>
    <w:p>
      <w:pPr>
        <w:spacing w:after="0" w:line="14"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prevent a tender offer or take-over attempt that a stockholder might consider in its best interest, including those attempts that might result in a premium over the market price for the shares held by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Bylaws</w:t>
      </w:r>
    </w:p>
    <w:p>
      <w:pPr>
        <w:spacing w:after="0" w:line="202" w:lineRule="exact"/>
        <w:rPr>
          <w:sz w:val="20"/>
          <w:szCs w:val="20"/>
          <w:color w:val="auto"/>
        </w:rPr>
      </w:pPr>
    </w:p>
    <w:p>
      <w:pPr>
        <w:ind w:right="540" w:firstLine="648"/>
        <w:spacing w:after="0" w:line="237" w:lineRule="auto"/>
        <w:rPr>
          <w:sz w:val="20"/>
          <w:szCs w:val="20"/>
          <w:color w:val="auto"/>
        </w:rPr>
      </w:pPr>
      <w:r>
        <w:rPr>
          <w:rFonts w:ascii="Times New Roman" w:cs="Times New Roman" w:eastAsia="Times New Roman" w:hAnsi="Times New Roman"/>
          <w:sz w:val="18"/>
          <w:szCs w:val="18"/>
          <w:color w:val="auto"/>
        </w:rPr>
        <w:t>Our Bylaws provide that any stockholder who wishes to bring business before a meeting of our stockholders, or to nominate candidates for election as directors at a meeting of our stockholders, must deliver advance notice of their proposals to us before the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and Bylaws grant our board of directors the power to adopt, amend or repeal the Bylaws.</w:t>
      </w:r>
    </w:p>
    <w:p>
      <w:pPr>
        <w:sectPr>
          <w:pgSz w:w="11900" w:h="16838" w:orient="portrait"/>
          <w:cols w:equalWidth="0" w:num="1">
            <w:col w:w="11200"/>
          </w:cols>
          <w:pgMar w:left="320" w:top="1440"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00" w:lineRule="exact"/>
        <w:rPr>
          <w:sz w:val="20"/>
          <w:szCs w:val="20"/>
          <w:color w:val="auto"/>
        </w:rPr>
      </w:pPr>
    </w:p>
    <w:p>
      <w:pPr>
        <w:spacing w:after="0" w:line="27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by Paylocity Corporation, an Illinois corporation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Rachit Lohani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effective as of September 27, 2021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agree as follows:</w:t>
      </w:r>
    </w:p>
    <w:p>
      <w:pPr>
        <w:spacing w:after="0" w:line="256" w:lineRule="exact"/>
        <w:rPr>
          <w:sz w:val="20"/>
          <w:szCs w:val="20"/>
          <w:color w:val="auto"/>
        </w:rPr>
      </w:pPr>
    </w:p>
    <w:p>
      <w:pPr>
        <w:ind w:firstLine="656"/>
        <w:spacing w:after="0" w:line="269"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Company hereby employs Employee, and Employee hereby accepts such employment, upon the terms and conditions set forth herein.</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Position</w:t>
      </w:r>
      <w:r>
        <w:rPr>
          <w:rFonts w:ascii="Times New Roman" w:cs="Times New Roman" w:eastAsia="Times New Roman" w:hAnsi="Times New Roman"/>
          <w:sz w:val="20"/>
          <w:szCs w:val="20"/>
          <w:color w:val="auto"/>
        </w:rPr>
        <w:t>. Employee is employed as Senior Vice President, Chief Technology Officer and shall have the duties and responsibilities assigned by Company’s Chief Executive Officer (“CEO”). Employee shall perform faithfully and diligently all duties assigned to Employee. Company reserves the right to modify Employee’s position and duties at any time in its sole and absolute discretion.</w:t>
      </w:r>
    </w:p>
    <w:p>
      <w:pPr>
        <w:spacing w:after="0" w:line="213"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Best Efforts/Full-time</w:t>
      </w:r>
      <w:r>
        <w:rPr>
          <w:rFonts w:ascii="Times New Roman" w:cs="Times New Roman" w:eastAsia="Times New Roman" w:hAnsi="Times New Roman"/>
          <w:sz w:val="20"/>
          <w:szCs w:val="20"/>
          <w:color w:val="auto"/>
        </w:rPr>
        <w:t>. Employee will expend Employee’s best efforts on behalf of Company, and will abide by all policies and decisions made by Company, as well as all applicable federal, state and local laws, regulations or ordinances. Employee will act in the best interest of Company at all times. Employee shall devote Employee’s full business time and efforts to the performance of Employee’s assigned duties for Company, unless Employee notifies the CEO in advance of Employee’s intent to engage in other paid work and receives the CEO’s express written consent to do so. Notwithstanding the foregoing, Employee will be permitted to serve as an outside director on the board of directors for nonprofit or charitable entities or managing Employee’s personal financial and legal affairs, so long as the foregoing activities, provided such entities are not competitive with Company and subject to the provisions of Section 10 below.</w:t>
      </w:r>
    </w:p>
    <w:p>
      <w:pPr>
        <w:spacing w:after="0" w:line="209" w:lineRule="exact"/>
        <w:rPr>
          <w:sz w:val="20"/>
          <w:szCs w:val="20"/>
          <w:color w:val="auto"/>
        </w:rPr>
      </w:pPr>
    </w:p>
    <w:p>
      <w:pPr>
        <w:jc w:val="both"/>
        <w:ind w:firstLine="656"/>
        <w:spacing w:after="0" w:line="253"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Employee’s employment with Company is at-will and not for any specified period and may be terminated at any time, with or without cause (as defined below) or advance notice, by either Employee or Company. No representative of Company, other than the CEO or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has the authority to alter the at-will employment relationship. Any change to the at-will employment relationship must be by specific, written agreement signed by Employee and the CEO or a duly-authorized representative of the Board. Nothing in this Agreement is intended to or should be construed to contradict, modify or alter this at-will relationship.</w:t>
      </w:r>
    </w:p>
    <w:p>
      <w:pPr>
        <w:spacing w:after="0" w:line="21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As compensation for Employee’s performance of Employee’s duties hereunder, Company shall pay to Employee an annual base salary of $420,000, less required deductions for state and federal withholding tax, social security and all other employment taxes and payroll deductions, payable in accordance with the normal payroll practices of Company. Beginning in fiscal year 2022, the Compensation Committee of the Board shall conduct an annual review of Employee’s base salary based on third party comparison data and internal management recommendations. The salary change, if any, will be consistent with the timing of the salary adjustments of other senior Employees of Company. In the event Employee’s employment under this Agreement is terminated by either party, for any reason, Employee will earn the base salary prorated to the date of termination.</w:t>
      </w:r>
    </w:p>
    <w:p>
      <w:pPr>
        <w:sectPr>
          <w:pgSz w:w="11900" w:h="16838" w:orient="portrait"/>
          <w:cols w:equalWidth="0" w:num="1">
            <w:col w:w="11240"/>
          </w:cols>
          <w:pgMar w:left="320" w:top="1139" w:right="339" w:bottom="1440" w:gutter="0" w:footer="0" w:header="0"/>
        </w:sectPr>
      </w:pPr>
    </w:p>
    <w:bookmarkStart w:id="86" w:name="page87"/>
    <w:bookmarkEnd w:id="86"/>
    <w:p>
      <w:pPr>
        <w:jc w:val="both"/>
        <w:ind w:left="4"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20"/>
          <w:szCs w:val="20"/>
          <w:color w:val="auto"/>
        </w:rPr>
        <w:t>. Employee will be eligible to earn an annual incentive bonus, the target amount of which shall be a percentage as determined by the Company’s Compensation Committee (“</w:t>
      </w:r>
      <w:r>
        <w:rPr>
          <w:rFonts w:ascii="Times New Roman" w:cs="Times New Roman" w:eastAsia="Times New Roman" w:hAnsi="Times New Roman"/>
          <w:sz w:val="20"/>
          <w:szCs w:val="20"/>
          <w:b w:val="1"/>
          <w:bCs w:val="1"/>
          <w:i w:val="1"/>
          <w:iCs w:val="1"/>
          <w:color w:val="auto"/>
        </w:rPr>
        <w:t>Annual Bonus</w:t>
      </w:r>
      <w:r>
        <w:rPr>
          <w:rFonts w:ascii="Times New Roman" w:cs="Times New Roman" w:eastAsia="Times New Roman" w:hAnsi="Times New Roman"/>
          <w:sz w:val="20"/>
          <w:szCs w:val="20"/>
          <w:color w:val="auto"/>
        </w:rPr>
        <w:t>”). The target amount of the Annual Bonus for fiscal year 2022 shall be 55% of Employee’s annualized base salary. The Annual Bonus will be based on Employee’s achievement of certain goals, as well as Company metrics which shall be established by the Company’s Board. The Annual Bonus shall be less all required taxes and withholdings and will be paid out within 60 days following the end of the fiscal year in which it is earned.</w:t>
      </w:r>
    </w:p>
    <w:p>
      <w:pPr>
        <w:spacing w:after="0" w:line="219"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Equity Incentive Grants</w:t>
      </w:r>
      <w:r>
        <w:rPr>
          <w:rFonts w:ascii="Times New Roman" w:cs="Times New Roman" w:eastAsia="Times New Roman" w:hAnsi="Times New Roman"/>
          <w:sz w:val="20"/>
          <w:szCs w:val="20"/>
          <w:color w:val="auto"/>
        </w:rPr>
        <w:t>. Beginning in fiscal 2022, Employee shall be eligible to receive long-term equity incentives, as determined during the annual review conducted by the Compensation Committee and the Board.</w:t>
      </w:r>
    </w:p>
    <w:p>
      <w:pPr>
        <w:spacing w:after="0" w:line="200" w:lineRule="exact"/>
        <w:rPr>
          <w:sz w:val="20"/>
          <w:szCs w:val="20"/>
          <w:color w:val="auto"/>
        </w:rPr>
      </w:pPr>
    </w:p>
    <w:p>
      <w:pPr>
        <w:jc w:val="both"/>
        <w:ind w:left="264" w:firstLine="643"/>
        <w:spacing w:after="0" w:line="253" w:lineRule="auto"/>
        <w:tabs>
          <w:tab w:leader="none" w:pos="129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the consummation of a Change in Control, the vesting of all unvested shares subject to outstanding equity awards with time-based vesting issued to Employee by Parent shall be accelerated in full and, if applicable, such equity awards shall become exercisable or shall be settled in full immediately prior to such Change in Control provided that Employee’s employment with Company or Parent has not terminated prior to such Change in Control. For the purposes of this Agreement,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Company’s 2014 Equity Incentive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left="264" w:firstLine="643"/>
        <w:spacing w:after="0" w:line="251" w:lineRule="auto"/>
        <w:tabs>
          <w:tab w:leader="none" w:pos="129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Employee’s employment with Company terminates due to Employee’s death or Employee’s Disability (as such term is defined in the Plan), (i) the vesting of all unvested shares subject to outstanding equity awards with time-based vesting issued to Employee by Parent shall be accelerated in full and, if applicable, such equity awards shall become exercisable or shall be settled in full and (ii) the unvested shares subject to outstanding equity awards with performance-based vesting shall remain outstanding, and vest based on actual achievement of the underlying performance goals, with Employee receiving a pro-rated portion of the performance-based award (based on the number of calendar days in the performance period that Employee was employed over the total number of calendar days in the performance period), and, if applicable, such equity awards shall become exercisable or shall be settled to the extent vested upon such determination.</w:t>
      </w:r>
    </w:p>
    <w:p>
      <w:pPr>
        <w:spacing w:after="0" w:line="222" w:lineRule="exact"/>
        <w:rPr>
          <w:rFonts w:ascii="Times New Roman" w:cs="Times New Roman" w:eastAsia="Times New Roman" w:hAnsi="Times New Roman"/>
          <w:sz w:val="20"/>
          <w:szCs w:val="20"/>
          <w:color w:val="auto"/>
        </w:rPr>
      </w:pPr>
    </w:p>
    <w:p>
      <w:pPr>
        <w:jc w:val="both"/>
        <w:ind w:left="-656" w:firstLine="656"/>
        <w:spacing w:after="0" w:line="261"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Fringe Benefits</w:t>
      </w:r>
      <w:r>
        <w:rPr>
          <w:rFonts w:ascii="Times New Roman" w:cs="Times New Roman" w:eastAsia="Times New Roman" w:hAnsi="Times New Roman"/>
          <w:sz w:val="20"/>
          <w:szCs w:val="20"/>
          <w:color w:val="auto"/>
        </w:rPr>
        <w:t>. Employee will be eligible for all customary and usual fringe benefits generally available to Employees of Company subject to the terms and conditions of Company’s benefit plan documents. Company reserves the right to change or eliminate the fringe benefits on a prospective basis, at any time, effective upon notice to Employee.</w:t>
      </w:r>
    </w:p>
    <w:p>
      <w:pPr>
        <w:spacing w:after="0" w:line="208" w:lineRule="exact"/>
        <w:rPr>
          <w:rFonts w:ascii="Times New Roman" w:cs="Times New Roman" w:eastAsia="Times New Roman" w:hAnsi="Times New Roman"/>
          <w:sz w:val="20"/>
          <w:szCs w:val="20"/>
          <w:color w:val="auto"/>
        </w:rPr>
      </w:pPr>
    </w:p>
    <w:p>
      <w:pPr>
        <w:jc w:val="both"/>
        <w:ind w:left="-656" w:firstLine="656"/>
        <w:spacing w:after="0" w:line="253"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Employee will be reimbursed for all reasonable, out-of-pocket business expenses incurred in the performance of Employee’s duties on behalf of Company, including reasonable out-of-pocket expenses associated with Employee’s travel as approved by the CEO. To obtain reimbursement, expenses must be submitted promptly with appropriate supporting documentation and will be reimbursed in accordance with Company’s policies. Any reimbursement Employee is entitled to receive shall (a) be paid no later than the last day of Employee’s tax year following the tax year in which the expense was incurred, (b) not be affected by any other expenses that are eligible for reimbursement in any tax year and (c) not be subject to liquidation or exchange for another benefit.</w:t>
      </w:r>
    </w:p>
    <w:p>
      <w:pPr>
        <w:sectPr>
          <w:pgSz w:w="11900" w:h="16838" w:orient="portrait"/>
          <w:cols w:equalWidth="0" w:num="1">
            <w:col w:w="10584"/>
          </w:cols>
          <w:pgMar w:left="976" w:top="927" w:right="339" w:bottom="1440" w:gutter="0" w:footer="0" w:header="0"/>
        </w:sectPr>
      </w:pPr>
    </w:p>
    <w:bookmarkStart w:id="87" w:name="page88"/>
    <w:bookmarkEnd w:id="87"/>
    <w:p>
      <w:pPr>
        <w:ind w:left="644" w:hanging="644"/>
        <w:spacing w:after="0"/>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Employee’s Employment</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4" w:firstLine="648"/>
        <w:spacing w:after="0" w:line="249"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Termination for Cause by Company</w:t>
      </w:r>
      <w:r>
        <w:rPr>
          <w:rFonts w:ascii="Times New Roman" w:cs="Times New Roman" w:eastAsia="Times New Roman" w:hAnsi="Times New Roman"/>
          <w:sz w:val="20"/>
          <w:szCs w:val="20"/>
          <w:color w:val="auto"/>
        </w:rPr>
        <w:t>. Company may terminate Employee’s employment immediately at any time for Cause. 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is defined as: (i) material dishonest or fraudulent behavior, or convictions of a felony; (ii) the material breach of any covenant contained or referred to in this Agreement; (iii) the failure of Employee to meet fair and reasonable performance standards established by Company from time to time; (iv) Employee’s failure or refusal to perform specific directives of CEO, which directives are consistent with the scope and nature of Employee’s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Employee which adversely affects the business of Company. In the event Employee’s employment is terminated in accordance with this subsection 7.1, Employee shall be entitled to receive only Employee’s base salary then in effect, prorated to the date of termination and all benefits accrued through the date of termination (“</w:t>
      </w:r>
      <w:r>
        <w:rPr>
          <w:rFonts w:ascii="Times New Roman" w:cs="Times New Roman" w:eastAsia="Times New Roman" w:hAnsi="Times New Roman"/>
          <w:sz w:val="20"/>
          <w:szCs w:val="20"/>
          <w:b w:val="1"/>
          <w:bCs w:val="1"/>
          <w:i w:val="1"/>
          <w:iCs w:val="1"/>
          <w:color w:val="auto"/>
        </w:rPr>
        <w:t>Accrued Benefits</w:t>
      </w:r>
      <w:r>
        <w:rPr>
          <w:rFonts w:ascii="Times New Roman" w:cs="Times New Roman" w:eastAsia="Times New Roman" w:hAnsi="Times New Roman"/>
          <w:sz w:val="20"/>
          <w:szCs w:val="20"/>
          <w:color w:val="auto"/>
        </w:rPr>
        <w:t>”). All other Company obligations to Employee pursuant to this Agreement will become automatically terminated and completely extinguished. Employee will not be entitled to receive the Severance Payment described in subsection 7.2 below.</w:t>
      </w:r>
    </w:p>
    <w:p>
      <w:pPr>
        <w:spacing w:after="0" w:line="228"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Termination Without Cause by Company/Severance</w:t>
      </w:r>
      <w:r>
        <w:rPr>
          <w:rFonts w:ascii="Times New Roman" w:cs="Times New Roman" w:eastAsia="Times New Roman" w:hAnsi="Times New Roman"/>
          <w:sz w:val="20"/>
          <w:szCs w:val="20"/>
          <w:color w:val="auto"/>
        </w:rPr>
        <w:t>. Company may terminate Employee’s employment under this Agreement without Cause at any time on thirty (30) days’ advance written notice to Employee. In the event of such termination, Employee will receive Employee’s base salary then in effect, prorated to the date of termination, and Accrued Benefits. In addition, Employee will receive a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equivalent to twelve (12) months of Employee’s base salary then in effect on the date of termination, payable as salary continuation in equal installments in accordance with Company’s regular payroll cycle over a twelve (12) month period, beginning on the first regular payday occurring 60 days following the termination date. Employee will only receive the Severance Payment if Employee executes a full general release in a form acceptable to Company, releasing all claims, known or unknown, that Employee may have against Company arising out of or any way related to Employee’s employment or termination of employment with Company, and such release has become effective in accordance with its terms prior to the 60th day following the termination date. All other Company obligations to Employee will be automatically terminated and completely extinguished. If Employee’s employment with Company terminates due to Employee’s death or Employee’s inability to perform the essential functions of Employee’s position with or without reasonable accommodation, Employee shall not be entitled to the Severance Payment described above.</w:t>
      </w:r>
    </w:p>
    <w:p>
      <w:pPr>
        <w:spacing w:after="0" w:line="20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Voluntary Resignation by Employee</w:t>
      </w:r>
      <w:r>
        <w:rPr>
          <w:rFonts w:ascii="Times New Roman" w:cs="Times New Roman" w:eastAsia="Times New Roman" w:hAnsi="Times New Roman"/>
          <w:sz w:val="20"/>
          <w:szCs w:val="20"/>
          <w:color w:val="auto"/>
        </w:rPr>
        <w:t>. Employee may voluntarily resign Employee’s position with Company at any time on thirty (30) days’ advance written notice. In the event of Employee’s voluntary resignation, Employee will be entitled to receive only Accrued Benefits for the thirty-day notice period and no other amount. All other Company obligations to Employee pursuant to this Agreement will become automatically terminated and completely extinguished. In addition, Employee will not be entitled to receive the Severance Payment described in subsection 7.2 above.</w:t>
      </w:r>
    </w:p>
    <w:p>
      <w:pPr>
        <w:spacing w:after="0" w:line="200" w:lineRule="exact"/>
        <w:rPr>
          <w:sz w:val="20"/>
          <w:szCs w:val="20"/>
          <w:color w:val="auto"/>
        </w:rPr>
      </w:pPr>
    </w:p>
    <w:p>
      <w:pPr>
        <w:ind w:left="-656" w:firstLine="656"/>
        <w:spacing w:after="0" w:line="283" w:lineRule="auto"/>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of Board or Other Positions</w:t>
      </w:r>
      <w:r>
        <w:rPr>
          <w:rFonts w:ascii="Times New Roman" w:cs="Times New Roman" w:eastAsia="Times New Roman" w:hAnsi="Times New Roman"/>
          <w:sz w:val="20"/>
          <w:szCs w:val="20"/>
          <w:color w:val="auto"/>
        </w:rPr>
        <w:t>. Upon the termination of Employee’s employment for any reason, Employee agrees to immediately resign all other positions (including Board membership) Employee may hold on behalf of Company.</w:t>
      </w:r>
    </w:p>
    <w:p>
      <w:pPr>
        <w:sectPr>
          <w:pgSz w:w="11900" w:h="16838" w:orient="portrait"/>
          <w:cols w:equalWidth="0" w:num="1">
            <w:col w:w="10584"/>
          </w:cols>
          <w:pgMar w:left="976" w:top="927" w:right="339" w:bottom="1440" w:gutter="0" w:footer="0" w:header="0"/>
        </w:sectPr>
      </w:pPr>
    </w:p>
    <w:bookmarkStart w:id="88" w:name="page89"/>
    <w:bookmarkEnd w:id="88"/>
    <w:p>
      <w:pPr>
        <w:ind w:left="644" w:hanging="644"/>
        <w:spacing w:after="0"/>
        <w:tabs>
          <w:tab w:leader="none" w:pos="6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Section 409A</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264" w:firstLine="643"/>
        <w:spacing w:after="0" w:line="264" w:lineRule="auto"/>
        <w:tabs>
          <w:tab w:leader="none" w:pos="1294"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 w:cs="Times New Roman" w:eastAsia="Times New Roman" w:hAnsi="Times New Roman"/>
          <w:sz w:val="19"/>
          <w:szCs w:val="19"/>
          <w:b w:val="1"/>
          <w:bCs w:val="1"/>
          <w:i w:val="1"/>
          <w:iCs w:val="1"/>
          <w:color w:val="auto"/>
        </w:rPr>
        <w:t>Section 409A Regulations</w:t>
      </w:r>
      <w:r>
        <w:rPr>
          <w:rFonts w:ascii="Times New Roman" w:cs="Times New Roman" w:eastAsia="Times New Roman" w:hAnsi="Times New Roman"/>
          <w:sz w:val="19"/>
          <w:szCs w:val="19"/>
          <w:color w:val="auto"/>
        </w:rPr>
        <w:t>”) shall be paid unless and until Employee has incurred a “separation from service” within the meaning of the Section 409A Regulations.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 w:cs="Times New Roman" w:eastAsia="Times New Roman" w:hAnsi="Times New Roman"/>
          <w:sz w:val="19"/>
          <w:szCs w:val="19"/>
          <w:b w:val="1"/>
          <w:bCs w:val="1"/>
          <w:i w:val="1"/>
          <w:iCs w:val="1"/>
          <w:color w:val="auto"/>
        </w:rPr>
        <w:t>Delayed Payment Date</w:t>
      </w:r>
      <w:r>
        <w:rPr>
          <w:rFonts w:ascii="Times New Roman" w:cs="Times New Roman" w:eastAsia="Times New Roman" w:hAnsi="Times New Roman"/>
          <w:sz w:val="19"/>
          <w:szCs w:val="19"/>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213" w:lineRule="exact"/>
        <w:rPr>
          <w:rFonts w:ascii="Times New Roman" w:cs="Times New Roman" w:eastAsia="Times New Roman" w:hAnsi="Times New Roman"/>
          <w:sz w:val="19"/>
          <w:szCs w:val="19"/>
          <w:color w:val="auto"/>
        </w:rPr>
      </w:pPr>
    </w:p>
    <w:p>
      <w:pPr>
        <w:jc w:val="both"/>
        <w:ind w:left="264" w:firstLine="643"/>
        <w:spacing w:after="0" w:line="253" w:lineRule="auto"/>
        <w:tabs>
          <w:tab w:leader="none" w:pos="1291"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w:t>
      </w:r>
      <w:r>
        <w:rPr>
          <w:rFonts w:ascii="Times New Roman" w:cs="Times New Roman" w:eastAsia="Times New Roman" w:hAnsi="Times New Roman"/>
          <w:sz w:val="20"/>
          <w:szCs w:val="20"/>
          <w:b w:val="1"/>
          <w:bCs w:val="1"/>
          <w:color w:val="auto"/>
        </w:rPr>
        <w:t>However, Company does not guarantee any particular tax effect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income provided to Employee pursuant to this Agreement. </w:t>
      </w:r>
      <w:r>
        <w:rPr>
          <w:rFonts w:ascii="Times New Roman" w:cs="Times New Roman" w:eastAsia="Times New Roman" w:hAnsi="Times New Roman"/>
          <w:sz w:val="20"/>
          <w:szCs w:val="20"/>
          <w:color w:val="auto"/>
        </w:rPr>
        <w:t>In any event, except for Company’s responsibility to withhold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income and employment taxes from compensation paid or provided to Employee, Company shall not be responsible for the payment of any applicable taxes on compensation paid or provided to Employee pursuant to this Agreement.</w:t>
      </w:r>
    </w:p>
    <w:p>
      <w:pPr>
        <w:spacing w:after="0" w:line="219" w:lineRule="exact"/>
        <w:rPr>
          <w:rFonts w:ascii="Times New Roman" w:cs="Times New Roman" w:eastAsia="Times New Roman" w:hAnsi="Times New Roman"/>
          <w:sz w:val="20"/>
          <w:szCs w:val="20"/>
          <w:color w:val="auto"/>
        </w:rPr>
      </w:pPr>
    </w:p>
    <w:p>
      <w:pPr>
        <w:jc w:val="both"/>
        <w:ind w:left="264" w:firstLine="643"/>
        <w:spacing w:after="0" w:line="254" w:lineRule="auto"/>
        <w:tabs>
          <w:tab w:leader="none" w:pos="129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reimbursement of expenses or in-kind benefits provided pursuant to this Agreement shall be subject to the following conditions: (1) the expenses eligible for reimbursement or in-kind</w:t>
      </w:r>
    </w:p>
    <w:p>
      <w:pPr>
        <w:spacing w:after="0" w:line="1"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20"/>
          <w:szCs w:val="20"/>
          <w:color w:val="auto"/>
        </w:rPr>
        <w:t>benefits in one taxable year shall not affect the expenses eligible for reimbursement or in-kind benefits in any other taxable year;</w:t>
      </w:r>
    </w:p>
    <w:p>
      <w:pPr>
        <w:spacing w:after="0" w:line="6" w:lineRule="exact"/>
        <w:rPr>
          <w:sz w:val="20"/>
          <w:szCs w:val="20"/>
          <w:color w:val="auto"/>
        </w:rPr>
      </w:pPr>
    </w:p>
    <w:p>
      <w:pPr>
        <w:jc w:val="both"/>
        <w:ind w:left="264" w:right="20" w:hanging="5"/>
        <w:spacing w:after="0" w:line="249" w:lineRule="auto"/>
        <w:tabs>
          <w:tab w:leader="none" w:pos="55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Times New Roman" w:cs="Times New Roman" w:eastAsia="Times New Roman" w:hAnsi="Times New Roman"/>
          <w:sz w:val="20"/>
          <w:szCs w:val="20"/>
          <w:b w:val="1"/>
          <w:bCs w:val="1"/>
          <w:color w:val="auto"/>
        </w:rPr>
        <w:t>.</w:t>
      </w:r>
    </w:p>
    <w:p>
      <w:pPr>
        <w:spacing w:after="0" w:line="220" w:lineRule="exact"/>
        <w:rPr>
          <w:rFonts w:ascii="Times New Roman" w:cs="Times New Roman" w:eastAsia="Times New Roman" w:hAnsi="Times New Roman"/>
          <w:sz w:val="20"/>
          <w:szCs w:val="20"/>
          <w:color w:val="auto"/>
        </w:rPr>
      </w:pPr>
    </w:p>
    <w:p>
      <w:pPr>
        <w:ind w:left="264" w:firstLine="643"/>
        <w:spacing w:after="0" w:line="283" w:lineRule="auto"/>
        <w:tabs>
          <w:tab w:leader="none" w:pos="1291"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of the Code, the right to a series of installment payments under this Agreement shall be treated as a right to a series of separate payments.</w:t>
      </w:r>
    </w:p>
    <w:p>
      <w:pPr>
        <w:spacing w:after="0" w:line="173" w:lineRule="exact"/>
        <w:rPr>
          <w:rFonts w:ascii="Times New Roman" w:cs="Times New Roman" w:eastAsia="Times New Roman" w:hAnsi="Times New Roman"/>
          <w:sz w:val="20"/>
          <w:szCs w:val="20"/>
          <w:color w:val="auto"/>
        </w:rPr>
      </w:pPr>
    </w:p>
    <w:p>
      <w:pPr>
        <w:jc w:val="both"/>
        <w:ind w:left="-656" w:firstLine="656"/>
        <w:spacing w:after="0" w:line="253" w:lineRule="auto"/>
        <w:tabs>
          <w:tab w:leader="none" w:pos="63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 of Interest</w:t>
      </w:r>
      <w:r>
        <w:rPr>
          <w:rFonts w:ascii="Times New Roman" w:cs="Times New Roman" w:eastAsia="Times New Roman" w:hAnsi="Times New Roman"/>
          <w:sz w:val="20"/>
          <w:szCs w:val="20"/>
          <w:color w:val="auto"/>
        </w:rPr>
        <w:t>. During the term of Employee’s employment with Company, Employee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Employee’s employment with Company, as may be determined by Company in its sole discretion. If Company believes such a conflict exists during the term of this Agreement, Company may ask Employee to, and Employee shall, discontinue the other work and/or activities or resign employment with Company.</w:t>
      </w:r>
    </w:p>
    <w:p>
      <w:pPr>
        <w:sectPr>
          <w:pgSz w:w="11900" w:h="16838" w:orient="portrait"/>
          <w:cols w:equalWidth="0" w:num="1">
            <w:col w:w="10584"/>
          </w:cols>
          <w:pgMar w:left="976" w:top="927" w:right="339" w:bottom="1440" w:gutter="0" w:footer="0" w:header="0"/>
        </w:sectPr>
      </w:pPr>
    </w:p>
    <w:bookmarkStart w:id="89" w:name="page90"/>
    <w:bookmarkEnd w:id="89"/>
    <w:p>
      <w:pPr>
        <w:jc w:val="both"/>
        <w:ind w:firstLine="656"/>
        <w:spacing w:after="0" w:line="253" w:lineRule="auto"/>
        <w:tabs>
          <w:tab w:leader="none" w:pos="127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Employee agrees that during Employee’s employment with Company and for a period of twelve (12) months immediately following termination of such employment for any reason (the “</w:t>
      </w:r>
      <w:r>
        <w:rPr>
          <w:rFonts w:ascii="Times New Roman" w:cs="Times New Roman" w:eastAsia="Times New Roman" w:hAnsi="Times New Roman"/>
          <w:sz w:val="20"/>
          <w:szCs w:val="20"/>
          <w:b w:val="1"/>
          <w:bCs w:val="1"/>
          <w:i w:val="1"/>
          <w:iCs w:val="1"/>
          <w:color w:val="auto"/>
        </w:rPr>
        <w:t>Non-competition Period</w:t>
      </w:r>
      <w:r>
        <w:rPr>
          <w:rFonts w:ascii="Times New Roman" w:cs="Times New Roman" w:eastAsia="Times New Roman" w:hAnsi="Times New Roman"/>
          <w:sz w:val="20"/>
          <w:szCs w:val="20"/>
          <w:color w:val="auto"/>
        </w:rPr>
        <w:t>”), Employee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Employee was involved or had knowledge, being conducted by, or contemplated by, Company or any of its subsidiaries as of the termination of Employee’s employment in any geographic area in which Company or any of its subsidiaries is then conducting such business.</w:t>
      </w:r>
    </w:p>
    <w:p>
      <w:pPr>
        <w:spacing w:after="0" w:line="20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Employee acknowledges that Company’s relationship with its clients, employees, vendors, suppliers and other persons with whom Company has a business relationship (hereinafter referred to as “</w:t>
      </w:r>
      <w:r>
        <w:rPr>
          <w:rFonts w:ascii="Times New Roman" w:cs="Times New Roman" w:eastAsia="Times New Roman" w:hAnsi="Times New Roman"/>
          <w:sz w:val="20"/>
          <w:szCs w:val="20"/>
          <w:b w:val="1"/>
          <w:bCs w:val="1"/>
          <w:i w:val="1"/>
          <w:iCs w:val="1"/>
          <w:color w:val="auto"/>
        </w:rPr>
        <w:t>Prohibited Persons</w:t>
      </w:r>
      <w:r>
        <w:rPr>
          <w:rFonts w:ascii="Times New Roman" w:cs="Times New Roman" w:eastAsia="Times New Roman" w:hAnsi="Times New Roman"/>
          <w:sz w:val="20"/>
          <w:szCs w:val="20"/>
          <w:color w:val="auto"/>
        </w:rPr>
        <w:t>”), are special and unique, and that Company’s relationship with the Prohibited Persons may not be able to be replaced by Company. Employee further acknowledges that the protection of Company’s Prohibited Persons is essential.</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Therefore, Employee expressly covenants and agrees that during Employee’s employment with Company and for a period of twenty-four (24) months immediately following termination of Employee’s employment for any reason (the “</w:t>
      </w:r>
      <w:r>
        <w:rPr>
          <w:rFonts w:ascii="Times New Roman" w:cs="Times New Roman" w:eastAsia="Times New Roman" w:hAnsi="Times New Roman"/>
          <w:sz w:val="20"/>
          <w:szCs w:val="20"/>
          <w:b w:val="1"/>
          <w:bCs w:val="1"/>
          <w:i w:val="1"/>
          <w:iCs w:val="1"/>
          <w:color w:val="auto"/>
        </w:rPr>
        <w:t>Non-solicitation Period</w:t>
      </w:r>
      <w:r>
        <w:rPr>
          <w:rFonts w:ascii="Times New Roman" w:cs="Times New Roman" w:eastAsia="Times New Roman" w:hAnsi="Times New Roman"/>
          <w:sz w:val="20"/>
          <w:szCs w:val="20"/>
          <w:color w:val="auto"/>
        </w:rPr>
        <w:t>”), Employee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219"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0"/>
          <w:szCs w:val="20"/>
          <w:color w:val="auto"/>
        </w:rPr>
        <w:t>13.1 Employee recognizes that the knowledge and information about, and relationships with business associates, customers, clients and agents of Company and its affiliated companies, and the business methods, systems, plans, and policies of Company and of its affiliated companies, which Employee may receive, obtain, or establish as an employee of Company are valuable and unique assets of Company or its affiliates. Employee agrees that, during any Employment Period and thereafter, Employee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Employee acknowledges and agrees that all memoranda, notes, records, clients lists, client information and other documents, computer software, data or material in any form made or compiled by Employee or made available to Employee concerning Company’s business is and shall be Company’s exclusive property and shall be delivered by Employee to Company upon termination of Employee’s employment or at any other time upon the request of Company.</w:t>
      </w:r>
    </w:p>
    <w:p>
      <w:pPr>
        <w:spacing w:after="0" w:line="20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13.2 The restrictions in the above paragraph shall not apply to: (1) information that at the time of disclosure is in the public domain through no fault of Employee’s;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Employee shall provide Company notice of any such required disclosure once Employee has knowledge of it and will help Company to the extent reasonable to obtain an appropriate protective order.</w:t>
      </w:r>
    </w:p>
    <w:p>
      <w:pPr>
        <w:spacing w:after="0" w:line="219" w:lineRule="exact"/>
        <w:rPr>
          <w:sz w:val="20"/>
          <w:szCs w:val="20"/>
          <w:color w:val="auto"/>
        </w:rPr>
      </w:pPr>
    </w:p>
    <w:p>
      <w:pPr>
        <w:jc w:val="both"/>
        <w:ind w:left="660" w:right="20" w:firstLine="648"/>
        <w:spacing w:after="0" w:line="261" w:lineRule="auto"/>
        <w:rPr>
          <w:sz w:val="20"/>
          <w:szCs w:val="20"/>
          <w:color w:val="auto"/>
        </w:rPr>
      </w:pPr>
      <w:r>
        <w:rPr>
          <w:rFonts w:ascii="Times New Roman" w:cs="Times New Roman" w:eastAsia="Times New Roman" w:hAnsi="Times New Roman"/>
          <w:sz w:val="20"/>
          <w:szCs w:val="20"/>
          <w:color w:val="auto"/>
        </w:rPr>
        <w:t>13.3 Company acknowledges that Employee has had significant prior work experience in the industry in which Company is engaged, and that Employee enters into this Agreement with significant prior knowledge, information and relationships in such industry.</w:t>
      </w:r>
    </w:p>
    <w:p>
      <w:pPr>
        <w:sectPr>
          <w:pgSz w:w="11900" w:h="16838" w:orient="portrait"/>
          <w:cols w:equalWidth="0" w:num="1">
            <w:col w:w="11240"/>
          </w:cols>
          <w:pgMar w:left="320" w:top="927" w:right="339" w:bottom="1440" w:gutter="0" w:footer="0" w:header="0"/>
        </w:sectPr>
      </w:pPr>
    </w:p>
    <w:bookmarkStart w:id="90" w:name="page91"/>
    <w:bookmarkEnd w:id="90"/>
    <w:p>
      <w:pPr>
        <w:ind w:left="644" w:hanging="644"/>
        <w:spacing w:after="0"/>
        <w:tabs>
          <w:tab w:leader="none" w:pos="6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Remedies, Construction</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4" w:firstLine="648"/>
        <w:spacing w:after="0" w:line="250" w:lineRule="auto"/>
        <w:rPr>
          <w:sz w:val="20"/>
          <w:szCs w:val="20"/>
          <w:color w:val="auto"/>
        </w:rPr>
      </w:pPr>
      <w:r>
        <w:rPr>
          <w:rFonts w:ascii="Times New Roman" w:cs="Times New Roman" w:eastAsia="Times New Roman" w:hAnsi="Times New Roman"/>
          <w:sz w:val="20"/>
          <w:szCs w:val="20"/>
          <w:color w:val="auto"/>
        </w:rPr>
        <w:t>14.1 Employee covenants, agrees, and recognizes the breach or threatened breach of the covenants, or any of them, contained in Sections 11, 12 and 13 will result in immediate and irreparable injury to Company and that Company shall be entitled to an injunction restraining Employee or any of his affiliates from any violation of Sections 11, 12 and 13 to the fullest extent allowed by law. Employee further covenants and agrees that in the event of a violation of any of his respective covenants and agreements contained in Sections 11, 12 and 13 hereof, Company shall be entitled to an accounting of all profits, compensation, commissions, remunerations or benefits which Employee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220"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20"/>
          <w:szCs w:val="20"/>
          <w:color w:val="auto"/>
        </w:rPr>
        <w:t>14.2 Employee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208" w:lineRule="exact"/>
        <w:rPr>
          <w:sz w:val="20"/>
          <w:szCs w:val="20"/>
          <w:color w:val="auto"/>
        </w:rPr>
      </w:pPr>
    </w:p>
    <w:p>
      <w:pPr>
        <w:ind w:left="644"/>
        <w:spacing w:after="0"/>
        <w:tabs>
          <w:tab w:leader="none" w:pos="1264"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color w:val="auto"/>
        </w:rPr>
        <w:t>Employee hereby expressly acknowledges and agrees as follows:</w:t>
      </w:r>
    </w:p>
    <w:p>
      <w:pPr>
        <w:spacing w:after="0" w:line="243" w:lineRule="exact"/>
        <w:rPr>
          <w:sz w:val="20"/>
          <w:szCs w:val="20"/>
          <w:color w:val="auto"/>
        </w:rPr>
      </w:pPr>
    </w:p>
    <w:p>
      <w:pPr>
        <w:jc w:val="both"/>
        <w:ind w:left="264" w:firstLine="643"/>
        <w:spacing w:after="0" w:line="268" w:lineRule="auto"/>
        <w:tabs>
          <w:tab w:leader="none" w:pos="129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188" w:lineRule="exact"/>
        <w:rPr>
          <w:rFonts w:ascii="Times New Roman" w:cs="Times New Roman" w:eastAsia="Times New Roman" w:hAnsi="Times New Roman"/>
          <w:sz w:val="20"/>
          <w:szCs w:val="20"/>
          <w:color w:val="auto"/>
        </w:rPr>
      </w:pPr>
    </w:p>
    <w:p>
      <w:pPr>
        <w:jc w:val="both"/>
        <w:ind w:left="264" w:firstLine="643"/>
        <w:spacing w:after="0" w:line="250" w:lineRule="auto"/>
        <w:tabs>
          <w:tab w:leader="none" w:pos="129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22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20"/>
          <w:szCs w:val="20"/>
          <w:color w:val="auto"/>
        </w:rPr>
        <w:t>14.4 Nothing in Sections 10 and 11 shall prohibit Employee from being (i) a stockholder in a mutual fund or a diversified investment company or (ii) an owner of not more than two percent of the outstanding stock of any class of a corporation, any securities of which are publicly traded, so long as Employee has no active participation in the business of such corporation.</w:t>
      </w:r>
    </w:p>
    <w:p>
      <w:pPr>
        <w:spacing w:after="0" w:line="195" w:lineRule="exact"/>
        <w:rPr>
          <w:sz w:val="20"/>
          <w:szCs w:val="20"/>
          <w:color w:val="auto"/>
        </w:rPr>
      </w:pPr>
    </w:p>
    <w:p>
      <w:pPr>
        <w:ind w:left="644" w:hanging="644"/>
        <w:spacing w:after="0"/>
        <w:tabs>
          <w:tab w:leader="none" w:pos="64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rights and obligations of Company under this Agreement shall inure to the benefit of and shall be binding upon the successors and assigns of Company. Employee shall not be entitled to assign any of Employee’s rights or obligations under this Agreement.</w:t>
      </w:r>
    </w:p>
    <w:p>
      <w:pPr>
        <w:sectPr>
          <w:pgSz w:w="11900" w:h="16838" w:orient="portrait"/>
          <w:cols w:equalWidth="0" w:num="1">
            <w:col w:w="10584"/>
          </w:cols>
          <w:pgMar w:left="976" w:top="1170" w:right="339" w:bottom="1440" w:gutter="0" w:footer="0" w:header="0"/>
        </w:sectPr>
      </w:pPr>
    </w:p>
    <w:bookmarkStart w:id="91" w:name="page92"/>
    <w:bookmarkEnd w:id="91"/>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Each side will bear its own attorneys’ fees in any dispute unless a statutory section at issue, if any, authorizes the award of attorneys’ fees to the prevailing party.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20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Interpretation; Construction</w:t>
      </w:r>
      <w:r>
        <w:rPr>
          <w:rFonts w:ascii="Times New Roman" w:cs="Times New Roman" w:eastAsia="Times New Roman" w:hAnsi="Times New Roman"/>
          <w:sz w:val="19"/>
          <w:szCs w:val="19"/>
          <w:color w:val="auto"/>
        </w:rPr>
        <w:t>. The headings set forth in this Agreement are for convenience only and shall not be used in interpreting this Agreement. This Agreement has been drafted by legal counsel representing Company, but Employee has participated in the negotiation of its terms.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8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Rachit Lohani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Paylocity Corporation 1400 American LN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Schaumburg, IL 60173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Amber Livingston,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at such changed addresses as the parties may designate in writing.</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Sections 7.2 (Termination Without Cause by Company/Severance), 9 (Application of Section 409A), 10 (“No Conflict of Interest”), 11 (“Non-Competition”), 12 (“Non- Solicitation”), 13 (“Nondisclosure of Confidential Information”), 14 (“Enforcement, Remedies and Construction”), 15 (“General Provisions”) and 16 (“Entire Agreement”) of this Agreement shall survive Employee’s employment by Company.</w:t>
      </w:r>
    </w:p>
    <w:p>
      <w:pPr>
        <w:sectPr>
          <w:pgSz w:w="11900" w:h="16838" w:orient="portrait"/>
          <w:cols w:equalWidth="0" w:num="1">
            <w:col w:w="10580"/>
          </w:cols>
          <w:pgMar w:left="980" w:top="927" w:right="339" w:bottom="1440" w:gutter="0" w:footer="0" w:header="0"/>
        </w:sectPr>
      </w:pPr>
    </w:p>
    <w:bookmarkStart w:id="92" w:name="page93"/>
    <w:bookmarkEnd w:id="92"/>
    <w:p>
      <w:pPr>
        <w:jc w:val="both"/>
        <w:ind w:left="-656" w:firstLine="656"/>
        <w:spacing w:after="0" w:line="258" w:lineRule="auto"/>
        <w:tabs>
          <w:tab w:leader="none" w:pos="63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195"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appear on following page</w:t>
      </w:r>
      <w:r>
        <w:rPr>
          <w:rFonts w:ascii="Times New Roman" w:cs="Times New Roman" w:eastAsia="Times New Roman" w:hAnsi="Times New Roman"/>
          <w:sz w:val="20"/>
          <w:szCs w:val="20"/>
          <w:color w:val="auto"/>
        </w:rPr>
        <w:t>]</w:t>
      </w:r>
    </w:p>
    <w:p>
      <w:pPr>
        <w:sectPr>
          <w:pgSz w:w="11900" w:h="16838" w:orient="portrait"/>
          <w:cols w:equalWidth="0" w:num="1">
            <w:col w:w="10584"/>
          </w:cols>
          <w:pgMar w:left="976" w:top="117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color w:val="auto"/>
        </w:rPr>
        <w:t>THE PARTIES TO THIS AGREEMENT HAVE READ THE FOREGOING AGREEMENT AND FULLY UNDERSTAND EACH AND</w:t>
      </w:r>
    </w:p>
    <w:p>
      <w:pPr>
        <w:spacing w:after="0" w:line="221" w:lineRule="auto"/>
        <w:rPr>
          <w:sz w:val="20"/>
          <w:szCs w:val="20"/>
          <w:color w:val="auto"/>
        </w:rPr>
      </w:pPr>
      <w:r>
        <w:rPr>
          <w:rFonts w:ascii="Times New Roman" w:cs="Times New Roman" w:eastAsia="Times New Roman" w:hAnsi="Times New Roman"/>
          <w:sz w:val="20"/>
          <w:szCs w:val="20"/>
          <w:color w:val="auto"/>
        </w:rPr>
        <w:t>EVERY PROVISION CONTAINED HEREIN. WHEREFORE, THE PARTIES HAVE EXECUTED THIS AGREEMENT ON THE DATES SHOWN BELOW.</w:t>
      </w:r>
    </w:p>
    <w:p>
      <w:pPr>
        <w:spacing w:after="0" w:line="200" w:lineRule="exact"/>
        <w:rPr>
          <w:sz w:val="20"/>
          <w:szCs w:val="20"/>
          <w:color w:val="auto"/>
        </w:rPr>
      </w:pPr>
    </w:p>
    <w:p>
      <w:pPr>
        <w:spacing w:after="0" w:line="29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Rachit Lohani</w:t>
      </w:r>
    </w:p>
    <w:p>
      <w:pPr>
        <w:spacing w:after="0" w:line="28"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Rachit Lohani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21590</wp:posOffset>
            </wp:positionV>
            <wp:extent cx="34029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Paylocity Corporation</w:t>
      </w:r>
    </w:p>
    <w:p>
      <w:pPr>
        <w:spacing w:after="0" w:line="28" w:lineRule="exact"/>
        <w:rPr>
          <w:sz w:val="20"/>
          <w:szCs w:val="20"/>
          <w:color w:val="auto"/>
        </w:rPr>
      </w:pPr>
    </w:p>
    <w:p>
      <w:pPr>
        <w:ind w:left="5400"/>
        <w:spacing w:after="0"/>
        <w:tabs>
          <w:tab w:leader="none" w:pos="59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21590</wp:posOffset>
            </wp:positionV>
            <wp:extent cx="34029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Steven R. Beauchamp</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90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6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Paylocity Corporation, an Illinois corporation</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Administration Technologies,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VidGrid Inc., a Delaware corporation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Samepage Labs Inc., a Delaware corporation</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Samepage s.r.o., a Czech Republic company</w:t>
      </w:r>
    </w:p>
    <w:p>
      <w:pPr>
        <w:spacing w:after="0" w:line="4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Marble Payroll, LLC, an Illinois limited liability company</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Cloudsnap, Inc., a Delaware corporation</w:t>
      </w:r>
    </w:p>
    <w:p>
      <w:pPr>
        <w:sectPr>
          <w:pgSz w:w="11900" w:h="16838" w:orient="portrait"/>
          <w:cols w:equalWidth="0" w:num="1">
            <w:col w:w="10908"/>
          </w:cols>
          <w:pgMar w:left="652"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333-194840, No. 333-201983, No. 333-209520 No. 333-216001, No. 333-222959, No. 333-252779 and No. 333-262514) on Form S-8 of our report dated August 5, 2022, with respect to the consolidated financial statements of Paylocity Holding Corporation (the Company) and the effectiveness of internal control over financial reporting.</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report dated August 5, 2022 on the effectiveness of internal control over financial reporting as of June 30, 2022 contains an explanatory paragraph that states that the Company acquired Blue Marble Payroll, LLC in August 2021 and Cloudsnap, Inc. in January 2022 (the Acquired Businesses), and management excluded these Acquired Businesses from its assessment of the effectiveness of the Company’s internal control over financial reporting as of June 30, 2022. Our audit of internal control over financial reporting of the Company also excluded an evaluation of the internal control over financial reporting of the Acquired Businesses.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5, 2022</w:t>
      </w:r>
    </w:p>
    <w:p>
      <w:pPr>
        <w:sectPr>
          <w:pgSz w:w="11900" w:h="16838" w:orient="portrait"/>
          <w:cols w:equalWidth="0" w:num="1">
            <w:col w:w="11240"/>
          </w:cols>
          <w:pgMar w:left="320" w:top="107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22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 (the “Company”) for the year ended June 30, 2022;</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80" w:firstLine="644"/>
        <w:spacing w:after="0" w:line="266" w:lineRule="auto"/>
        <w:tabs>
          <w:tab w:leader="none" w:pos="162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year ended June 30, 2022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 Director</w:t>
            </w:r>
          </w:p>
        </w:tc>
      </w:tr>
    </w:tbl>
    <w:p>
      <w:pPr>
        <w:sectPr>
          <w:pgSz w:w="11900" w:h="16838" w:orient="portrait"/>
          <w:cols w:equalWidth="0" w:num="1">
            <w:col w:w="11240"/>
          </w:cols>
          <w:pgMar w:left="320" w:top="114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22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 (the “Company”) for the year ended June 30, 2022;</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80" w:firstLine="644"/>
        <w:spacing w:after="0" w:line="266" w:lineRule="auto"/>
        <w:tabs>
          <w:tab w:leader="none" w:pos="16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year ended June 30, 2022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4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22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 (the “Company”) for the year ended June 30, 2022;</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 w:firstLine="656"/>
        <w:spacing w:after="0" w:line="282" w:lineRule="auto"/>
        <w:tabs>
          <w:tab w:leader="none" w:pos="9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644"/>
        <w:spacing w:after="0" w:line="266" w:lineRule="auto"/>
        <w:tabs>
          <w:tab w:leader="none" w:pos="161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312" w:lineRule="auto"/>
        <w:tabs>
          <w:tab w:leader="none" w:pos="161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80" w:firstLine="644"/>
        <w:spacing w:after="0" w:line="266" w:lineRule="auto"/>
        <w:tabs>
          <w:tab w:leader="none" w:pos="16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year ended June 30, 2022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656"/>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60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1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4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2022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 Director</w:t>
            </w: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2022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President, Co-Chief Executive Officer (Principal Executive Officer)</w:t>
            </w:r>
          </w:p>
        </w:tc>
      </w:tr>
      <w:tr>
        <w:trPr>
          <w:trHeight w:val="243"/>
        </w:trPr>
        <w:tc>
          <w:tcPr>
            <w:tcW w:w="576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34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2022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50"/>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297"/>
        </w:trPr>
        <w:tc>
          <w:tcPr>
            <w:tcW w:w="576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2"/>
    </w:lvl>
  </w:abstractNum>
  <w:abstractNum w:abstractNumId="19">
    <w:nsid w:val="2CD89A32"/>
    <w:multiLevelType w:val="hybridMultilevel"/>
    <w:lvl w:ilvl="0">
      <w:lvlJc w:val="left"/>
      <w:lvlText w:val="(%1)"/>
      <w:numFmt w:val="lowerLetter"/>
      <w:start w:val="3"/>
    </w:lvl>
  </w:abstractNum>
  <w:abstractNum w:abstractNumId="20">
    <w:nsid w:val="57E4CCAF"/>
    <w:multiLevelType w:val="hybridMultilevel"/>
    <w:lvl w:ilvl="0">
      <w:lvlJc w:val="left"/>
      <w:lvlText w:val="(%1)"/>
      <w:numFmt w:val="lowerLetter"/>
      <w:start w:val="4"/>
    </w:lvl>
  </w:abstractNum>
  <w:abstractNum w:abstractNumId="21">
    <w:nsid w:val="7A6D8D3C"/>
    <w:multiLevelType w:val="hybridMultilevel"/>
    <w:lvl w:ilvl="0">
      <w:lvlJc w:val="left"/>
      <w:lvlText w:val="(%1)"/>
      <w:numFmt w:val="lowerLetter"/>
      <w:start w:val="5"/>
    </w:lvl>
  </w:abstractNum>
  <w:abstractNum w:abstractNumId="22">
    <w:nsid w:val="4B588F54"/>
    <w:multiLevelType w:val="hybridMultilevel"/>
    <w:lvl w:ilvl="0">
      <w:lvlJc w:val="left"/>
      <w:lvlText w:val="(%1)"/>
      <w:numFmt w:val="lowerLetter"/>
      <w:start w:val="6"/>
    </w:lvl>
  </w:abstractNum>
  <w:abstractNum w:abstractNumId="23">
    <w:nsid w:val="542289EC"/>
    <w:multiLevelType w:val="hybridMultilevel"/>
    <w:lvl w:ilvl="0">
      <w:lvlJc w:val="left"/>
      <w:lvlText w:val="(%1)"/>
      <w:numFmt w:val="lowerLetter"/>
      <w:start w:val="7"/>
    </w:lvl>
  </w:abstractNum>
  <w:abstractNum w:abstractNumId="24">
    <w:nsid w:val="6DE91B18"/>
    <w:multiLevelType w:val="hybridMultilevel"/>
    <w:lvl w:ilvl="0">
      <w:lvlJc w:val="left"/>
      <w:lvlText w:val="(%1)"/>
      <w:numFmt w:val="lowerLetter"/>
      <w:start w:val="8"/>
    </w:lvl>
  </w:abstractNum>
  <w:abstractNum w:abstractNumId="25">
    <w:nsid w:val="38437FDB"/>
    <w:multiLevelType w:val="hybridMultilevel"/>
    <w:lvl w:ilvl="0">
      <w:lvlJc w:val="left"/>
      <w:lvlText w:val="(%1)"/>
      <w:numFmt w:val="lowerRoman"/>
      <w:start w:val="1"/>
    </w:lvl>
  </w:abstractNum>
  <w:abstractNum w:abstractNumId="26">
    <w:nsid w:val="7644A45C"/>
    <w:multiLevelType w:val="hybridMultilevel"/>
    <w:lvl w:ilvl="0">
      <w:lvlJc w:val="left"/>
      <w:lvlText w:val="(%1)"/>
      <w:numFmt w:val="lowerLetter"/>
      <w:start w:val="10"/>
    </w:lvl>
  </w:abstractNum>
  <w:abstractNum w:abstractNumId="27">
    <w:nsid w:val="32FFF902"/>
    <w:multiLevelType w:val="hybridMultilevel"/>
    <w:lvl w:ilvl="0">
      <w:lvlJc w:val="left"/>
      <w:lvlText w:val="(%1)"/>
      <w:numFmt w:val="lowerLetter"/>
      <w:start w:val="11"/>
    </w:lvl>
  </w:abstractNum>
  <w:abstractNum w:abstractNumId="28">
    <w:nsid w:val="684A481A"/>
    <w:multiLevelType w:val="hybridMultilevel"/>
    <w:lvl w:ilvl="0">
      <w:lvlJc w:val="left"/>
      <w:lvlText w:val="(%1)"/>
      <w:numFmt w:val="lowerLetter"/>
      <w:start w:val="12"/>
    </w:lvl>
  </w:abstractNum>
  <w:abstractNum w:abstractNumId="29">
    <w:nsid w:val="579478FE"/>
    <w:multiLevelType w:val="hybridMultilevel"/>
    <w:lvl w:ilvl="0">
      <w:lvlJc w:val="left"/>
      <w:lvlText w:val="(%1)"/>
      <w:numFmt w:val="lowerLetter"/>
      <w:start w:val="13"/>
    </w:lvl>
  </w:abstractNum>
  <w:abstractNum w:abstractNumId="30">
    <w:nsid w:val="749ABB43"/>
    <w:multiLevelType w:val="hybridMultilevel"/>
    <w:lvl w:ilvl="0">
      <w:lvlJc w:val="left"/>
      <w:lvlText w:val="(%1)"/>
      <w:numFmt w:val="lowerLetter"/>
      <w:start w:val="14"/>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lowerLetter"/>
      <w:start w:val="15"/>
    </w:lvl>
  </w:abstractNum>
  <w:abstractNum w:abstractNumId="34">
    <w:nsid w:val="75C6C33A"/>
    <w:multiLevelType w:val="hybridMultilevel"/>
    <w:lvl w:ilvl="0">
      <w:lvlJc w:val="left"/>
      <w:lvlText w:val="(%1)"/>
      <w:numFmt w:val="lowerLetter"/>
      <w:start w:val="16"/>
    </w:lvl>
  </w:abstractNum>
  <w:abstractNum w:abstractNumId="35">
    <w:nsid w:val="12E685FB"/>
    <w:multiLevelType w:val="hybridMultilevel"/>
    <w:lvl w:ilvl="0">
      <w:lvlJc w:val="left"/>
      <w:lvlText w:val="(%1)"/>
      <w:numFmt w:val="lowerLetter"/>
      <w:start w:val="17"/>
    </w:lvl>
  </w:abstractNum>
  <w:abstractNum w:abstractNumId="36">
    <w:nsid w:val="70C6A529"/>
    <w:multiLevelType w:val="hybridMultilevel"/>
    <w:lvl w:ilvl="0">
      <w:lvlJc w:val="left"/>
      <w:lvlText w:val="(%1)"/>
      <w:numFmt w:val="lowerLetter"/>
      <w:start w:val="18"/>
    </w:lvl>
  </w:abstractNum>
  <w:abstractNum w:abstractNumId="37">
    <w:nsid w:val="520EEDD1"/>
    <w:multiLevelType w:val="hybridMultilevel"/>
    <w:lvl w:ilvl="0">
      <w:lvlJc w:val="left"/>
      <w:lvlText w:val="(%1)"/>
      <w:numFmt w:val="lowerLetter"/>
      <w:start w:val="19"/>
    </w:lvl>
  </w:abstractNum>
  <w:abstractNum w:abstractNumId="38">
    <w:nsid w:val="374A3FE6"/>
    <w:multiLevelType w:val="hybridMultilevel"/>
    <w:lvl w:ilvl="0">
      <w:lvlJc w:val="left"/>
      <w:lvlText w:val="(%1)"/>
      <w:numFmt w:val="lowerLetter"/>
      <w:start w:val="20"/>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3"/>
    </w:lvl>
    <w:lvl w:ilvl="1">
      <w:lvlJc w:val="left"/>
      <w:lvlText w:val="(%2)"/>
      <w:numFmt w:val="lowerLetter"/>
      <w:start w:val="1"/>
    </w:lvl>
  </w:abstractNum>
  <w:abstractNum w:abstractNumId="41">
    <w:nsid w:val="649BB77C"/>
    <w:multiLevelType w:val="hybridMultilevel"/>
    <w:lvl w:ilvl="0">
      <w:lvlJc w:val="left"/>
      <w:lvlText w:val="(%1)"/>
      <w:numFmt w:val="lowerLetter"/>
      <w:start w:val="2"/>
    </w:lvl>
  </w:abstractNum>
  <w:abstractNum w:abstractNumId="42">
    <w:nsid w:val="275AC794"/>
    <w:multiLevelType w:val="hybridMultilevel"/>
    <w:lvl w:ilvl="0">
      <w:lvlJc w:val="left"/>
      <w:lvlText w:val="(%1)"/>
      <w:numFmt w:val="lowerLetter"/>
      <w:start w:val="3"/>
    </w:lvl>
  </w:abstractNum>
  <w:abstractNum w:abstractNumId="43">
    <w:nsid w:val="39386575"/>
    <w:multiLevelType w:val="hybridMultilevel"/>
    <w:lvl w:ilvl="0">
      <w:lvlJc w:val="left"/>
      <w:lvlText w:val="(%1)"/>
      <w:numFmt w:val="decimal"/>
      <w:start w:val="994"/>
    </w:lvl>
  </w:abstractNum>
  <w:abstractNum w:abstractNumId="44">
    <w:nsid w:val="1CF10FD8"/>
    <w:multiLevelType w:val="hybridMultilevel"/>
    <w:lvl w:ilvl="0">
      <w:lvlJc w:val="left"/>
      <w:lvlText w:val="(%1)"/>
      <w:numFmt w:val="decimal"/>
      <w:start w:val="14"/>
    </w:lvl>
  </w:abstractNum>
  <w:abstractNum w:abstractNumId="45">
    <w:nsid w:val="180115BE"/>
    <w:multiLevelType w:val="hybridMultilevel"/>
    <w:lvl w:ilvl="0">
      <w:lvlJc w:val="left"/>
      <w:lvlText w:val="(%1)"/>
      <w:numFmt w:val="decimal"/>
      <w:start w:val="15"/>
    </w:lvl>
    <w:lvl w:ilvl="1">
      <w:lvlJc w:val="left"/>
      <w:lvlText w:val="(%2)"/>
      <w:numFmt w:val="lowerLetter"/>
      <w:start w:val="1"/>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lowerLetter"/>
      <w:start w:val="3"/>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1"/>
      <w:numFmt w:val="decimal"/>
      <w:start w:val="1"/>
    </w:lvl>
    <w:lvl w:ilvl="1">
      <w:lvlJc w:val="left"/>
      <w:lvlText w:val="(%2)"/>
      <w:numFmt w:val="lowerLetter"/>
      <w:start w:val="1"/>
    </w:lvl>
  </w:abstractNum>
  <w:abstractNum w:abstractNumId="53">
    <w:nsid w:val="3F6AB60F"/>
    <w:multiLevelType w:val="hybridMultilevel"/>
    <w:lvl w:ilvl="0">
      <w:lvlJc w:val="left"/>
      <w:lvlText w:val="%1."/>
      <w:numFmt w:val="decimal"/>
      <w:start w:val="5"/>
    </w:lvl>
    <w:lvl w:ilvl="1">
      <w:lvlJc w:val="left"/>
      <w:lvlText w:val="%2"/>
      <w:numFmt w:val="lowerLetter"/>
      <w:start w:val="1"/>
    </w:lvl>
  </w:abstractNum>
  <w:abstractNum w:abstractNumId="54">
    <w:nsid w:val="61574095"/>
    <w:multiLevelType w:val="hybridMultilevel"/>
    <w:lvl w:ilvl="0">
      <w:lvlJc w:val="left"/>
      <w:lvlText w:val="%1."/>
      <w:numFmt w:val="decimal"/>
      <w:start w:val="7"/>
    </w:lvl>
  </w:abstractNum>
  <w:abstractNum w:abstractNumId="55">
    <w:nsid w:val="7E0C57B1"/>
    <w:multiLevelType w:val="hybridMultilevel"/>
    <w:lvl w:ilvl="0">
      <w:lvlJc w:val="left"/>
      <w:lvlText w:val="%1."/>
      <w:numFmt w:val="decimal"/>
      <w:start w:val="8"/>
    </w:lvl>
  </w:abstractNum>
  <w:abstractNum w:abstractNumId="56">
    <w:nsid w:val="77AE35EB"/>
    <w:multiLevelType w:val="hybridMultilevel"/>
    <w:lvl w:ilvl="0">
      <w:lvlJc w:val="left"/>
      <w:lvlText w:val="%1."/>
      <w:numFmt w:val="decimal"/>
      <w:start w:val="9"/>
    </w:lvl>
    <w:lvl w:ilvl="1">
      <w:lvlJc w:val="left"/>
      <w:lvlText w:val="(%2)"/>
      <w:numFmt w:val="lowerLetter"/>
      <w:start w:val="1"/>
    </w:lvl>
  </w:abstractNum>
  <w:abstractNum w:abstractNumId="57">
    <w:nsid w:val="579BE4F1"/>
    <w:multiLevelType w:val="hybridMultilevel"/>
    <w:lvl w:ilvl="0">
      <w:lvlJc w:val="left"/>
      <w:lvlText w:val="%1"/>
      <w:numFmt w:val="decimal"/>
      <w:start w:val="1"/>
    </w:lvl>
    <w:lvl w:ilvl="1">
      <w:lvlJc w:val="left"/>
      <w:lvlText w:val="(%2)"/>
      <w:numFmt w:val="decimal"/>
      <w:start w:val="2"/>
    </w:lvl>
    <w:lvl w:ilvl="2">
      <w:lvlJc w:val="left"/>
      <w:lvlText w:val="(%3)"/>
      <w:numFmt w:val="lowerLetter"/>
      <w:start w:val="4"/>
    </w:lvl>
  </w:abstractNum>
  <w:abstractNum w:abstractNumId="58">
    <w:nsid w:val="310C50B3"/>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59">
    <w:nsid w:val="5FF87E05"/>
    <w:multiLevelType w:val="hybridMultilevel"/>
    <w:lvl w:ilvl="0">
      <w:lvlJc w:val="left"/>
      <w:lvlText w:val="%1."/>
      <w:numFmt w:val="decimal"/>
      <w:start w:val="11"/>
    </w:lvl>
  </w:abstractNum>
  <w:abstractNum w:abstractNumId="60">
    <w:nsid w:val="2F305DEF"/>
    <w:multiLevelType w:val="hybridMultilevel"/>
    <w:lvl w:ilvl="0">
      <w:lvlJc w:val="left"/>
      <w:lvlText w:val="%1."/>
      <w:numFmt w:val="decimal"/>
      <w:start w:val="13"/>
    </w:lvl>
  </w:abstractNum>
  <w:abstractNum w:abstractNumId="61">
    <w:nsid w:val="25A70BF7"/>
    <w:multiLevelType w:val="hybridMultilevel"/>
    <w:lvl w:ilvl="0">
      <w:lvlJc w:val="left"/>
      <w:lvlText w:val="%1."/>
      <w:numFmt w:val="decimal"/>
      <w:start w:val="14"/>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5"/>
    </w:lvl>
  </w:abstractNum>
  <w:abstractNum w:abstractNumId="64">
    <w:nsid w:val="1F48EAA1"/>
    <w:multiLevelType w:val="hybridMultilevel"/>
    <w:lvl w:ilvl="0">
      <w:lvlJc w:val="left"/>
      <w:lvlText w:val="%1."/>
      <w:numFmt w:val="decimal"/>
      <w:start w:val="16"/>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44" Type="http://schemas.openxmlformats.org/officeDocument/2006/relationships/hyperlink" Target="https://www.sec.gov/ix?doc=/Archives/edgar/data/1591698/000155837021010711/pcty-20210630x10k.htm" TargetMode="External"/><Relationship Id="rId66" Type="http://schemas.openxmlformats.org/officeDocument/2006/relationships/hyperlink" Target="http://www.sec.gov/Archives/edgar/data/1591698/000104746914000464/a2218017zex-2_1.htm" TargetMode="External"/><Relationship Id="rId67" Type="http://schemas.openxmlformats.org/officeDocument/2006/relationships/hyperlink" Target="https://www.sec.gov/Archives/edgar/data/1591698/000159169821000013/pcty-20211201xexhibit31.htm" TargetMode="External"/><Relationship Id="rId68" Type="http://schemas.openxmlformats.org/officeDocument/2006/relationships/hyperlink" Target="https://www.sec.gov/Archives/edgar/data/1591698/000159169821000013/pcty-20211201xexhibit32.htm" TargetMode="External"/><Relationship Id="rId69" Type="http://schemas.openxmlformats.org/officeDocument/2006/relationships/hyperlink" Target="http://www.sec.gov/Archives/edgar/data/1591698/000104746914000464/a2218017zex-4_1.htm" TargetMode="External"/><Relationship Id="rId70" Type="http://schemas.openxmlformats.org/officeDocument/2006/relationships/hyperlink" Target="http://www.sec.gov/Archives/edgar/data/1591698/000104746914000464/a2218017zex-10_2.htm" TargetMode="External"/><Relationship Id="rId71" Type="http://schemas.openxmlformats.org/officeDocument/2006/relationships/hyperlink" Target="http://www.sec.gov/Archives/edgar/data/1591698/000104746914000464/a2218017zex-10_3.htm" TargetMode="External"/><Relationship Id="rId72" Type="http://schemas.openxmlformats.org/officeDocument/2006/relationships/hyperlink" Target="http://www.sec.gov/Archives/edgar/data/1591698/000104746914000464/a2218017zex-10_31.htm" TargetMode="External"/><Relationship Id="rId73" Type="http://schemas.openxmlformats.org/officeDocument/2006/relationships/hyperlink" Target="http://www.sec.gov/Archives/edgar/data/1591698/000104746914000464/a2218017zex-10_32.htm" TargetMode="External"/><Relationship Id="rId74" Type="http://schemas.openxmlformats.org/officeDocument/2006/relationships/hyperlink" Target="http://www.sec.gov/Archives/edgar/data/1591698/000104746914000931/a2218171zex-10_4.htm" TargetMode="External"/><Relationship Id="rId75" Type="http://schemas.openxmlformats.org/officeDocument/2006/relationships/hyperlink" Target="https://www.sec.gov/Archives/edgar/data/0001591698/000110465920096509/tm2027535d1_ex10-1.htm" TargetMode="External"/><Relationship Id="rId76" Type="http://schemas.openxmlformats.org/officeDocument/2006/relationships/hyperlink" Target="https://www.sec.gov/Archives/edgar/data/1591698/000159169822000064/pcty-20220331x10qex105.htm" TargetMode="External"/><Relationship Id="rId77" Type="http://schemas.openxmlformats.org/officeDocument/2006/relationships/hyperlink" Target="http://www.sec.gov/Archives/edgar/data/1591698/000104746914000931/a2218171zex-10_5.htm" TargetMode="External"/><Relationship Id="rId78" Type="http://schemas.openxmlformats.org/officeDocument/2006/relationships/hyperlink" Target="http://www.sec.gov/Archives/edgar/data/1591698/000104746914000931/a2218171zex-10_7.htm" TargetMode="External"/><Relationship Id="rId79" Type="http://schemas.openxmlformats.org/officeDocument/2006/relationships/hyperlink" Target="http://www.sec.gov/Archives/edgar/data/1591698/000104746914000931/a2218171zex-10_9.htm" TargetMode="External"/><Relationship Id="rId80" Type="http://schemas.openxmlformats.org/officeDocument/2006/relationships/hyperlink" Target="http://www.sec.gov/Archives/edgar/data/1591698/000110465916139345/a16-12777_1ex10d11.htm" TargetMode="External"/><Relationship Id="rId81" Type="http://schemas.openxmlformats.org/officeDocument/2006/relationships/hyperlink" Target="http://www.sec.gov/Archives/edgar/data/1591698/000110465916125126/a16-12426_1ex10d1.htm" TargetMode="External"/><Relationship Id="rId82" Type="http://schemas.openxmlformats.org/officeDocument/2006/relationships/hyperlink" Target="https://www.sec.gov/Archives/edgar/data/0001591698/000110465919040751/a19-12817_1ex10d1.htm" TargetMode="External"/><Relationship Id="rId85" Type="http://schemas.openxmlformats.org/officeDocument/2006/relationships/hyperlink" Target="https://www.sec.gov/Archives/edgar/data/0001591698/000110465921111860/tm2126413d1_ex10-1.htm" TargetMode="External"/><Relationship Id="rId86" Type="http://schemas.openxmlformats.org/officeDocument/2006/relationships/hyperlink" Target="https://www.sec.gov/Archives/edgar/data/1591698/000159169822000045/pcty-202203118xkexhibit101.htm" TargetMode="External"/><Relationship Id="rId87" Type="http://schemas.openxmlformats.org/officeDocument/2006/relationships/hyperlink" Target="https://www.sec.gov/Archives/edgar/data/1591698/000159169822000045/pcty-202203118xkexhibit102.htm" TargetMode="External"/><Relationship Id="rId88" Type="http://schemas.openxmlformats.org/officeDocument/2006/relationships/hyperlink" Target="https://www.sec.gov/Archives/edgar/data/1591698/000159169822000045/pcty-202203118xkexhibit103.htm" TargetMode="External"/><Relationship Id="rId89" Type="http://schemas.openxmlformats.org/officeDocument/2006/relationships/hyperlink" Target="https://www.sec.gov/Archives/edgar/data/1591698/000159169822000045/pcty-202203118xkexhibit104.htm" TargetMode="External"/><Relationship Id="rId90" Type="http://schemas.openxmlformats.org/officeDocument/2006/relationships/hyperlink" Target="http://www.sec.gov/Archives/edgar/data/1591698/000110465914062738/a14-14198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2022-08-05T09:22:53Z</dcterms:created>
  <dcterms:modified xsi:type="dcterms:W3CDTF">2022-08-05T09:22:53Z</dcterms:modified>
</cp:coreProperties>
</file>