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56,431,253 shares of Common Stock, $0.001 par value per share, as of 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492,695</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92,450</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655,335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3,591,198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4,246,533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333,393</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4,953,037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175,756</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2,625,355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3,589,437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3,765,193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33,534</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3,853,623</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2023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2023 and March 31, 2024; 55,912</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at June 30, 2023 and 56,427 shares issued and outstanding at March 31, 2024</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624,637</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1,099,414</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4,953,037</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500" w:right="242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816,010</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956,941</w:t>
            </w: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88,287</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1,045,228</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324,849</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720,379</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246,940</w:t>
            </w:r>
          </w:p>
        </w:tc>
      </w:tr>
      <w:tr>
        <w:trPr>
          <w:trHeight w:val="22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134,130</w:t>
            </w:r>
          </w:p>
        </w:tc>
      </w:tr>
      <w:tr>
        <w:trPr>
          <w:trHeight w:val="230"/>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142,125</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523,195</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197,184</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208,533</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50,586</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161,769</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4"/>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4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56,555</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57,048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56,560</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56,975</w:t>
            </w:r>
          </w:p>
        </w:tc>
      </w:tr>
      <w:tr>
        <w:trPr>
          <w:trHeight w:val="21"/>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56"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18"/>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9"/>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7"/>
              <w:spacing w:after="0" w:line="136"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371,820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(4,159)</w:t>
            </w:r>
          </w:p>
        </w:tc>
        <w:tc>
          <w:tcPr>
            <w:tcW w:w="260" w:type="dxa"/>
            <w:vAlign w:val="bottom"/>
            <w:tcBorders>
              <w:bottom w:val="single" w:sz="8" w:color="CCEEFF"/>
            </w:tcBorders>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677,767</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(4,993)</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(4,993)</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57,616</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57,616</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55,810</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3"/>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341,494</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gridSpan w:val="3"/>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429,436</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gridSpan w:val="4"/>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768,746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20" w:type="dxa"/>
            <w:vAlign w:val="bottom"/>
            <w:gridSpan w:val="18"/>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9"/>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56,313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446,860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539,323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986,773</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39,221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(12,216)</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(12,216)</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85,314</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85,314</w:t>
            </w:r>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2024</w:t>
            </w:r>
          </w:p>
        </w:tc>
        <w:tc>
          <w:tcPr>
            <w:tcW w:w="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56,427</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475,414</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3"/>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624,637</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1,099,414</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8"/>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 March 31, 2023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9"/>
          </w:tcPr>
          <w:p>
            <w:pPr>
              <w:jc w:val="right"/>
              <w:ind w:right="520"/>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137"/>
              <w:spacing w:after="0" w:line="136"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289,843</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5"/>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325,868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613,463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127,373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103,568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341,494</w:t>
            </w:r>
          </w:p>
        </w:tc>
        <w:tc>
          <w:tcPr>
            <w:tcW w:w="40" w:type="dxa"/>
            <w:vAlign w:val="bottom"/>
            <w:shd w:val="clear" w:color="auto" w:fill="CCEEFF"/>
          </w:tcPr>
          <w:p>
            <w:pPr>
              <w:spacing w:after="0"/>
              <w:rPr>
                <w:sz w:val="18"/>
                <w:szCs w:val="18"/>
                <w:color w:val="auto"/>
              </w:rPr>
            </w:pPr>
          </w:p>
        </w:tc>
        <w:tc>
          <w:tcPr>
            <w:tcW w:w="240" w:type="dxa"/>
            <w:vAlign w:val="bottom"/>
            <w:gridSpan w:val="5"/>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429,436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18"/>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 March 31, 2024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9"/>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380,632</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466,690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(4,515)</w:t>
            </w:r>
          </w:p>
        </w:tc>
        <w:tc>
          <w:tcPr>
            <w:tcW w:w="260" w:type="dxa"/>
            <w:vAlign w:val="bottom"/>
            <w:tcBorders>
              <w:bottom w:val="single" w:sz="8" w:color="CCEEFF"/>
            </w:tcBorders>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842,863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131,305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(48,090)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3,822</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157,947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475,414</w:t>
            </w:r>
          </w:p>
        </w:tc>
        <w:tc>
          <w:tcPr>
            <w:tcW w:w="40" w:type="dxa"/>
            <w:vAlign w:val="bottom"/>
            <w:shd w:val="clear" w:color="auto" w:fill="CCEEFF"/>
          </w:tcPr>
          <w:p>
            <w:pPr>
              <w:spacing w:after="0"/>
              <w:rPr>
                <w:sz w:val="18"/>
                <w:szCs w:val="18"/>
                <w:color w:val="auto"/>
              </w:rPr>
            </w:pPr>
          </w:p>
        </w:tc>
        <w:tc>
          <w:tcPr>
            <w:tcW w:w="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624,637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(693)</w:t>
            </w:r>
          </w:p>
        </w:tc>
        <w:tc>
          <w:tcPr>
            <w:tcW w:w="260" w:type="dxa"/>
            <w:vAlign w:val="bottom"/>
            <w:gridSpan w:val="6"/>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157,947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117,165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55,779</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24,856</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304,739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(557,403)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(231,672)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222,712</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(76,410)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964,082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(861,958)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927,524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(954,603)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1,155,853</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3,577,165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492,695</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2,605,158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3,084,470</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3,577,165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2024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2023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ASU is effective for fiscal years beginning after December 15, 2023 and interim periods within fiscal years beginning after December 15, 2024, with early adoption permitted, and will be applied retrospectively to all prior periods presented in the financial statements. The Company is currently assessing the impact of this ASU to its consolidated financial statements and related disclosures and is evaluating the timing of adoption.</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assessing the impact of this ASU to its consolidated financial statements and related disclosures and is evaluating the method and timing of adoption.</w:t>
      </w:r>
    </w:p>
    <w:p>
      <w:pPr>
        <w:spacing w:after="0" w:line="1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917,064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956,941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 payroll processing period or by month. As such, the Company does not recognize contract assets or liabilities related to recurring revenue.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14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33,164</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(8,589)</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$10,442 in fiscal 2024, $13,048 in fiscal 2025 and $2,363 in fiscal 2026 and thereafter.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211,181</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142,703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353,884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240,527</w:t>
            </w:r>
          </w:p>
        </w:tc>
      </w:tr>
      <w:tr>
        <w:trPr>
          <w:trHeight w:val="25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185,316</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March 31,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211,181</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142,703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353,884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March 31, 2024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240,527</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185,316</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$74,270 as of March 31, 2024,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5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preliminary allocation of the purchase price for Trace was approximately $6,473 of goodwill, $4,200 of proprietary technology and other immaterial assets and liabilities which reflects certain immaterial measurement period adjustments recorded during the three months ended March 31, 2024. The Company accounted for this transaction as a business combination and recorded the assets acquired and liabilities assumed at their respective estimated fair values as of the date of the acquisition with the excess consideration paid recorded as goodwill. The fair values of the assets acquired and liabilities assumed are currently provisional and are subject to change over the measurement period as the Company continues to evaluate and analyze the estimates and assumptions used in the valuation. The measurement period will end no later than one year from the acquisition date.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transaction and are not material to the Company. Pro forma information is not presented because the effects of the acquisition are not material to the Company’s consolidated financial statements. The goodwill related to this transaction is primarily attributable to the assembled workforce and growth opportunities from the expansion and enhancement of the Company’s product offerings. The goodwill associated with the Trace acquisition is not deductible for income tax purposes. Direct costs related to the acquisition were immaterial and were expensed as incurred as General and administrative expense in the Unaudited Consolidated Statements of Operations and Comprehensive Income.</w:t>
      </w:r>
    </w:p>
    <w:p>
      <w:pPr>
        <w:sectPr>
          <w:pgSz w:w="11900" w:h="16838" w:orient="portrait"/>
          <w:cols w:equalWidth="0" w:num="1">
            <w:col w:w="11240"/>
          </w:cols>
          <w:pgMar w:left="320" w:top="256" w:right="339" w:bottom="1440" w:gutter="0" w:footer="0" w:header="0"/>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1,620</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713</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248,738</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305,763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(195,082)</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5"/>
              </w:rPr>
              <w:t>110,681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$7,984 and $12,260 for the three months ended March 31, 2023 and 2024, respectively, and $22,504 and $32,471 for the nine months ended March 31, 2023 and 2024,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(87,839)</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$4,633 and $5,220 for the three months ended March 31, 2023 and 2024, respectively, and $13,666 and $15,449 for the nine months ended March 31, 2023 and 2024,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nine months ended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102,054</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 attributable to acquisition</w:t>
            </w: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7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108,527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4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$2,770 and $2,798 for the three months ended March 31, 2023 and 2024, respectively, and $8,311 and $7,859 for the nine months ended March 31, 2023 and 2024, respectively, and is included in Cost of revenues and General and administrative.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March 31, 2024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8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95,787</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27,544</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0" w:type="dxa"/>
            <w:vAlign w:val="bottom"/>
          </w:tcPr>
          <w:p>
            <w:pPr>
              <w:spacing w:after="0"/>
              <w:rPr>
                <w:sz w:val="1"/>
                <w:szCs w:val="1"/>
                <w:color w:val="auto"/>
              </w:rPr>
            </w:pPr>
          </w:p>
        </w:tc>
      </w:tr>
      <w:tr>
        <w:trPr>
          <w:trHeight w:val="27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Corporate Investments and Funds Held for Clients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494,741</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2,916,053</w:t>
            </w:r>
          </w:p>
        </w:tc>
        <w:tc>
          <w:tcPr>
            <w:tcW w:w="10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3,084,470</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256,027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507,388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506,728</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4,084,553</w:t>
            </w:r>
          </w:p>
        </w:tc>
        <w:tc>
          <w:tcPr>
            <w:tcW w:w="10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4,083,893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2023 and March 31, 2024.</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2023 and March 31,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492,695</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4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2,621,415</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3,591,198</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4,083,893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96,665</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344,035</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6"/>
                <w:szCs w:val="16"/>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448,853</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102,208</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156,324</w:t>
            </w: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186,134</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298,978</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nine months ended March 31, 2023 or 2024. All securities in the Company’s portfolio held an A-1 rating or better as of March 31, 2024.</w:t>
      </w:r>
    </w:p>
    <w:p>
      <w:pPr>
        <w:spacing w:after="0" w:line="14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nine months ended March 31, 2023 or 2024. There were no realized gains or losses on the sale of available-for-sale securities for the three or nine months ended March 31, 2023 or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March 31,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123,432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4"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certain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2023 and March 31, 2024 based upon the short-term nature of these assets and liabilities.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2023 or March 31,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288,767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2,132,545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2,910,182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2,421,312</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488,870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492,695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3,084,470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506,728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506,728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4,083,893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3,577,165</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506,728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The Company had no borrowings at June 30, 2023 or March 31, 2024.</w:t>
      </w:r>
    </w:p>
    <w:p>
      <w:pPr>
        <w:spacing w:after="0" w:line="14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at any time prior to revolving credit facility expiration without a premium or a penalty, other than customary “breakage” costs.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5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March 31, 2024,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Company’s stockholders approved the 2023 Equity Incentive Plan (the “2023 Plan”). The 2023 Plan serves as the successor to the 2014 Equity Incentive Plan (the “2014 Plan”) and permits the granting of restricted stock units ("RSUs"), market share units ("MSUs") and other equity incentives at the discretion of the compensation committee of the Company’s board of directors. No new awards have been or will be issued under the 2014 Plan since the effective date of the 2023 Plan. Outstanding awards under the 2014 Plan continue to be subject to the terms and conditions of the 2014 Plan.</w:t>
      </w:r>
    </w:p>
    <w:p>
      <w:pPr>
        <w:spacing w:after="0" w:line="156"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As of March 31, 2024, the Company had 2,090 shares available for future grant under the 2023 Plan, and 1,766 shares were subject to outstanding options or awards. Generally, the Company issues previously unissued shares for the exercise of stock options or vesting of awards; however, shares previously subject to granted awards that are forfeited or net settled at exercise or release may be reissued under the 2023 Plan to satisfy future issuances.</w:t>
      </w:r>
    </w:p>
    <w:p>
      <w:pPr>
        <w:spacing w:after="0" w:line="11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MSUs and the Employee Stock Purchase Plan is included in the following line items in the accompanying unaudited consolidated statements of operations and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27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28,498</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10,997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45,375</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32,638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$2,888 and $3,470 of stock-based compensation expense in its capitalized internal-use software costs in the three months ended March 31, 2023 and 2024, respectively, and $8,984 and $11,435 for the nine months ended March 31, 2023 and 2024, respectively.</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nine months ended March 31, 2024. The table below presents stock option activity during the nine months ended March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2023</w:t>
            </w:r>
          </w:p>
        </w:tc>
        <w:tc>
          <w:tcPr>
            <w:tcW w:w="1480" w:type="dxa"/>
            <w:vAlign w:val="bottom"/>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6"/>
              </w:rPr>
              <w:t>288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46,129</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center"/>
              <w:ind w:left="933"/>
              <w:spacing w:after="0"/>
              <w:rPr>
                <w:sz w:val="20"/>
                <w:szCs w:val="20"/>
                <w:color w:val="auto"/>
              </w:rPr>
            </w:pPr>
            <w:r>
              <w:rPr>
                <w:rFonts w:ascii="Times New Roman" w:cs="Times New Roman" w:eastAsia="Times New Roman" w:hAnsi="Times New Roman"/>
                <w:sz w:val="18"/>
                <w:szCs w:val="18"/>
                <w:color w:val="auto"/>
                <w:w w:val="97"/>
              </w:rPr>
              <w:t>(118)</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March 31, 2024</w:t>
            </w:r>
          </w:p>
        </w:tc>
        <w:tc>
          <w:tcPr>
            <w:tcW w:w="1480" w:type="dxa"/>
            <w:vAlign w:val="bottom"/>
            <w:tcBorders>
              <w:bottom w:val="single" w:sz="8" w:color="auto"/>
            </w:tcBorders>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6"/>
              </w:rPr>
              <w:t>170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2024</w:t>
            </w:r>
          </w:p>
        </w:tc>
        <w:tc>
          <w:tcPr>
            <w:tcW w:w="148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8"/>
                <w:szCs w:val="18"/>
                <w:color w:val="auto"/>
                <w:w w:val="96"/>
              </w:rPr>
              <w:t>170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98"/>
        </w:trPr>
        <w:tc>
          <w:tcPr>
            <w:tcW w:w="5040" w:type="dxa"/>
            <w:vAlign w:val="bottom"/>
          </w:tcPr>
          <w:p>
            <w:pPr>
              <w:spacing w:after="0"/>
              <w:rPr>
                <w:sz w:val="24"/>
                <w:szCs w:val="24"/>
                <w:color w:val="auto"/>
              </w:rPr>
            </w:pPr>
          </w:p>
        </w:tc>
        <w:tc>
          <w:tcPr>
            <w:tcW w:w="14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$2,011 and $13,476 during the three months ended March 31, 2023 and 2024, respectively, and $51,638 and $18,176 for the nine months ended March 31, 2023 and 2024, respectively.</w:t>
      </w:r>
    </w:p>
    <w:p>
      <w:pPr>
        <w:spacing w:after="0" w:line="12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its equity incentive plan with terms determined at the discretion of the compensation committee of the Company’s board of directors. RSUs generally vest over four years following the grant date and have time-based vesting conditions.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nine months ended March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192.77</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212.77</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March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its equity incentive plan with terms determined at the discretion of the compensation committee of the Company's board of directors.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nine months ended March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r>
      <w:tr>
        <w:trPr>
          <w:trHeight w:val="256"/>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March 31,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335.79</w:t>
            </w:r>
          </w:p>
        </w:tc>
      </w:tr>
      <w:tr>
        <w:trPr>
          <w:trHeight w:val="21"/>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- 52.7%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2.75 - 3.04</w:t>
            </w:r>
          </w:p>
        </w:tc>
        <w:tc>
          <w:tcPr>
            <w:tcW w:w="100" w:type="dxa"/>
            <w:vAlign w:val="bottom"/>
          </w:tcPr>
          <w:p>
            <w:pPr>
              <w:spacing w:after="0"/>
              <w:rPr>
                <w:sz w:val="21"/>
                <w:szCs w:val="21"/>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- 4.01%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bl>
    <w:p>
      <w:pPr>
        <w:spacing w:after="0" w:line="25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At March 31, 2024, there was $161,800 of total unrecognized compensation cost, net of estimated forfeitures, related to unvested RSUs and MSUs. That cost is expected to be recognized over a weighted average period of 1.8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statutory damages, attorney’s fees and other costs. 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these matters at this time. The Company intends to vigorously defend against these lawsuits.</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29.3% and 22.9% for the three months ended March 31, 2023 and 2024, respectively. The Company's effective tax rate for the three months ended March 31, 2023 was higher than the federal statutory rate of 21% primarily due to an increase to non-deductible stock-based compensation under Internal Revenue Code Section 162(m) and state and local income taxes. The Company's effective tax rate for the three months ended March 31, 2024 was higher than the federal statutory rate of 21% primarily due to state and local income taxes.</w:t>
      </w:r>
    </w:p>
    <w:p>
      <w:pPr>
        <w:spacing w:after="0" w:line="15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2.9% and 24.3% for the nine months ended March 31, 2023 and 2024, respectively. The Company's effective tax rate for the nine months ended March 31, 2023 was lower than the federal statutory rate of 21% primarily due to excess tax benefits from employee stock-based compensation, research and development tax credits, and a decrease in the valuation allowance. The Company's effective tax rate for the nine months ended March 31, 2024 was higher than the federal statutory rate of 21% primarily due to state and local income 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release of restricted stock units and market share units as of the balance sheet date. The following table presents the calculation of basic and diluted net income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57,616</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85,314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103,568</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157,947</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55,788</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56,216</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11"/>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and market share</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56,555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57,048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56,975</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March 31, 2023 and 2024 that were excluded from the diluted per share calculation for the periods presented because to include them would have been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6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7"/>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April 30, 2024, the Company's Board of Directors approved a share repurchase program (the "Repurchase Program") under which the Company is authorized to purchase (in the aggregate) up to $500,000 of its issued and outstanding common stock. Under the Repurchase Program, shares may be repurchased from time-to-time in open market transactions at prevailing market prices, privately negotiated transactions or by other means, including the use of Rule 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2023 filed with the SEC on August 4,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3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3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20"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$339.9 million for the three months ended March 31, 2023 to $401.3 million for the three months ended March 31, 2024, representing a 18% year-over-year increase. Total revenues increased from $866.1 million for the nine months ended March 31, 2023 to $1,045.2 million for the nine months ended March 31, 2024, representing a 21% year-over-year increase. The increase in year-over-year revenue growth was driven by the strong performance by our sales team and growth in interest income on funds held for clients attributable to rising interest rates and higher average daily balances for funds held for clients due to the addition of new clients as compared to the prior fiscal year.</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7"/>
          <w:szCs w:val="17"/>
          <w:color w:val="auto"/>
        </w:rPr>
        <w:t>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595,812</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720,379</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774,887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1"/>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103,568</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157,947</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50,586</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55,779</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264,880</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122,547</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8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other nonrecurring transaction-related costs and lease exit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w:t>
      </w:r>
    </w:p>
    <w:p>
      <w:pPr>
        <w:spacing w:after="0" w:line="15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a good indicator of our financial results in any given period. Recurring and other revenue accounted for 92% and 91% of our total revenues for the three months ended March 31, 2023 and 2024, respectively, and 94% and 92% of our total revenues for the nine months ended March 31, 2023 and 2024, respectively.</w:t>
      </w:r>
    </w:p>
    <w:p>
      <w:pPr>
        <w:spacing w:after="0" w:line="13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$8.0 million and $12.3 million of capitalized internal-use software costs during the three months ended March 31, 2023 and 2024, respectively, and $22.5 million and $32.5 million of capitalized internal-use software costs for the nine months ended March 31, 2023 and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5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5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2023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30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18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8"/>
        </w:trPr>
        <w:tc>
          <w:tcPr>
            <w:tcW w:w="5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5"/>
        </w:trPr>
        <w:tc>
          <w:tcPr>
            <w:tcW w:w="5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5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57,025</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123,445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134,130</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191,155</w:t>
            </w:r>
          </w:p>
        </w:tc>
      </w:tr>
    </w:tbl>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956,941</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88,287</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339,857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1,045,228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270,333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324,849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720,379</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246,940</w:t>
            </w: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142,125</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490,138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523,195</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11,349</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208,533</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50,586</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Comparison of Three Months Ended March 31, 2023 and 2024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80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4"/>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March 31, 2024 increased by $52.7 million, or 17%, to $366.8 million from $314.2 million for the three months ended March 31, 2023.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2024 increased by $8.8 million, or 34%, to $34.4 million from $25.7 million for the three months ended March 31, 2023. Interest income on funds held for clients increased primarily due to higher interest rates and higher average daily balances for funds held due to the addition of new clients to our client base as compared to the prior fiscal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95,714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115,983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20,269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March 31, 2024 increased by $20.3 million, or 21%, to $116.0 million from $95.7 million for the three months ended March 31, 2023. Cost of revenues increased primarily as a result of the continued growth of our business, in particular, $11.1 million in additional employee-related costs resulting from additional personnel necessary to provide services to new and existing clients, $4.3 million in additional processing and delivery related costs and $4.3 million in additional amortization of internal use software. Gross margin decreased from 72% for the three months ended March 31, 2023 to 71% for the three months ended March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74,064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86,760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12,696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2024 increased by $12.7 million, or 17%, to $86.8 million from $74.1 million for the three months ended March 31, 2023. The increase in sales and marketing expense was primarily due to $9.2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42,323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43,386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increased by $1.1 million, or 3%, to $43.4 million from $42.3 million for the three months ended March 31, 2023. The increase in research and development expenses was primarily due to $6.9 million of additional employee-related costs related to additional development personnel, partially offset by $3.9 million in higher period-over-period capitalized internal-use software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47,379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48,863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2024 increased by $1.5 million, or 3%, to $48.9 million from $47.4 million for the three months ended March 31, 2023. General and administrative expenses increased primarily due to $2.9 million of additional stock-based compensation expense, partially offset by $1.5 million in lower occupancy costs.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March 31, 2024 increased by $3.2 million as compared to the three months ended March 31, 2023. The change in other income was primarily due to higher interest income earned on our cash and cash equivalents as a result of higher interest rates and higher average daily balances of those corporate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29.3% and 22.9% for the three months ended March 31, 2023 and 2024, respectively. Our effective tax rate for the three months ended March 31, 2023 was higher than the federal statutory rate of 21% primarily due to an increase to non-deductible stock-based compensation under Internal Revenue Code Section 162(m) and state and local income taxes. Our effective tax rate for the three months ended March 31, 2024 was higher than the federal statutory rate of 21% primarily due to state and local income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2023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816,010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956,941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50,135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88,287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4"/>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nine months ended March 31, 2024 increased by $140.9 million, or 17%, to $956.9 million from $816.0 million for the nine months ended March 31, 2023.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2024 increased by $38.2 million, or 76%, to $88.3 million from $50.1 million for the nine months ended March 31, 2023. Interest income on funds held for clients increased primarily due to higher interest rates and higher average daily balances for funds held due to the addition of new clients to our client base as compared to the prior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270,333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324,849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54,516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nine months ended March 31, 2024 increased by $54.5 million, or 20%, to $324.8 million from $270.3 million for the nine months ended March 31, 2023. Cost of revenues increased primarily as a result of the continued growth of our business, in particular, $32.8 million in additional employee-related costs resulting from additional personnel necessary to provide services to new and existing clients, $10.1 million in additional processing and delivery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related costs and $10.0 million in additional amortization of internal use software. Gross margin was 69% for both the nine months ended March 31, 2023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220,821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246,940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26,119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2024 increased by $26.1 million, or 12%, to $246.9 million from $220.8 million for the nine months ended March 31, 2023. The increase in sales and marketing expense was primarily due to $19.9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123,445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134,130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March 31, 2024 increased by $10.7 million, or 9%, to $134.1 million from $123.4 million for the nine months ended March 31, 2023. The increase in research and development expenses was primarily due to $24.0 million of additional employee-related costs related to additional development personnel, partially offset by $14.6 million in higher period-over-period capitalized internal-use software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145,872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142,125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2024 decreased by $3.7 million, or 3%, to $142.1 million from $145.9 million for the nine months ended March 31, 2023. General and administrative expenses decreased primarily due to a $4.3 million gain related to lease exit activity during the nine months ended March 31, 2024. Excluding the gain on lease exit activity, general and administrative expenses remained relatively flat year over year as we continue to focus on achieving cost efficiencies as our business scales.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nine months ended March 31, 2024 increased by $10.4 million as compared to the nine months ended March 31, 2023. The change in other income was primarily due to higher interest income earned on our cash and cash equivalents as a result of higher interest rates and higher average daily balances of those corporate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Our effective tax rate was 2.9% and 24.3% for the nine months ended March 31, 2023 and 2024, respectively. Our effective tax rate for the nine months ended March 31, 2023 was lower than the federal statutory rate of 21% primarily due to excess tax benefits from employee stock-based compensation, research and development tax credits, and a decrease 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valuation allowance. Our effective tax rate for the nine months ended March 31, 2024 was higher than the federal statutory rate of 21% primarily due to state and local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2023 included in our Annual Report on Form 10-K filed with the SEC on August 4,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2024, our principal source of liquidity was $492.7 million of cash and cash equivalents. We maintain a credit agreement that provides for a $550.0 million revolving credit facility, which may be increased up to $825.0 million. No amounts were drawn on the revolving credit facility as of March 31, 2024. Refer to Note 8 of the Notes to the Unaudited Consolidated Financial Statements for additional detail on the credit agreement.</w:t>
      </w:r>
    </w:p>
    <w:p>
      <w:pPr>
        <w:spacing w:after="0" w:line="1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money market funds, commercial paper, corporate debt issuances, asset-backed debt securities, certificates of deposit, U.S. treasury securities, U.S. government agency securities and other securities with credit quality ratings of A-1 or higher. As of March 31, 2024, we did not have any corporate investments classified as available-for-sale securities.</w:t>
      </w:r>
    </w:p>
    <w:p>
      <w:pPr>
        <w:spacing w:after="0" w:line="13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(231,672)</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(44,501)</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964,082</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(46,057)</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927,524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1,155,853</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$206.1 million and $304.7 million for the nine months ended March 31, 2023 and 2024, respectively. The change in net cash provided by operating activities from the nine months ended March 31, 2023 to the nine months ended March 31, 2024 was primarily due to improved operating results after adjusting for non-cash items including stock-based compensation expense, depreciation and amortization expense and deferred income tax expense during the nine months ended March 31, 2024 as compared to the nine months ended March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$298.8 million and $76.4 million for the nine months ended March 31, 2023 and 2024,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3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a $325.7 million decrease in purchases of available-for-sale securities, partially offset by $75.4 million less proceeds from the sales and maturities of available-for-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sale securities, $12.0 million in additional amounts paid for acquisitions, net of cash acquired and $13.8 million in additional capitalized internal-use software costs during the nine months ended March 31, 2024 as compared to the nine months ended March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(used in) financing activities was $(862.0) million and $927.5 million for the nine months ended March 31, 2023 and 2024, respectively. The change in net cash provided by (used in) financing activities was primarily the result of an increase in the net change in client fund obligations of $1,749.4 million due to the timing of client funds collected and related remittance of those funds to client employees and taxing authorities during the nine months ended March 31, 2024 as compared to the nine months ended March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2024, our principal commitments consisted of $67.2 million in operating lease obligations, of which $10.3 million is due in the next twelve months. We also had $56.0 million in purchase obligations, of which $36.9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$8.8 million and $11.7 million for the nine months ended March 31, 2023 and 2024, respectively, exclusive of capitalized internal-use software costs of $30.7 million and $44.5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4, 2023 for risks related to our business.</w:t>
      </w:r>
    </w:p>
    <w:p>
      <w:pPr>
        <w:spacing w:after="0" w:line="14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2024, we had cash and cash equivalents of $492.7 million and funds held for clients of $3,591.2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money market funds, commercial paper, corporate debt issuances, asset-backed debt securities, certificates of deposit, U.S. treasury securities, U.S. government agency securities and other.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$8.7 million as of March 31, 2024. An immediate 100-basis point decrease in interest rates would have resulted in an increase in the market value of our available-for-sale securities by $8.7 million as of March 31, 2024. Fluctuations in the value of our available-for-sale securities caused by changes in interest rates are recorded in other comprehensive income and are only realized if we sell the underlying securities.</w:t>
      </w:r>
    </w:p>
    <w:p>
      <w:pPr>
        <w:spacing w:after="0" w:line="143"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12529"/>
        </w:rPr>
        <w:t>, there were no amounts drawn on the credit facility. To the extent that we draw additional amounts under the credit facility, we may be exposed to increased market risk from changes in the underlying index rates, which affects our interest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March 31, 2024,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2023 filed with the SEC on August 4,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following directors and/or officers adopted a “Rule 10b5-1 trading arrangement,” as defined in Item 408(a) of Regulation S-K intending to satisfy the affirmative defense of Rule 10b5-1(c):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Duration (2)</w:t>
            </w:r>
          </w:p>
        </w:tc>
        <w:tc>
          <w:tcPr>
            <w:tcW w:w="1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2960" w:type="dxa"/>
            <w:vAlign w:val="bottom"/>
            <w:vMerge w:val="continue"/>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Stock to be Sold (1)</w:t>
            </w:r>
          </w:p>
        </w:tc>
        <w:tc>
          <w:tcPr>
            <w:tcW w:w="240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Rost</w:t>
            </w:r>
          </w:p>
        </w:tc>
        <w:tc>
          <w:tcPr>
            <w:tcW w:w="2200" w:type="dxa"/>
            <w:vAlign w:val="bottom"/>
            <w:shd w:val="clear" w:color="auto" w:fill="CCEEFF"/>
          </w:tcPr>
          <w:p>
            <w:pPr>
              <w:spacing w:after="0"/>
              <w:rPr>
                <w:sz w:val="20"/>
                <w:szCs w:val="20"/>
                <w:color w:val="auto"/>
              </w:rPr>
            </w:pPr>
          </w:p>
        </w:tc>
        <w:tc>
          <w:tcPr>
            <w:tcW w:w="24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June 17, 2024 - December</w:t>
            </w:r>
          </w:p>
        </w:tc>
        <w:tc>
          <w:tcPr>
            <w:tcW w:w="19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CEEFF"/>
          </w:tcPr>
          <w:p>
            <w:pPr>
              <w:spacing w:after="0"/>
              <w:rPr>
                <w:sz w:val="10"/>
                <w:szCs w:val="10"/>
                <w:color w:val="auto"/>
              </w:rPr>
            </w:pPr>
          </w:p>
        </w:tc>
        <w:tc>
          <w:tcPr>
            <w:tcW w:w="22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Up to 1,856 (3)</w:t>
            </w:r>
          </w:p>
        </w:tc>
        <w:tc>
          <w:tcPr>
            <w:tcW w:w="2400" w:type="dxa"/>
            <w:vAlign w:val="bottom"/>
            <w:vMerge w:val="continue"/>
            <w:shd w:val="clear" w:color="auto" w:fill="CCEEFF"/>
          </w:tcPr>
          <w:p>
            <w:pPr>
              <w:spacing w:after="0"/>
              <w:rPr>
                <w:sz w:val="10"/>
                <w:szCs w:val="10"/>
                <w:color w:val="auto"/>
              </w:rPr>
            </w:pPr>
          </w:p>
        </w:tc>
        <w:tc>
          <w:tcPr>
            <w:tcW w:w="19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March 13, 2024</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 2024</w:t>
            </w:r>
          </w:p>
        </w:tc>
        <w:tc>
          <w:tcPr>
            <w:tcW w:w="0" w:type="dxa"/>
            <w:vAlign w:val="bottom"/>
          </w:tcPr>
          <w:p>
            <w:pPr>
              <w:spacing w:after="0"/>
              <w:rPr>
                <w:sz w:val="1"/>
                <w:szCs w:val="1"/>
                <w:color w:val="auto"/>
              </w:rPr>
            </w:pPr>
          </w:p>
        </w:tc>
      </w:tr>
      <w:tr>
        <w:trPr>
          <w:trHeight w:val="148"/>
        </w:trPr>
        <w:tc>
          <w:tcPr>
            <w:tcW w:w="296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Vice President and Chief Accounting</w:t>
            </w:r>
          </w:p>
        </w:tc>
        <w:tc>
          <w:tcPr>
            <w:tcW w:w="2200" w:type="dxa"/>
            <w:vAlign w:val="bottom"/>
            <w:vMerge w:val="continue"/>
            <w:shd w:val="clear" w:color="auto" w:fill="CCEEFF"/>
          </w:tcPr>
          <w:p>
            <w:pPr>
              <w:spacing w:after="0"/>
              <w:rPr>
                <w:sz w:val="12"/>
                <w:szCs w:val="12"/>
                <w:color w:val="auto"/>
              </w:rPr>
            </w:pPr>
          </w:p>
        </w:tc>
        <w:tc>
          <w:tcPr>
            <w:tcW w:w="2400" w:type="dxa"/>
            <w:vAlign w:val="bottom"/>
            <w:vMerge w:val="restart"/>
            <w:shd w:val="clear" w:color="auto" w:fill="CCEEFF"/>
          </w:tcPr>
          <w:p>
            <w:pPr>
              <w:jc w:val="right"/>
              <w:ind w:right="290"/>
              <w:spacing w:after="0" w:line="184" w:lineRule="exact"/>
              <w:rPr>
                <w:sz w:val="20"/>
                <w:szCs w:val="20"/>
                <w:color w:val="auto"/>
              </w:rPr>
            </w:pPr>
            <w:r>
              <w:rPr>
                <w:rFonts w:ascii="Times New Roman" w:cs="Times New Roman" w:eastAsia="Times New Roman" w:hAnsi="Times New Roman"/>
                <w:sz w:val="18"/>
                <w:szCs w:val="18"/>
                <w:color w:val="auto"/>
              </w:rPr>
              <w:t>1, 2024</w:t>
            </w:r>
          </w:p>
        </w:tc>
        <w:tc>
          <w:tcPr>
            <w:tcW w:w="1980" w:type="dxa"/>
            <w:vAlign w:val="bottom"/>
            <w:vMerge w:val="continue"/>
            <w:shd w:val="clear" w:color="auto" w:fill="CCEEFF"/>
          </w:tcPr>
          <w:p>
            <w:pPr>
              <w:spacing w:after="0"/>
              <w:rPr>
                <w:sz w:val="12"/>
                <w:szCs w:val="12"/>
                <w:color w:val="auto"/>
              </w:rPr>
            </w:pPr>
          </w:p>
        </w:tc>
        <w:tc>
          <w:tcPr>
            <w:tcW w:w="1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960" w:type="dxa"/>
            <w:vAlign w:val="bottom"/>
            <w:vMerge w:val="continue"/>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2400" w:type="dxa"/>
            <w:vAlign w:val="bottom"/>
            <w:vMerge w:val="continue"/>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2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Scutt</w:t>
            </w:r>
          </w:p>
        </w:tc>
        <w:tc>
          <w:tcPr>
            <w:tcW w:w="2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Up to 3,691 (3)</w:t>
            </w:r>
          </w:p>
        </w:tc>
        <w:tc>
          <w:tcPr>
            <w:tcW w:w="24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June 12, 2024 - March 13,</w:t>
            </w:r>
          </w:p>
        </w:tc>
        <w:tc>
          <w:tcPr>
            <w:tcW w:w="1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March 13, 2024</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March 13, 2025</w:t>
            </w: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Senior Vice President of Sales</w:t>
            </w:r>
          </w:p>
        </w:tc>
        <w:tc>
          <w:tcPr>
            <w:tcW w:w="2200" w:type="dxa"/>
            <w:vAlign w:val="bottom"/>
            <w:vMerge w:val="continue"/>
          </w:tcPr>
          <w:p>
            <w:pPr>
              <w:spacing w:after="0"/>
              <w:rPr>
                <w:sz w:val="12"/>
                <w:szCs w:val="12"/>
                <w:color w:val="auto"/>
              </w:rPr>
            </w:pPr>
          </w:p>
        </w:tc>
        <w:tc>
          <w:tcPr>
            <w:tcW w:w="24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98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96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960" w:type="dxa"/>
            <w:vAlign w:val="bottom"/>
            <w:vMerge w:val="continue"/>
          </w:tcPr>
          <w:p>
            <w:pPr>
              <w:spacing w:after="0"/>
              <w:rPr>
                <w:sz w:val="8"/>
                <w:szCs w:val="8"/>
                <w:color w:val="auto"/>
              </w:rPr>
            </w:pPr>
          </w:p>
        </w:tc>
        <w:tc>
          <w:tcPr>
            <w:tcW w:w="2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Toby J. Williams</w:t>
            </w:r>
          </w:p>
        </w:tc>
        <w:tc>
          <w:tcPr>
            <w:tcW w:w="2200" w:type="dxa"/>
            <w:vAlign w:val="bottom"/>
            <w:shd w:val="clear" w:color="auto" w:fill="CCEEFF"/>
          </w:tcPr>
          <w:p>
            <w:pPr>
              <w:spacing w:after="0"/>
              <w:rPr>
                <w:sz w:val="20"/>
                <w:szCs w:val="20"/>
                <w:color w:val="auto"/>
              </w:rPr>
            </w:pPr>
          </w:p>
        </w:tc>
        <w:tc>
          <w:tcPr>
            <w:tcW w:w="24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August 14, 2024 - March</w:t>
            </w:r>
          </w:p>
        </w:tc>
        <w:tc>
          <w:tcPr>
            <w:tcW w:w="19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CEEFF"/>
          </w:tcPr>
          <w:p>
            <w:pPr>
              <w:spacing w:after="0"/>
              <w:rPr>
                <w:sz w:val="10"/>
                <w:szCs w:val="10"/>
                <w:color w:val="auto"/>
              </w:rPr>
            </w:pPr>
          </w:p>
        </w:tc>
        <w:tc>
          <w:tcPr>
            <w:tcW w:w="220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16,000</w:t>
            </w:r>
          </w:p>
        </w:tc>
        <w:tc>
          <w:tcPr>
            <w:tcW w:w="2400" w:type="dxa"/>
            <w:vAlign w:val="bottom"/>
            <w:vMerge w:val="continue"/>
            <w:shd w:val="clear" w:color="auto" w:fill="CCEEFF"/>
          </w:tcPr>
          <w:p>
            <w:pPr>
              <w:spacing w:after="0"/>
              <w:rPr>
                <w:sz w:val="10"/>
                <w:szCs w:val="10"/>
                <w:color w:val="auto"/>
              </w:rPr>
            </w:pPr>
          </w:p>
        </w:tc>
        <w:tc>
          <w:tcPr>
            <w:tcW w:w="19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February 20, 2024</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14, 2025</w:t>
            </w:r>
          </w:p>
        </w:tc>
        <w:tc>
          <w:tcPr>
            <w:tcW w:w="0" w:type="dxa"/>
            <w:vAlign w:val="bottom"/>
          </w:tcPr>
          <w:p>
            <w:pPr>
              <w:spacing w:after="0"/>
              <w:rPr>
                <w:sz w:val="1"/>
                <w:szCs w:val="1"/>
                <w:color w:val="auto"/>
              </w:rPr>
            </w:pPr>
          </w:p>
        </w:tc>
      </w:tr>
      <w:tr>
        <w:trPr>
          <w:trHeight w:val="148"/>
        </w:trPr>
        <w:tc>
          <w:tcPr>
            <w:tcW w:w="296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Co-Chief Executive Officer</w:t>
            </w:r>
          </w:p>
        </w:tc>
        <w:tc>
          <w:tcPr>
            <w:tcW w:w="2200" w:type="dxa"/>
            <w:vAlign w:val="bottom"/>
            <w:vMerge w:val="continue"/>
            <w:shd w:val="clear" w:color="auto" w:fill="CCEEFF"/>
          </w:tcPr>
          <w:p>
            <w:pPr>
              <w:spacing w:after="0"/>
              <w:rPr>
                <w:sz w:val="12"/>
                <w:szCs w:val="12"/>
                <w:color w:val="auto"/>
              </w:rPr>
            </w:pPr>
          </w:p>
        </w:tc>
        <w:tc>
          <w:tcPr>
            <w:tcW w:w="2400" w:type="dxa"/>
            <w:vAlign w:val="bottom"/>
            <w:vMerge w:val="restart"/>
            <w:shd w:val="clear" w:color="auto" w:fill="CCEEFF"/>
          </w:tcPr>
          <w:p>
            <w:pPr>
              <w:jc w:val="right"/>
              <w:ind w:right="290"/>
              <w:spacing w:after="0" w:line="184" w:lineRule="exact"/>
              <w:rPr>
                <w:sz w:val="20"/>
                <w:szCs w:val="20"/>
                <w:color w:val="auto"/>
              </w:rPr>
            </w:pPr>
            <w:r>
              <w:rPr>
                <w:rFonts w:ascii="Times New Roman" w:cs="Times New Roman" w:eastAsia="Times New Roman" w:hAnsi="Times New Roman"/>
                <w:sz w:val="18"/>
                <w:szCs w:val="18"/>
                <w:color w:val="auto"/>
              </w:rPr>
              <w:t>14, 2025</w:t>
            </w:r>
          </w:p>
        </w:tc>
        <w:tc>
          <w:tcPr>
            <w:tcW w:w="1980" w:type="dxa"/>
            <w:vAlign w:val="bottom"/>
            <w:vMerge w:val="continue"/>
            <w:shd w:val="clear" w:color="auto" w:fill="CCEEFF"/>
          </w:tcPr>
          <w:p>
            <w:pPr>
              <w:spacing w:after="0"/>
              <w:rPr>
                <w:sz w:val="12"/>
                <w:szCs w:val="12"/>
                <w:color w:val="auto"/>
              </w:rPr>
            </w:pPr>
          </w:p>
        </w:tc>
        <w:tc>
          <w:tcPr>
            <w:tcW w:w="1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960" w:type="dxa"/>
            <w:vAlign w:val="bottom"/>
            <w:vMerge w:val="continue"/>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2400" w:type="dxa"/>
            <w:vAlign w:val="bottom"/>
            <w:vMerge w:val="continue"/>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Director</w:t>
            </w:r>
          </w:p>
        </w:tc>
        <w:tc>
          <w:tcPr>
            <w:tcW w:w="22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sales is determined, in part, based on pricing triggers outlined in each adopting person's trading arrangement.</w:t>
      </w:r>
    </w:p>
    <w:p>
      <w:pPr>
        <w:spacing w:after="0" w:line="49" w:lineRule="exact"/>
        <w:rPr>
          <w:rFonts w:ascii="Times New Roman" w:cs="Times New Roman" w:eastAsia="Times New Roman" w:hAnsi="Times New Roman"/>
          <w:sz w:val="18"/>
          <w:szCs w:val="18"/>
          <w:color w:val="auto"/>
        </w:rPr>
      </w:pPr>
    </w:p>
    <w:p>
      <w:pPr>
        <w:ind w:left="660" w:right="260" w:hanging="652"/>
        <w:spacing w:after="0" w:line="250" w:lineRule="auto"/>
        <w:tabs>
          <w:tab w:leader="none" w:pos="4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permits transactions through and including the earlier to occur of (a) the completion of all sales or (b) the expiration date listed in the table.</w:t>
      </w:r>
    </w:p>
    <w:p>
      <w:pPr>
        <w:ind w:left="660" w:right="80" w:hanging="652"/>
        <w:spacing w:after="0" w:line="242" w:lineRule="auto"/>
        <w:tabs>
          <w:tab w:leader="none" w:pos="40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subject to certain outstanding equity awards with time-based vesting conditions. The actual number of shares that may be sold will be net of the number of shares withheld by the Company to satisfy tax withholding obligations arising from the vesting of such awards, which is not determinable at this time.</w:t>
      </w:r>
    </w:p>
    <w:p>
      <w:pPr>
        <w:spacing w:after="0" w:line="25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March 31,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8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80" w:type="dxa"/>
            <w:vAlign w:val="bottom"/>
            <w:gridSpan w:val="1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8-K on December 4, 2023 (File No. 001-36348)).</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80" w:type="dxa"/>
            <w:vAlign w:val="bottom"/>
            <w:gridSpan w:val="13"/>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60" w:type="dxa"/>
            <w:vAlign w:val="bottom"/>
            <w:gridSpan w:val="3"/>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264"/>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4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4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100" w:type="dxa"/>
            <w:vAlign w:val="bottom"/>
          </w:tcPr>
          <w:p>
            <w:pPr>
              <w:spacing w:after="0"/>
              <w:rPr>
                <w:sz w:val="22"/>
                <w:szCs w:val="22"/>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60" w:type="dxa"/>
            <w:vAlign w:val="bottom"/>
            <w:gridSpan w:val="6"/>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20" w:type="dxa"/>
            <w:vAlign w:val="bottom"/>
            <w:gridSpan w:val="11"/>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3, 2024</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R. Beauchamp</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Co-Chief Executive Officer (Principal Executive Officer) and</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3, 2024</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3, 2024</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909"/>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0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March 31, 2024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3"/>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0" Type="http://schemas.openxmlformats.org/officeDocument/2006/relationships/hyperlink" Target="https://www.sec.gov/Archives/edgar/data/1591698/000159169823000278/pcty-20231130xexhibit31.htm" TargetMode="External"/><Relationship Id="rId61" Type="http://schemas.openxmlformats.org/officeDocument/2006/relationships/hyperlink" Target="https://www.sec.gov/Archives/edgar/data/1591698/000159169823000278/pcty-20231130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2024-05-03T09:06:13Z</dcterms:created>
  <dcterms:modified xsi:type="dcterms:W3CDTF">2024-05-03T09:06:13Z</dcterms:modified>
</cp:coreProperties>
</file>