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648970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675005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30" w:lineRule="exact"/>
        <w:rPr>
          <w:sz w:val="24"/>
          <w:szCs w:val="24"/>
          <w:color w:val="auto"/>
        </w:rPr>
      </w:pPr>
    </w:p>
    <w:p>
      <w:pPr>
        <w:ind w:left="3040"/>
        <w:spacing w:after="0"/>
        <w:rPr>
          <w:sz w:val="20"/>
          <w:szCs w:val="20"/>
          <w:color w:val="auto"/>
        </w:rPr>
      </w:pPr>
      <w:r>
        <w:rPr>
          <w:rFonts w:ascii="Arial" w:cs="Arial" w:eastAsia="Arial" w:hAnsi="Arial"/>
          <w:sz w:val="14"/>
          <w:szCs w:val="14"/>
          <w:color w:val="auto"/>
        </w:rPr>
        <w:t>________________________________________________________________________</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44" w:lineRule="exact"/>
        <w:rPr>
          <w:sz w:val="24"/>
          <w:szCs w:val="24"/>
          <w:color w:val="auto"/>
        </w:rPr>
      </w:pPr>
    </w:p>
    <w:p>
      <w:pPr>
        <w:ind w:left="3040"/>
        <w:spacing w:after="0"/>
        <w:rPr>
          <w:sz w:val="20"/>
          <w:szCs w:val="20"/>
          <w:color w:val="auto"/>
        </w:rPr>
      </w:pPr>
      <w:r>
        <w:rPr>
          <w:rFonts w:ascii="Arial" w:cs="Arial" w:eastAsia="Arial" w:hAnsi="Arial"/>
          <w:sz w:val="14"/>
          <w:szCs w:val="14"/>
          <w:color w:val="auto"/>
        </w:rPr>
        <w:t>________________________________________________________________________</w:t>
      </w:r>
    </w:p>
    <w:p>
      <w:pPr>
        <w:spacing w:after="0" w:line="163" w:lineRule="exact"/>
        <w:rPr>
          <w:sz w:val="24"/>
          <w:szCs w:val="24"/>
          <w:color w:val="auto"/>
        </w:rPr>
      </w:pPr>
    </w:p>
    <w:p>
      <w:pPr>
        <w:ind w:left="440" w:hanging="41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quarterly period ended December 31, 2021</w:t>
      </w:r>
    </w:p>
    <w:p>
      <w:pPr>
        <w:spacing w:after="0" w:line="167" w:lineRule="exact"/>
        <w:rPr>
          <w:sz w:val="24"/>
          <w:szCs w:val="24"/>
          <w:color w:val="auto"/>
        </w:rPr>
      </w:pPr>
    </w:p>
    <w:p>
      <w:pPr>
        <w:ind w:left="440" w:hanging="414"/>
        <w:spacing w:after="0"/>
        <w:tabs>
          <w:tab w:leader="none" w:pos="440" w:val="left"/>
        </w:tabs>
        <w:numPr>
          <w:ilvl w:val="0"/>
          <w:numId w:val="2"/>
        </w:numPr>
        <w:rPr>
          <w:rFonts w:ascii="Arial" w:cs="Arial" w:eastAsia="Arial" w:hAnsi="Arial"/>
          <w:sz w:val="16"/>
          <w:szCs w:val="16"/>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transition period from to</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001-36348</w:t>
      </w:r>
    </w:p>
    <w:p>
      <w:pPr>
        <w:spacing w:after="0" w:line="17" w:lineRule="exact"/>
        <w:rPr>
          <w:sz w:val="24"/>
          <w:szCs w:val="24"/>
          <w:color w:val="auto"/>
        </w:rPr>
      </w:pPr>
    </w:p>
    <w:p>
      <w:pPr>
        <w:ind w:left="3040"/>
        <w:spacing w:after="0"/>
        <w:rPr>
          <w:sz w:val="20"/>
          <w:szCs w:val="20"/>
          <w:color w:val="auto"/>
        </w:rPr>
      </w:pPr>
      <w:r>
        <w:rPr>
          <w:rFonts w:ascii="Arial" w:cs="Arial" w:eastAsia="Arial" w:hAnsi="Arial"/>
          <w:sz w:val="14"/>
          <w:szCs w:val="14"/>
          <w:color w:val="auto"/>
        </w:rPr>
        <w:t>________________________________________________________________________</w:t>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PAYLOCITY HOLDING CORPORATION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 w:lineRule="exact"/>
        <w:rPr>
          <w:sz w:val="24"/>
          <w:szCs w:val="24"/>
          <w:color w:val="auto"/>
        </w:rPr>
      </w:pPr>
    </w:p>
    <w:p>
      <w:pPr>
        <w:ind w:left="3040"/>
        <w:spacing w:after="0"/>
        <w:rPr>
          <w:sz w:val="20"/>
          <w:szCs w:val="20"/>
          <w:color w:val="auto"/>
        </w:rPr>
      </w:pPr>
      <w:r>
        <w:rPr>
          <w:rFonts w:ascii="Arial" w:cs="Arial" w:eastAsia="Arial" w:hAnsi="Arial"/>
          <w:sz w:val="14"/>
          <w:szCs w:val="14"/>
          <w:color w:val="auto"/>
        </w:rPr>
        <w:t>________________________________________________________________________</w:t>
      </w:r>
    </w:p>
    <w:p>
      <w:pPr>
        <w:spacing w:after="0" w:line="147" w:lineRule="exact"/>
        <w:rPr>
          <w:sz w:val="24"/>
          <w:szCs w:val="24"/>
          <w:color w:val="auto"/>
        </w:rPr>
      </w:pPr>
    </w:p>
    <w:tbl>
      <w:tblPr>
        <w:tblLayout w:type="fixed"/>
        <w:tblInd w:w="1640" w:type="dxa"/>
        <w:tblCellMar>
          <w:top w:w="0" w:type="dxa"/>
          <w:left w:w="0" w:type="dxa"/>
          <w:bottom w:w="0" w:type="dxa"/>
          <w:right w:w="0" w:type="dxa"/>
        </w:tblCellMar>
      </w:tblPr>
      <w:tr>
        <w:trPr>
          <w:trHeight w:val="186"/>
        </w:trPr>
        <w:tc>
          <w:tcPr>
            <w:tcW w:w="238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Delaware</w:t>
            </w:r>
          </w:p>
        </w:tc>
        <w:tc>
          <w:tcPr>
            <w:tcW w:w="4960" w:type="dxa"/>
            <w:vAlign w:val="bottom"/>
          </w:tcPr>
          <w:p>
            <w:pPr>
              <w:jc w:val="right"/>
              <w:ind w:right="108"/>
              <w:spacing w:after="0"/>
              <w:rPr>
                <w:sz w:val="20"/>
                <w:szCs w:val="20"/>
                <w:color w:val="auto"/>
              </w:rPr>
            </w:pPr>
            <w:r>
              <w:rPr>
                <w:rFonts w:ascii="Arial" w:cs="Arial" w:eastAsia="Arial" w:hAnsi="Arial"/>
                <w:sz w:val="14"/>
                <w:szCs w:val="14"/>
                <w:b w:val="1"/>
                <w:bCs w:val="1"/>
                <w:color w:val="auto"/>
              </w:rPr>
              <w:t>46-4066644</w:t>
            </w:r>
          </w:p>
        </w:tc>
      </w:tr>
      <w:tr>
        <w:trPr>
          <w:trHeight w:val="196"/>
        </w:trPr>
        <w:tc>
          <w:tcPr>
            <w:tcW w:w="2380" w:type="dxa"/>
            <w:vAlign w:val="bottom"/>
          </w:tcPr>
          <w:p>
            <w:pPr>
              <w:jc w:val="center"/>
              <w:ind w:right="8"/>
              <w:spacing w:after="0"/>
              <w:rPr>
                <w:sz w:val="20"/>
                <w:szCs w:val="20"/>
                <w:color w:val="auto"/>
              </w:rPr>
            </w:pPr>
            <w:r>
              <w:rPr>
                <w:rFonts w:ascii="Arial" w:cs="Arial" w:eastAsia="Arial" w:hAnsi="Arial"/>
                <w:sz w:val="14"/>
                <w:szCs w:val="14"/>
                <w:color w:val="auto"/>
                <w:w w:val="94"/>
              </w:rPr>
              <w:t>(State or other jurisdiction of</w:t>
            </w:r>
          </w:p>
        </w:tc>
        <w:tc>
          <w:tcPr>
            <w:tcW w:w="4960" w:type="dxa"/>
            <w:vAlign w:val="bottom"/>
          </w:tcPr>
          <w:p>
            <w:pPr>
              <w:jc w:val="center"/>
              <w:ind w:left="3828"/>
              <w:spacing w:after="0"/>
              <w:rPr>
                <w:sz w:val="20"/>
                <w:szCs w:val="20"/>
                <w:color w:val="auto"/>
              </w:rPr>
            </w:pPr>
            <w:r>
              <w:rPr>
                <w:rFonts w:ascii="Arial" w:cs="Arial" w:eastAsia="Arial" w:hAnsi="Arial"/>
                <w:sz w:val="14"/>
                <w:szCs w:val="14"/>
                <w:color w:val="auto"/>
                <w:w w:val="94"/>
              </w:rPr>
              <w:t>(IRS Employer</w:t>
            </w:r>
          </w:p>
        </w:tc>
      </w:tr>
      <w:tr>
        <w:trPr>
          <w:trHeight w:val="182"/>
        </w:trPr>
        <w:tc>
          <w:tcPr>
            <w:tcW w:w="2380" w:type="dxa"/>
            <w:vAlign w:val="bottom"/>
          </w:tcPr>
          <w:p>
            <w:pPr>
              <w:jc w:val="center"/>
              <w:ind w:right="8"/>
              <w:spacing w:after="0"/>
              <w:rPr>
                <w:sz w:val="20"/>
                <w:szCs w:val="20"/>
                <w:color w:val="auto"/>
              </w:rPr>
            </w:pPr>
            <w:r>
              <w:rPr>
                <w:rFonts w:ascii="Arial" w:cs="Arial" w:eastAsia="Arial" w:hAnsi="Arial"/>
                <w:sz w:val="14"/>
                <w:szCs w:val="14"/>
                <w:color w:val="auto"/>
                <w:w w:val="95"/>
              </w:rPr>
              <w:t>incorporation or organization)</w:t>
            </w:r>
          </w:p>
        </w:tc>
        <w:tc>
          <w:tcPr>
            <w:tcW w:w="4960" w:type="dxa"/>
            <w:vAlign w:val="bottom"/>
          </w:tcPr>
          <w:p>
            <w:pPr>
              <w:jc w:val="center"/>
              <w:ind w:left="3828"/>
              <w:spacing w:after="0"/>
              <w:rPr>
                <w:sz w:val="20"/>
                <w:szCs w:val="20"/>
                <w:color w:val="auto"/>
              </w:rPr>
            </w:pPr>
            <w:r>
              <w:rPr>
                <w:rFonts w:ascii="Arial" w:cs="Arial" w:eastAsia="Arial" w:hAnsi="Arial"/>
                <w:sz w:val="14"/>
                <w:szCs w:val="14"/>
                <w:color w:val="auto"/>
                <w:w w:val="97"/>
              </w:rPr>
              <w:t>Identification No.)</w:t>
            </w:r>
          </w:p>
        </w:tc>
      </w:tr>
      <w:tr>
        <w:trPr>
          <w:trHeight w:val="408"/>
        </w:trPr>
        <w:tc>
          <w:tcPr>
            <w:tcW w:w="238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1400 American Lane</w:t>
            </w:r>
          </w:p>
        </w:tc>
        <w:tc>
          <w:tcPr>
            <w:tcW w:w="4960" w:type="dxa"/>
            <w:vAlign w:val="bottom"/>
          </w:tcPr>
          <w:p>
            <w:pPr>
              <w:spacing w:after="0"/>
              <w:rPr>
                <w:sz w:val="24"/>
                <w:szCs w:val="24"/>
                <w:color w:val="auto"/>
              </w:rPr>
            </w:pPr>
          </w:p>
        </w:tc>
      </w:tr>
      <w:tr>
        <w:trPr>
          <w:trHeight w:val="186"/>
        </w:trPr>
        <w:tc>
          <w:tcPr>
            <w:tcW w:w="238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Schaumburg, Illinois</w:t>
            </w:r>
          </w:p>
        </w:tc>
        <w:tc>
          <w:tcPr>
            <w:tcW w:w="4960" w:type="dxa"/>
            <w:vAlign w:val="bottom"/>
          </w:tcPr>
          <w:p>
            <w:pPr>
              <w:jc w:val="right"/>
              <w:ind w:right="268"/>
              <w:spacing w:after="0"/>
              <w:rPr>
                <w:sz w:val="20"/>
                <w:szCs w:val="20"/>
                <w:color w:val="auto"/>
              </w:rPr>
            </w:pPr>
            <w:r>
              <w:rPr>
                <w:rFonts w:ascii="Arial" w:cs="Arial" w:eastAsia="Arial" w:hAnsi="Arial"/>
                <w:sz w:val="14"/>
                <w:szCs w:val="14"/>
                <w:b w:val="1"/>
                <w:bCs w:val="1"/>
                <w:color w:val="auto"/>
              </w:rPr>
              <w:t>60173</w:t>
            </w:r>
          </w:p>
        </w:tc>
      </w:tr>
      <w:tr>
        <w:trPr>
          <w:trHeight w:val="216"/>
        </w:trPr>
        <w:tc>
          <w:tcPr>
            <w:tcW w:w="2380" w:type="dxa"/>
            <w:vAlign w:val="bottom"/>
          </w:tcPr>
          <w:p>
            <w:pPr>
              <w:jc w:val="center"/>
              <w:ind w:right="8"/>
              <w:spacing w:after="0"/>
              <w:rPr>
                <w:sz w:val="20"/>
                <w:szCs w:val="20"/>
                <w:color w:val="auto"/>
              </w:rPr>
            </w:pPr>
            <w:r>
              <w:rPr>
                <w:rFonts w:ascii="Arial" w:cs="Arial" w:eastAsia="Arial" w:hAnsi="Arial"/>
                <w:sz w:val="14"/>
                <w:szCs w:val="14"/>
                <w:color w:val="auto"/>
                <w:w w:val="95"/>
              </w:rPr>
              <w:t>(Address of principal executive offices)</w:t>
            </w:r>
          </w:p>
        </w:tc>
        <w:tc>
          <w:tcPr>
            <w:tcW w:w="4960" w:type="dxa"/>
            <w:vAlign w:val="bottom"/>
          </w:tcPr>
          <w:p>
            <w:pPr>
              <w:jc w:val="center"/>
              <w:ind w:left="3828"/>
              <w:spacing w:after="0"/>
              <w:rPr>
                <w:sz w:val="20"/>
                <w:szCs w:val="20"/>
                <w:color w:val="auto"/>
              </w:rPr>
            </w:pPr>
            <w:r>
              <w:rPr>
                <w:rFonts w:ascii="Arial" w:cs="Arial" w:eastAsia="Arial" w:hAnsi="Arial"/>
                <w:sz w:val="14"/>
                <w:szCs w:val="14"/>
                <w:color w:val="auto"/>
                <w:w w:val="93"/>
              </w:rPr>
              <w:t>(Zip Code)</w:t>
            </w:r>
          </w:p>
        </w:tc>
      </w:tr>
      <w:tr>
        <w:trPr>
          <w:trHeight w:val="263"/>
        </w:trPr>
        <w:tc>
          <w:tcPr>
            <w:tcW w:w="2380" w:type="dxa"/>
            <w:vAlign w:val="bottom"/>
          </w:tcPr>
          <w:p>
            <w:pPr>
              <w:spacing w:after="0"/>
              <w:rPr>
                <w:sz w:val="22"/>
                <w:szCs w:val="22"/>
                <w:color w:val="auto"/>
              </w:rPr>
            </w:pPr>
          </w:p>
        </w:tc>
        <w:tc>
          <w:tcPr>
            <w:tcW w:w="4960" w:type="dxa"/>
            <w:vAlign w:val="bottom"/>
          </w:tcPr>
          <w:p>
            <w:pPr>
              <w:jc w:val="right"/>
              <w:ind w:right="2828"/>
              <w:spacing w:after="0"/>
              <w:rPr>
                <w:sz w:val="20"/>
                <w:szCs w:val="20"/>
                <w:color w:val="auto"/>
              </w:rPr>
            </w:pPr>
            <w:r>
              <w:rPr>
                <w:rFonts w:ascii="Arial" w:cs="Arial" w:eastAsia="Arial" w:hAnsi="Arial"/>
                <w:sz w:val="14"/>
                <w:szCs w:val="14"/>
                <w:b w:val="1"/>
                <w:bCs w:val="1"/>
                <w:color w:val="auto"/>
              </w:rPr>
              <w:t>(847) 463-3200</w:t>
            </w:r>
          </w:p>
        </w:tc>
      </w:tr>
      <w:tr>
        <w:trPr>
          <w:trHeight w:val="174"/>
        </w:trPr>
        <w:tc>
          <w:tcPr>
            <w:tcW w:w="2380" w:type="dxa"/>
            <w:vAlign w:val="bottom"/>
          </w:tcPr>
          <w:p>
            <w:pPr>
              <w:spacing w:after="0"/>
              <w:rPr>
                <w:sz w:val="15"/>
                <w:szCs w:val="15"/>
                <w:color w:val="auto"/>
              </w:rPr>
            </w:pPr>
          </w:p>
        </w:tc>
        <w:tc>
          <w:tcPr>
            <w:tcW w:w="4960" w:type="dxa"/>
            <w:vAlign w:val="bottom"/>
          </w:tcPr>
          <w:p>
            <w:pPr>
              <w:jc w:val="center"/>
              <w:ind w:right="1688"/>
              <w:spacing w:after="0"/>
              <w:rPr>
                <w:sz w:val="20"/>
                <w:szCs w:val="20"/>
                <w:color w:val="auto"/>
              </w:rPr>
            </w:pPr>
            <w:r>
              <w:rPr>
                <w:rFonts w:ascii="Arial" w:cs="Arial" w:eastAsia="Arial" w:hAnsi="Arial"/>
                <w:sz w:val="14"/>
                <w:szCs w:val="14"/>
                <w:color w:val="auto"/>
                <w:w w:val="92"/>
              </w:rPr>
              <w:t>(Registrant’s telephone number, including area code)</w:t>
            </w:r>
          </w:p>
        </w:tc>
      </w:tr>
    </w:tbl>
    <w:p>
      <w:pPr>
        <w:ind w:left="3040"/>
        <w:spacing w:after="0"/>
        <w:rPr>
          <w:sz w:val="20"/>
          <w:szCs w:val="20"/>
          <w:color w:val="auto"/>
        </w:rPr>
      </w:pPr>
      <w:r>
        <w:rPr>
          <w:rFonts w:ascii="Arial" w:cs="Arial" w:eastAsia="Arial" w:hAnsi="Arial"/>
          <w:sz w:val="14"/>
          <w:szCs w:val="14"/>
          <w:color w:val="auto"/>
        </w:rPr>
        <w:t>________________________________________________________________________</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Title of each class</w:t>
            </w:r>
          </w:p>
        </w:tc>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Trading Symbol(s)</w:t>
            </w:r>
          </w:p>
        </w:tc>
        <w:tc>
          <w:tcPr>
            <w:tcW w:w="370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5"/>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84"/>
        </w:trPr>
        <w:tc>
          <w:tcPr>
            <w:tcW w:w="376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Common Stock, par value $0.001 per share</w:t>
            </w:r>
          </w:p>
        </w:tc>
        <w:tc>
          <w:tcPr>
            <w:tcW w:w="376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PCTY</w:t>
            </w:r>
          </w:p>
        </w:tc>
        <w:tc>
          <w:tcPr>
            <w:tcW w:w="3700" w:type="dxa"/>
            <w:vAlign w:val="bottom"/>
          </w:tcPr>
          <w:p>
            <w:pPr>
              <w:jc w:val="center"/>
              <w:spacing w:after="0"/>
              <w:rPr>
                <w:sz w:val="20"/>
                <w:szCs w:val="20"/>
                <w:color w:val="auto"/>
              </w:rPr>
            </w:pPr>
            <w:r>
              <w:rPr>
                <w:rFonts w:ascii="Arial" w:cs="Arial" w:eastAsia="Arial" w:hAnsi="Arial"/>
                <w:sz w:val="14"/>
                <w:szCs w:val="14"/>
                <w:color w:val="auto"/>
                <w:w w:val="96"/>
              </w:rPr>
              <w:t>The NASDAQ Global Select Market LLC</w:t>
            </w:r>
          </w:p>
        </w:tc>
      </w:tr>
    </w:tbl>
    <w:p>
      <w:pPr>
        <w:spacing w:after="0" w:line="209" w:lineRule="exact"/>
        <w:rPr>
          <w:sz w:val="24"/>
          <w:szCs w:val="24"/>
          <w:color w:val="auto"/>
        </w:rPr>
      </w:pPr>
    </w:p>
    <w:p>
      <w:pPr>
        <w:ind w:right="80" w:firstLine="324"/>
        <w:spacing w:after="0" w:line="29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52" w:lineRule="exact"/>
        <w:rPr>
          <w:sz w:val="24"/>
          <w:szCs w:val="24"/>
          <w:color w:val="auto"/>
        </w:rPr>
      </w:pPr>
    </w:p>
    <w:p>
      <w:pPr>
        <w:ind w:right="220" w:firstLine="324"/>
        <w:spacing w:after="0" w:line="29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52" w:lineRule="exact"/>
        <w:rPr>
          <w:sz w:val="24"/>
          <w:szCs w:val="24"/>
          <w:color w:val="auto"/>
        </w:rPr>
      </w:pPr>
    </w:p>
    <w:p>
      <w:pPr>
        <w:ind w:right="120"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0" w:lineRule="exact"/>
        <w:rPr>
          <w:sz w:val="24"/>
          <w:szCs w:val="24"/>
          <w:color w:val="auto"/>
        </w:rPr>
      </w:pPr>
    </w:p>
    <w:tbl>
      <w:tblPr>
        <w:tblLayout w:type="fixed"/>
        <w:tblInd w:w="760" w:type="dxa"/>
        <w:tblCellMar>
          <w:top w:w="0" w:type="dxa"/>
          <w:left w:w="0" w:type="dxa"/>
          <w:bottom w:w="0" w:type="dxa"/>
          <w:right w:w="0" w:type="dxa"/>
        </w:tblCellMar>
      </w:tblPr>
      <w:tr>
        <w:trPr>
          <w:trHeight w:val="196"/>
        </w:trPr>
        <w:tc>
          <w:tcPr>
            <w:tcW w:w="21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460" w:type="dxa"/>
            <w:vAlign w:val="bottom"/>
          </w:tcPr>
          <w:p>
            <w:pPr>
              <w:ind w:left="760"/>
              <w:spacing w:after="0"/>
              <w:rPr>
                <w:sz w:val="20"/>
                <w:szCs w:val="20"/>
                <w:color w:val="auto"/>
              </w:rPr>
            </w:pPr>
            <w:r>
              <w:rPr>
                <w:rFonts w:ascii="Arial" w:cs="Arial" w:eastAsia="Arial" w:hAnsi="Arial"/>
                <w:sz w:val="14"/>
                <w:szCs w:val="14"/>
                <w:color w:val="auto"/>
              </w:rPr>
              <w:t>x</w:t>
            </w:r>
          </w:p>
        </w:tc>
        <w:tc>
          <w:tcPr>
            <w:tcW w:w="4240" w:type="dxa"/>
            <w:vAlign w:val="bottom"/>
          </w:tcPr>
          <w:p>
            <w:pPr>
              <w:ind w:left="1600"/>
              <w:spacing w:after="0"/>
              <w:rPr>
                <w:sz w:val="20"/>
                <w:szCs w:val="20"/>
                <w:color w:val="auto"/>
              </w:rPr>
            </w:pPr>
            <w:r>
              <w:rPr>
                <w:rFonts w:ascii="Arial" w:cs="Arial" w:eastAsia="Arial" w:hAnsi="Arial"/>
                <w:sz w:val="14"/>
                <w:szCs w:val="14"/>
                <w:color w:val="auto"/>
              </w:rPr>
              <w:t>Accelerated Filer</w:t>
            </w:r>
          </w:p>
        </w:tc>
        <w:tc>
          <w:tcPr>
            <w:tcW w:w="1060" w:type="dxa"/>
            <w:vAlign w:val="bottom"/>
          </w:tcPr>
          <w:p>
            <w:pPr>
              <w:ind w:left="980"/>
              <w:spacing w:after="0"/>
              <w:rPr>
                <w:sz w:val="20"/>
                <w:szCs w:val="20"/>
                <w:color w:val="auto"/>
              </w:rPr>
            </w:pPr>
            <w:r>
              <w:rPr>
                <w:rFonts w:ascii="Arial" w:cs="Arial" w:eastAsia="Arial" w:hAnsi="Arial"/>
                <w:sz w:val="14"/>
                <w:szCs w:val="14"/>
                <w:color w:val="auto"/>
                <w:w w:val="76"/>
              </w:rPr>
              <w:t>o</w:t>
            </w:r>
          </w:p>
        </w:tc>
      </w:tr>
      <w:tr>
        <w:trPr>
          <w:trHeight w:val="336"/>
        </w:trPr>
        <w:tc>
          <w:tcPr>
            <w:tcW w:w="2120" w:type="dxa"/>
            <w:vAlign w:val="bottom"/>
          </w:tcPr>
          <w:p>
            <w:pPr>
              <w:spacing w:after="0"/>
              <w:rPr>
                <w:sz w:val="20"/>
                <w:szCs w:val="20"/>
                <w:color w:val="auto"/>
              </w:rPr>
            </w:pPr>
            <w:r>
              <w:rPr>
                <w:rFonts w:ascii="Arial" w:cs="Arial" w:eastAsia="Arial" w:hAnsi="Arial"/>
                <w:sz w:val="14"/>
                <w:szCs w:val="14"/>
                <w:color w:val="auto"/>
              </w:rPr>
              <w:t>Non-Accelerated Filer</w:t>
            </w:r>
          </w:p>
        </w:tc>
        <w:tc>
          <w:tcPr>
            <w:tcW w:w="2460" w:type="dxa"/>
            <w:vAlign w:val="bottom"/>
          </w:tcPr>
          <w:p>
            <w:pPr>
              <w:ind w:left="760"/>
              <w:spacing w:after="0"/>
              <w:rPr>
                <w:sz w:val="20"/>
                <w:szCs w:val="20"/>
                <w:color w:val="auto"/>
              </w:rPr>
            </w:pPr>
            <w:r>
              <w:rPr>
                <w:rFonts w:ascii="Arial" w:cs="Arial" w:eastAsia="Arial" w:hAnsi="Arial"/>
                <w:sz w:val="18"/>
                <w:szCs w:val="18"/>
                <w:color w:val="auto"/>
              </w:rPr>
              <w:t>o</w:t>
            </w:r>
          </w:p>
        </w:tc>
        <w:tc>
          <w:tcPr>
            <w:tcW w:w="4240" w:type="dxa"/>
            <w:vAlign w:val="bottom"/>
          </w:tcPr>
          <w:p>
            <w:pPr>
              <w:ind w:left="1600"/>
              <w:spacing w:after="0"/>
              <w:rPr>
                <w:sz w:val="20"/>
                <w:szCs w:val="20"/>
                <w:color w:val="auto"/>
              </w:rPr>
            </w:pPr>
            <w:r>
              <w:rPr>
                <w:rFonts w:ascii="Arial" w:cs="Arial" w:eastAsia="Arial" w:hAnsi="Arial"/>
                <w:sz w:val="14"/>
                <w:szCs w:val="14"/>
                <w:color w:val="auto"/>
              </w:rPr>
              <w:t>Smaller Reporting Company</w:t>
            </w:r>
          </w:p>
        </w:tc>
        <w:tc>
          <w:tcPr>
            <w:tcW w:w="1060" w:type="dxa"/>
            <w:vAlign w:val="bottom"/>
          </w:tcPr>
          <w:p>
            <w:pPr>
              <w:ind w:left="980"/>
              <w:spacing w:after="0"/>
              <w:rPr>
                <w:sz w:val="20"/>
                <w:szCs w:val="20"/>
                <w:color w:val="auto"/>
              </w:rPr>
            </w:pPr>
            <w:r>
              <w:rPr>
                <w:rFonts w:ascii="Arial" w:cs="Arial" w:eastAsia="Arial" w:hAnsi="Arial"/>
                <w:sz w:val="14"/>
                <w:szCs w:val="14"/>
                <w:color w:val="auto"/>
                <w:w w:val="76"/>
              </w:rPr>
              <w:t>o</w:t>
            </w:r>
          </w:p>
        </w:tc>
      </w:tr>
      <w:tr>
        <w:trPr>
          <w:trHeight w:val="298"/>
        </w:trPr>
        <w:tc>
          <w:tcPr>
            <w:tcW w:w="2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240" w:type="dxa"/>
            <w:vAlign w:val="bottom"/>
          </w:tcPr>
          <w:p>
            <w:pPr>
              <w:ind w:left="1600"/>
              <w:spacing w:after="0"/>
              <w:rPr>
                <w:sz w:val="20"/>
                <w:szCs w:val="20"/>
                <w:color w:val="auto"/>
              </w:rPr>
            </w:pPr>
            <w:r>
              <w:rPr>
                <w:rFonts w:ascii="Arial" w:cs="Arial" w:eastAsia="Arial" w:hAnsi="Arial"/>
                <w:sz w:val="14"/>
                <w:szCs w:val="14"/>
                <w:color w:val="auto"/>
              </w:rPr>
              <w:t>Emerging Growth Company</w:t>
            </w:r>
          </w:p>
        </w:tc>
        <w:tc>
          <w:tcPr>
            <w:tcW w:w="1060" w:type="dxa"/>
            <w:vAlign w:val="bottom"/>
          </w:tcPr>
          <w:p>
            <w:pPr>
              <w:ind w:left="980"/>
              <w:spacing w:after="0"/>
              <w:rPr>
                <w:sz w:val="20"/>
                <w:szCs w:val="20"/>
                <w:color w:val="auto"/>
              </w:rPr>
            </w:pPr>
            <w:r>
              <w:rPr>
                <w:rFonts w:ascii="Arial" w:cs="Arial" w:eastAsia="Arial" w:hAnsi="Arial"/>
                <w:sz w:val="14"/>
                <w:szCs w:val="14"/>
                <w:color w:val="auto"/>
                <w:w w:val="76"/>
              </w:rPr>
              <w:t>o</w:t>
            </w:r>
          </w:p>
        </w:tc>
      </w:tr>
    </w:tbl>
    <w:p>
      <w:pPr>
        <w:spacing w:after="0" w:line="182" w:lineRule="exact"/>
        <w:rPr>
          <w:sz w:val="24"/>
          <w:szCs w:val="24"/>
          <w:color w:val="auto"/>
        </w:rPr>
      </w:pPr>
    </w:p>
    <w:p>
      <w:pPr>
        <w:ind w:right="220" w:firstLine="324"/>
        <w:spacing w:after="0" w:line="29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9" w:lineRule="exact"/>
        <w:rPr>
          <w:sz w:val="24"/>
          <w:szCs w:val="24"/>
          <w:color w:val="auto"/>
        </w:rPr>
      </w:pPr>
    </w:p>
    <w:p>
      <w:pPr>
        <w:ind w:left="3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136" w:lineRule="exact"/>
        <w:rPr>
          <w:sz w:val="24"/>
          <w:szCs w:val="24"/>
          <w:color w:val="auto"/>
        </w:rPr>
      </w:pPr>
    </w:p>
    <w:p>
      <w:pPr>
        <w:ind w:right="40" w:firstLine="324"/>
        <w:spacing w:after="0" w:line="273" w:lineRule="auto"/>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 55,110,343 shares of Common Stock, $0.001 par value per share, as of January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60" w:right="35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20" w:type="dxa"/>
            <w:vAlign w:val="bottom"/>
            <w:gridSpan w:val="12"/>
            <w:vMerge w:val="restart"/>
          </w:tcPr>
          <w:p>
            <w:pPr>
              <w:jc w:val="center"/>
              <w:ind w:right="3660"/>
              <w:spacing w:after="0"/>
              <w:rPr>
                <w:rFonts w:ascii="Arial" w:cs="Arial" w:eastAsia="Arial" w:hAnsi="Arial"/>
                <w:sz w:val="18"/>
                <w:szCs w:val="18"/>
                <w:color w:val="0000FF"/>
                <w:w w:val="98"/>
              </w:rPr>
            </w:pPr>
            <w:hyperlink w:anchor="page2">
              <w:r>
                <w:rPr>
                  <w:rFonts w:ascii="Arial" w:cs="Arial" w:eastAsia="Arial" w:hAnsi="Arial"/>
                  <w:sz w:val="18"/>
                  <w:szCs w:val="18"/>
                  <w:color w:val="0000FF"/>
                  <w:w w:val="98"/>
                </w:rPr>
                <w:t>PART I. FINANCIAL INFORMATION</w:t>
              </w:r>
            </w:hyperlink>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20" w:type="dxa"/>
            <w:vAlign w:val="bottom"/>
            <w:gridSpan w:val="12"/>
            <w:vMerge w:val="continue"/>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3800" w:type="dxa"/>
            <w:vAlign w:val="bottom"/>
            <w:gridSpan w:val="11"/>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w:t>
              </w:r>
            </w:hyperlink>
          </w:p>
        </w:tc>
        <w:tc>
          <w:tcPr>
            <w:tcW w:w="2880" w:type="dxa"/>
            <w:vAlign w:val="bottom"/>
            <w:tcBorders>
              <w:top w:val="single" w:sz="8" w:color="0000FF"/>
            </w:tcBorders>
            <w:gridSpan w:val="7"/>
          </w:tcPr>
          <w:p>
            <w:pPr>
              <w:spacing w:after="0"/>
              <w:rPr>
                <w:sz w:val="24"/>
                <w:szCs w:val="24"/>
                <w:color w:val="auto"/>
              </w:rPr>
            </w:pPr>
          </w:p>
        </w:tc>
        <w:tc>
          <w:tcPr>
            <w:tcW w:w="3800" w:type="dxa"/>
            <w:vAlign w:val="bottom"/>
            <w:gridSpan w:val="4"/>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Unaudited Consolidated Balance Sheets</w:t>
              </w:r>
            </w:hyperlink>
          </w:p>
        </w:tc>
        <w:tc>
          <w:tcPr>
            <w:tcW w:w="74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568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Unaudited Consolidated Statements of Operations and Comprehensive Income</w:t>
              </w:r>
            </w:hyperlink>
          </w:p>
        </w:tc>
        <w:tc>
          <w:tcPr>
            <w:tcW w:w="4800" w:type="dxa"/>
            <w:vAlign w:val="bottom"/>
            <w:gridSpan w:val="6"/>
          </w:tcPr>
          <w:p>
            <w:pPr>
              <w:spacing w:after="0"/>
              <w:rPr>
                <w:sz w:val="24"/>
                <w:szCs w:val="24"/>
                <w:color w:val="auto"/>
              </w:rPr>
            </w:pPr>
          </w:p>
        </w:tc>
        <w:tc>
          <w:tcPr>
            <w:tcW w:w="74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Unaudited Consolidated Statement of Changes in Stockholders’ Equity</w:t>
              </w:r>
            </w:hyperlink>
          </w:p>
        </w:tc>
        <w:tc>
          <w:tcPr>
            <w:tcW w:w="74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5120" w:type="dxa"/>
            <w:vAlign w:val="bottom"/>
            <w:tcBorders>
              <w:top w:val="single" w:sz="8" w:color="0000FF"/>
            </w:tcBorders>
            <w:gridSpan w:val="15"/>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Unaudited Consolidated Statements of Cash Flows</w:t>
              </w:r>
            </w:hyperlink>
          </w:p>
        </w:tc>
        <w:tc>
          <w:tcPr>
            <w:tcW w:w="5360" w:type="dxa"/>
            <w:vAlign w:val="bottom"/>
            <w:gridSpan w:val="7"/>
          </w:tcPr>
          <w:p>
            <w:pPr>
              <w:spacing w:after="0"/>
              <w:rPr>
                <w:sz w:val="24"/>
                <w:szCs w:val="24"/>
                <w:color w:val="auto"/>
              </w:rPr>
            </w:pPr>
          </w:p>
        </w:tc>
        <w:tc>
          <w:tcPr>
            <w:tcW w:w="74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422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Notes to the Unaudited Consolidated Financial Statements</w:t>
              </w:r>
            </w:hyperlink>
          </w:p>
        </w:tc>
        <w:tc>
          <w:tcPr>
            <w:tcW w:w="6260" w:type="dxa"/>
            <w:vAlign w:val="bottom"/>
            <w:gridSpan w:val="8"/>
          </w:tcPr>
          <w:p>
            <w:pPr>
              <w:spacing w:after="0"/>
              <w:rPr>
                <w:sz w:val="24"/>
                <w:szCs w:val="24"/>
                <w:color w:val="auto"/>
              </w:rPr>
            </w:pPr>
          </w:p>
        </w:tc>
        <w:tc>
          <w:tcPr>
            <w:tcW w:w="74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ITEM 2. MANAGEMENT’S DISCUSSION AND ANALYSIS OF FINANCIAL CONDITION AND RESULTS OF OPERATIONS</w:t>
              </w:r>
            </w:hyperlink>
          </w:p>
        </w:tc>
        <w:tc>
          <w:tcPr>
            <w:tcW w:w="740" w:type="dxa"/>
            <w:vAlign w:val="bottom"/>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19</w:t>
              </w:r>
            </w:hyperlink>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9580" w:type="dxa"/>
            <w:vAlign w:val="bottom"/>
            <w:tcBorders>
              <w:top w:val="single" w:sz="8" w:color="0000FF"/>
            </w:tcBorders>
            <w:gridSpan w:val="21"/>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3. QUANTITATIVE AND QUALITATIVE DISCLOSURES ABOUT MARKET RISK</w:t>
              </w:r>
            </w:hyperlink>
          </w:p>
        </w:tc>
        <w:tc>
          <w:tcPr>
            <w:tcW w:w="900" w:type="dxa"/>
            <w:vAlign w:val="bottom"/>
          </w:tcPr>
          <w:p>
            <w:pPr>
              <w:spacing w:after="0"/>
              <w:rPr>
                <w:sz w:val="24"/>
                <w:szCs w:val="24"/>
                <w:color w:val="auto"/>
              </w:rPr>
            </w:pPr>
          </w:p>
        </w:tc>
        <w:tc>
          <w:tcPr>
            <w:tcW w:w="74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33</w:t>
              </w:r>
            </w:hyperlink>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6800" w:type="dxa"/>
            <w:vAlign w:val="bottom"/>
            <w:tcBorders>
              <w:top w:val="single" w:sz="8" w:color="0000FF"/>
            </w:tcBorders>
            <w:gridSpan w:val="20"/>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4. CONTROLS AND PROCEDURES</w:t>
              </w:r>
            </w:hyperlink>
          </w:p>
        </w:tc>
        <w:tc>
          <w:tcPr>
            <w:tcW w:w="3680" w:type="dxa"/>
            <w:vAlign w:val="bottom"/>
            <w:gridSpan w:val="2"/>
          </w:tcPr>
          <w:p>
            <w:pPr>
              <w:spacing w:after="0"/>
              <w:rPr>
                <w:sz w:val="24"/>
                <w:szCs w:val="24"/>
                <w:color w:val="auto"/>
              </w:rPr>
            </w:pPr>
          </w:p>
        </w:tc>
        <w:tc>
          <w:tcPr>
            <w:tcW w:w="74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34</w:t>
              </w:r>
            </w:hyperlink>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tcBorders>
              <w:bottom w:val="single" w:sz="8" w:color="0000FF"/>
            </w:tcBorders>
            <w:gridSpan w:val="4"/>
          </w:tcPr>
          <w:p>
            <w:pPr>
              <w:jc w:val="center"/>
              <w:spacing w:after="0"/>
              <w:rPr>
                <w:rFonts w:ascii="Arial" w:cs="Arial" w:eastAsia="Arial" w:hAnsi="Arial"/>
                <w:sz w:val="18"/>
                <w:szCs w:val="18"/>
                <w:color w:val="0000FF"/>
                <w:w w:val="96"/>
              </w:rPr>
            </w:pPr>
            <w:hyperlink w:anchor="page35">
              <w:r>
                <w:rPr>
                  <w:rFonts w:ascii="Arial" w:cs="Arial" w:eastAsia="Arial" w:hAnsi="Arial"/>
                  <w:sz w:val="18"/>
                  <w:szCs w:val="18"/>
                  <w:color w:val="0000FF"/>
                  <w:w w:val="96"/>
                </w:rPr>
                <w:t>PART II. OTHER INFORMATION</w:t>
              </w:r>
            </w:hyperlink>
          </w:p>
        </w:tc>
        <w:tc>
          <w:tcPr>
            <w:tcW w:w="3960" w:type="dxa"/>
            <w:vAlign w:val="bottom"/>
            <w:gridSpan w:val="5"/>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1. LEGAL PROCEEDINGS</w:t>
              </w:r>
            </w:hyperlink>
          </w:p>
        </w:tc>
        <w:tc>
          <w:tcPr>
            <w:tcW w:w="74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35</w:t>
              </w:r>
            </w:hyperlink>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2540" w:type="dxa"/>
            <w:vAlign w:val="bottom"/>
            <w:tcBorders>
              <w:top w:val="single" w:sz="8" w:color="0000FF"/>
            </w:tcBorders>
            <w:gridSpan w:val="4"/>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1A. RISK FACTORS</w:t>
              </w:r>
            </w:hyperlink>
          </w:p>
        </w:tc>
        <w:tc>
          <w:tcPr>
            <w:tcW w:w="7940" w:type="dxa"/>
            <w:vAlign w:val="bottom"/>
            <w:gridSpan w:val="18"/>
          </w:tcPr>
          <w:p>
            <w:pPr>
              <w:spacing w:after="0"/>
              <w:rPr>
                <w:sz w:val="24"/>
                <w:szCs w:val="24"/>
                <w:color w:val="auto"/>
              </w:rPr>
            </w:pPr>
          </w:p>
        </w:tc>
        <w:tc>
          <w:tcPr>
            <w:tcW w:w="74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6740" w:type="dxa"/>
            <w:vAlign w:val="bottom"/>
            <w:tcBorders>
              <w:bottom w:val="single" w:sz="8" w:color="0000FF"/>
            </w:tcBorders>
            <w:gridSpan w:val="19"/>
          </w:tcPr>
          <w:p>
            <w:pPr>
              <w:spacing w:after="0"/>
              <w:rPr>
                <w:rFonts w:ascii="Arial" w:cs="Arial" w:eastAsia="Arial" w:hAnsi="Arial"/>
                <w:sz w:val="18"/>
                <w:szCs w:val="18"/>
                <w:color w:val="0000FF"/>
                <w:w w:val="94"/>
              </w:rPr>
            </w:pPr>
            <w:hyperlink w:anchor="page36">
              <w:r>
                <w:rPr>
                  <w:rFonts w:ascii="Arial" w:cs="Arial" w:eastAsia="Arial" w:hAnsi="Arial"/>
                  <w:sz w:val="18"/>
                  <w:szCs w:val="18"/>
                  <w:color w:val="0000FF"/>
                  <w:w w:val="94"/>
                </w:rPr>
                <w:t>ITEM 2. UNREGISTERED SALES OF EQUITY SECURITIES AND USE OF PROCEEDS</w:t>
              </w:r>
            </w:hyperlink>
          </w:p>
        </w:tc>
        <w:tc>
          <w:tcPr>
            <w:tcW w:w="3740" w:type="dxa"/>
            <w:vAlign w:val="bottom"/>
            <w:gridSpan w:val="3"/>
          </w:tcPr>
          <w:p>
            <w:pPr>
              <w:spacing w:after="0"/>
              <w:rPr>
                <w:sz w:val="24"/>
                <w:szCs w:val="24"/>
                <w:color w:val="auto"/>
              </w:rPr>
            </w:pPr>
          </w:p>
        </w:tc>
        <w:tc>
          <w:tcPr>
            <w:tcW w:w="74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35</w:t>
              </w:r>
            </w:hyperlink>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3860" w:type="dxa"/>
            <w:vAlign w:val="bottom"/>
            <w:tcBorders>
              <w:bottom w:val="single" w:sz="8" w:color="0000FF"/>
            </w:tcBorders>
            <w:gridSpan w:val="12"/>
          </w:tcPr>
          <w:p>
            <w:pPr>
              <w:spacing w:after="0"/>
              <w:rPr>
                <w:rFonts w:ascii="Arial" w:cs="Arial" w:eastAsia="Arial" w:hAnsi="Arial"/>
                <w:sz w:val="18"/>
                <w:szCs w:val="18"/>
                <w:color w:val="0000FF"/>
                <w:w w:val="94"/>
              </w:rPr>
            </w:pPr>
            <w:hyperlink w:anchor="page36">
              <w:r>
                <w:rPr>
                  <w:rFonts w:ascii="Arial" w:cs="Arial" w:eastAsia="Arial" w:hAnsi="Arial"/>
                  <w:sz w:val="18"/>
                  <w:szCs w:val="18"/>
                  <w:color w:val="0000FF"/>
                  <w:w w:val="94"/>
                </w:rPr>
                <w:t>ITEM 3. DEFAULTS UPON SENIOR SECURITIES</w:t>
              </w:r>
            </w:hyperlink>
          </w:p>
        </w:tc>
        <w:tc>
          <w:tcPr>
            <w:tcW w:w="6620" w:type="dxa"/>
            <w:vAlign w:val="bottom"/>
            <w:gridSpan w:val="10"/>
          </w:tcPr>
          <w:p>
            <w:pPr>
              <w:spacing w:after="0"/>
              <w:rPr>
                <w:sz w:val="24"/>
                <w:szCs w:val="24"/>
                <w:color w:val="auto"/>
              </w:rPr>
            </w:pPr>
          </w:p>
        </w:tc>
        <w:tc>
          <w:tcPr>
            <w:tcW w:w="74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35</w:t>
              </w:r>
            </w:hyperlink>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4. MINE SAFETY DISCLOSURES</w:t>
              </w:r>
            </w:hyperlink>
          </w:p>
        </w:tc>
        <w:tc>
          <w:tcPr>
            <w:tcW w:w="74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35</w:t>
              </w:r>
            </w:hyperlink>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256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6"/>
              </w:rPr>
            </w:pPr>
            <w:hyperlink w:anchor="page36">
              <w:r>
                <w:rPr>
                  <w:rFonts w:ascii="Arial" w:cs="Arial" w:eastAsia="Arial" w:hAnsi="Arial"/>
                  <w:sz w:val="18"/>
                  <w:szCs w:val="18"/>
                  <w:color w:val="0000FF"/>
                  <w:w w:val="96"/>
                </w:rPr>
                <w:t>ITEM 5. OTHER INFORMATION</w:t>
              </w:r>
            </w:hyperlink>
          </w:p>
        </w:tc>
        <w:tc>
          <w:tcPr>
            <w:tcW w:w="540" w:type="dxa"/>
            <w:vAlign w:val="bottom"/>
            <w:tcBorders>
              <w:top w:val="single" w:sz="8" w:color="0000FF"/>
            </w:tcBorders>
            <w:gridSpan w:val="3"/>
          </w:tcPr>
          <w:p>
            <w:pPr>
              <w:spacing w:after="0"/>
              <w:rPr>
                <w:sz w:val="24"/>
                <w:szCs w:val="24"/>
                <w:color w:val="auto"/>
              </w:rPr>
            </w:pPr>
          </w:p>
        </w:tc>
        <w:tc>
          <w:tcPr>
            <w:tcW w:w="7380" w:type="dxa"/>
            <w:vAlign w:val="bottom"/>
            <w:gridSpan w:val="14"/>
          </w:tcPr>
          <w:p>
            <w:pPr>
              <w:spacing w:after="0"/>
              <w:rPr>
                <w:sz w:val="24"/>
                <w:szCs w:val="24"/>
                <w:color w:val="auto"/>
              </w:rPr>
            </w:pPr>
          </w:p>
        </w:tc>
        <w:tc>
          <w:tcPr>
            <w:tcW w:w="74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35</w:t>
              </w:r>
            </w:hyperlink>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500" w:type="dxa"/>
            <w:vAlign w:val="bottom"/>
            <w:tcBorders>
              <w:bottom w:val="single" w:sz="8" w:color="0000FF"/>
            </w:tcBorders>
            <w:gridSpan w:val="2"/>
          </w:tcPr>
          <w:p>
            <w:pPr>
              <w:spacing w:after="0"/>
              <w:rPr>
                <w:rFonts w:ascii="Arial" w:cs="Arial" w:eastAsia="Arial" w:hAnsi="Arial"/>
                <w:sz w:val="18"/>
                <w:szCs w:val="18"/>
                <w:color w:val="0000FF"/>
                <w:w w:val="98"/>
              </w:rPr>
            </w:pPr>
            <w:hyperlink w:anchor="page36">
              <w:r>
                <w:rPr>
                  <w:rFonts w:ascii="Arial" w:cs="Arial" w:eastAsia="Arial" w:hAnsi="Arial"/>
                  <w:sz w:val="18"/>
                  <w:szCs w:val="18"/>
                  <w:color w:val="0000FF"/>
                  <w:w w:val="98"/>
                </w:rPr>
                <w:t>ITEM 6. EXHIBITS</w:t>
              </w:r>
            </w:hyperlink>
          </w:p>
        </w:tc>
        <w:tc>
          <w:tcPr>
            <w:tcW w:w="8980" w:type="dxa"/>
            <w:vAlign w:val="bottom"/>
            <w:gridSpan w:val="20"/>
          </w:tcPr>
          <w:p>
            <w:pPr>
              <w:spacing w:after="0"/>
              <w:rPr>
                <w:sz w:val="24"/>
                <w:szCs w:val="24"/>
                <w:color w:val="auto"/>
              </w:rPr>
            </w:pPr>
          </w:p>
        </w:tc>
        <w:tc>
          <w:tcPr>
            <w:tcW w:w="74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35</w:t>
              </w:r>
            </w:hyperlink>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SIGNATURES</w:t>
              </w:r>
            </w:hyperlink>
          </w:p>
        </w:tc>
        <w:tc>
          <w:tcPr>
            <w:tcW w:w="74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580" w:type="dxa"/>
            <w:vAlign w:val="bottom"/>
            <w:gridSpan w:val="15"/>
          </w:tcPr>
          <w:p>
            <w:pPr>
              <w:jc w:val="right"/>
              <w:ind w:right="40"/>
              <w:spacing w:after="0"/>
              <w:rPr>
                <w:sz w:val="20"/>
                <w:szCs w:val="20"/>
                <w:color w:val="auto"/>
              </w:rPr>
            </w:pPr>
            <w:r>
              <w:rPr>
                <w:rFonts w:ascii="Arial" w:cs="Arial" w:eastAsia="Arial" w:hAnsi="Arial"/>
                <w:sz w:val="18"/>
                <w:szCs w:val="18"/>
                <w:color w:val="auto"/>
              </w:rPr>
              <w:t>1</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7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FINANCIAL INFORMATION</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PAYLOCITY HOLDING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84,104</w:t>
            </w:r>
          </w:p>
        </w:tc>
        <w:tc>
          <w:tcPr>
            <w:tcW w:w="0" w:type="dxa"/>
            <w:vAlign w:val="bottom"/>
          </w:tcPr>
          <w:p>
            <w:pPr>
              <w:spacing w:after="0"/>
              <w:rPr>
                <w:sz w:val="1"/>
                <w:szCs w:val="1"/>
                <w:color w:val="auto"/>
              </w:rPr>
            </w:pPr>
          </w:p>
        </w:tc>
      </w:tr>
      <w:tr>
        <w:trPr>
          <w:trHeight w:val="229"/>
        </w:trPr>
        <w:tc>
          <w:tcPr>
            <w:tcW w:w="8180" w:type="dxa"/>
            <w:vAlign w:val="bottom"/>
          </w:tcPr>
          <w:p>
            <w:pPr>
              <w:ind w:left="240"/>
              <w:spacing w:after="0"/>
              <w:rPr>
                <w:sz w:val="20"/>
                <w:szCs w:val="20"/>
                <w:color w:val="auto"/>
              </w:rPr>
            </w:pPr>
            <w:r>
              <w:rPr>
                <w:rFonts w:ascii="Arial" w:cs="Arial" w:eastAsia="Arial" w:hAnsi="Arial"/>
                <w:sz w:val="18"/>
                <w:szCs w:val="18"/>
                <w:color w:val="auto"/>
              </w:rPr>
              <w:t>Corporate investments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9,830</w:t>
            </w:r>
          </w:p>
        </w:tc>
        <w:tc>
          <w:tcPr>
            <w:tcW w:w="0" w:type="dxa"/>
            <w:vAlign w:val="bottom"/>
          </w:tcPr>
          <w:p>
            <w:pPr>
              <w:spacing w:after="0"/>
              <w:rPr>
                <w:sz w:val="1"/>
                <w:szCs w:val="1"/>
                <w:color w:val="auto"/>
              </w:rPr>
            </w:pPr>
          </w:p>
        </w:tc>
      </w:tr>
      <w:tr>
        <w:trPr>
          <w:trHeight w:val="229"/>
        </w:trPr>
        <w:tc>
          <w:tcPr>
            <w:tcW w:w="8180" w:type="dxa"/>
            <w:vAlign w:val="bottom"/>
          </w:tcPr>
          <w:p>
            <w:pPr>
              <w:ind w:left="240"/>
              <w:spacing w:after="0"/>
              <w:rPr>
                <w:sz w:val="20"/>
                <w:szCs w:val="20"/>
                <w:color w:val="auto"/>
              </w:rPr>
            </w:pPr>
            <w:r>
              <w:rPr>
                <w:rFonts w:ascii="Arial" w:cs="Arial" w:eastAsia="Arial" w:hAnsi="Arial"/>
                <w:sz w:val="18"/>
                <w:szCs w:val="18"/>
                <w:color w:val="auto"/>
              </w:rPr>
              <w:t>Deferred contract costs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44,230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50,294</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22,795</w:t>
            </w:r>
          </w:p>
        </w:tc>
        <w:tc>
          <w:tcPr>
            <w:tcW w:w="0" w:type="dxa"/>
            <w:vAlign w:val="bottom"/>
          </w:tcPr>
          <w:p>
            <w:pPr>
              <w:spacing w:after="0"/>
              <w:rPr>
                <w:sz w:val="1"/>
                <w:szCs w:val="1"/>
                <w:color w:val="auto"/>
              </w:rPr>
            </w:pPr>
          </w:p>
        </w:tc>
      </w:tr>
      <w:tr>
        <w:trPr>
          <w:trHeight w:val="223"/>
        </w:trPr>
        <w:tc>
          <w:tcPr>
            <w:tcW w:w="8180" w:type="dxa"/>
            <w:vAlign w:val="bottom"/>
          </w:tcPr>
          <w:p>
            <w:pPr>
              <w:ind w:left="360"/>
              <w:spacing w:after="0"/>
              <w:rPr>
                <w:sz w:val="20"/>
                <w:szCs w:val="20"/>
                <w:color w:val="auto"/>
              </w:rPr>
            </w:pPr>
            <w:r>
              <w:rPr>
                <w:rFonts w:ascii="Arial" w:cs="Arial" w:eastAsia="Arial" w:hAnsi="Arial"/>
                <w:sz w:val="18"/>
                <w:szCs w:val="18"/>
                <w:color w:val="auto"/>
              </w:rPr>
              <w:t>Total current assets before funds held for clients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273,206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167,023</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Funds held for clients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1,759,677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1,920,063</w:t>
            </w:r>
          </w:p>
        </w:tc>
        <w:tc>
          <w:tcPr>
            <w:tcW w:w="0" w:type="dxa"/>
            <w:vAlign w:val="bottom"/>
          </w:tcPr>
          <w:p>
            <w:pPr>
              <w:spacing w:after="0"/>
              <w:rPr>
                <w:sz w:val="1"/>
                <w:szCs w:val="1"/>
                <w:color w:val="auto"/>
              </w:rPr>
            </w:pPr>
          </w:p>
        </w:tc>
      </w:tr>
      <w:tr>
        <w:trPr>
          <w:trHeight w:val="223"/>
        </w:trPr>
        <w:tc>
          <w:tcPr>
            <w:tcW w:w="818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2,032,883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2,087,086</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internal-use software,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53,107</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59,835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62,425</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49,611</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35,175</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68,326</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Long-term deferred contract costs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170,663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191,385</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prepaid expenses and other</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6,778</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assets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34,697</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2,414,885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2,588,590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103,109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79,507</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 before client fund obligations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86,107</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Client fund obligations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1,759,677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1,920,063</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1,867,016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2,006,170</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67,201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71,877</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liabilities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1,937,955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2,081,897</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1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1"/>
              </w:rPr>
              <w:t>Preferred stock, $0.001 par value, 5,000 authorized, no shares issued and outstanding at June 30, 2021 and</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December 31, 2021</w:t>
            </w:r>
          </w:p>
        </w:tc>
        <w:tc>
          <w:tcPr>
            <w:tcW w:w="300" w:type="dxa"/>
            <w:vAlign w:val="bottom"/>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180" w:type="dxa"/>
            <w:vAlign w:val="bottom"/>
          </w:tcPr>
          <w:p>
            <w:pPr>
              <w:ind w:left="240"/>
              <w:spacing w:after="0" w:line="176" w:lineRule="exact"/>
              <w:rPr>
                <w:sz w:val="20"/>
                <w:szCs w:val="20"/>
                <w:color w:val="auto"/>
              </w:rPr>
            </w:pPr>
            <w:r>
              <w:rPr>
                <w:rFonts w:ascii="Arial" w:cs="Arial" w:eastAsia="Arial" w:hAnsi="Arial"/>
                <w:sz w:val="18"/>
                <w:szCs w:val="18"/>
                <w:color w:val="auto"/>
                <w:w w:val="95"/>
              </w:rPr>
              <w:t>Common stock, $0.001 par value, 155,000 shares authorized at June 30, 2021 and December 31, 2021;</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180" w:type="dxa"/>
            <w:vAlign w:val="bottom"/>
          </w:tcPr>
          <w:p>
            <w:pPr>
              <w:ind w:left="240"/>
              <w:spacing w:after="0" w:line="176" w:lineRule="exact"/>
              <w:rPr>
                <w:sz w:val="20"/>
                <w:szCs w:val="20"/>
                <w:color w:val="auto"/>
              </w:rPr>
            </w:pPr>
            <w:r>
              <w:rPr>
                <w:rFonts w:ascii="Arial" w:cs="Arial" w:eastAsia="Arial" w:hAnsi="Arial"/>
                <w:sz w:val="18"/>
                <w:szCs w:val="18"/>
                <w:color w:val="auto"/>
                <w:w w:val="98"/>
              </w:rPr>
              <w:t>54,594 shares issued and outstanding at June 30, 2021 and 55,105 shares issued and outstanding at</w:t>
            </w:r>
          </w:p>
        </w:tc>
        <w:tc>
          <w:tcPr>
            <w:tcW w:w="3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8180" w:type="dxa"/>
            <w:vAlign w:val="bottom"/>
          </w:tcPr>
          <w:p>
            <w:pPr>
              <w:ind w:left="240"/>
              <w:spacing w:after="0"/>
              <w:rPr>
                <w:sz w:val="20"/>
                <w:szCs w:val="20"/>
                <w:color w:val="auto"/>
              </w:rPr>
            </w:pPr>
            <w:r>
              <w:rPr>
                <w:rFonts w:ascii="Arial" w:cs="Arial" w:eastAsia="Arial" w:hAnsi="Arial"/>
                <w:sz w:val="18"/>
                <w:szCs w:val="18"/>
                <w:color w:val="auto"/>
              </w:rPr>
              <w:t>December 31, 2021</w:t>
            </w:r>
          </w:p>
        </w:tc>
        <w:tc>
          <w:tcPr>
            <w:tcW w:w="3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231,106</w:t>
            </w:r>
          </w:p>
        </w:tc>
        <w:tc>
          <w:tcPr>
            <w:tcW w:w="0" w:type="dxa"/>
            <w:vAlign w:val="bottom"/>
          </w:tcPr>
          <w:p>
            <w:pPr>
              <w:spacing w:after="0"/>
              <w:rPr>
                <w:sz w:val="1"/>
                <w:szCs w:val="1"/>
                <w:color w:val="auto"/>
              </w:rPr>
            </w:pPr>
          </w:p>
        </w:tc>
      </w:tr>
      <w:tr>
        <w:trPr>
          <w:trHeight w:val="229"/>
        </w:trPr>
        <w:tc>
          <w:tcPr>
            <w:tcW w:w="8180" w:type="dxa"/>
            <w:vAlign w:val="bottom"/>
          </w:tcPr>
          <w:p>
            <w:pPr>
              <w:ind w:left="24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235,091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275,876</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income (loss)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476,930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506,693</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2,414,885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2,588,590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240"/>
          </w:cols>
          <w:pgMar w:left="320" w:top="2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PAYLOCITY HOLDING CORPORATION Unaudited Consolidated Statements of Operations and Comprehensive Income (in thousands, except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0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6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r>
      <w:tr>
        <w:trPr>
          <w:trHeight w:val="183"/>
        </w:trPr>
        <w:tc>
          <w:tcPr>
            <w:tcW w:w="64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2021</w:t>
            </w:r>
          </w:p>
        </w:tc>
      </w:tr>
      <w:tr>
        <w:trPr>
          <w:trHeight w:val="211"/>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29"/>
        </w:trPr>
        <w:tc>
          <w:tcPr>
            <w:tcW w:w="6420" w:type="dxa"/>
            <w:vAlign w:val="bottom"/>
          </w:tcPr>
          <w:p>
            <w:pPr>
              <w:ind w:left="240"/>
              <w:spacing w:after="0"/>
              <w:rPr>
                <w:sz w:val="20"/>
                <w:szCs w:val="20"/>
                <w:color w:val="auto"/>
              </w:rPr>
            </w:pPr>
            <w:r>
              <w:rPr>
                <w:rFonts w:ascii="Arial" w:cs="Arial" w:eastAsia="Arial" w:hAnsi="Arial"/>
                <w:sz w:val="18"/>
                <w:szCs w:val="18"/>
                <w:color w:val="auto"/>
              </w:rPr>
              <w:t>Recurring and other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145,393</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195,041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280,268</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375,865</w:t>
            </w:r>
          </w:p>
        </w:tc>
      </w:tr>
      <w:tr>
        <w:trPr>
          <w:trHeight w:val="229"/>
        </w:trPr>
        <w:tc>
          <w:tcPr>
            <w:tcW w:w="6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 on funds held for clients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w:t>
            </w: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146,329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196,037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282,123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377,734</w:t>
            </w: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53,542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70,821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102,922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134,070</w:t>
            </w:r>
          </w:p>
        </w:tc>
      </w:tr>
      <w:tr>
        <w:trPr>
          <w:trHeight w:val="223"/>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92,787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179,201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243,664</w:t>
            </w:r>
          </w:p>
        </w:tc>
      </w:tr>
      <w:tr>
        <w:trPr>
          <w:trHeight w:val="20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0"/>
        </w:trPr>
        <w:tc>
          <w:tcPr>
            <w:tcW w:w="642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37,775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52,219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75,449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102,104</w:t>
            </w:r>
          </w:p>
        </w:tc>
      </w:tr>
      <w:tr>
        <w:trPr>
          <w:trHeight w:val="229"/>
        </w:trPr>
        <w:tc>
          <w:tcPr>
            <w:tcW w:w="6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48,354</w:t>
            </w:r>
          </w:p>
        </w:tc>
      </w:tr>
      <w:tr>
        <w:trPr>
          <w:trHeight w:val="229"/>
        </w:trPr>
        <w:tc>
          <w:tcPr>
            <w:tcW w:w="64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29,323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39,581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55,967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74,816</w:t>
            </w:r>
          </w:p>
        </w:tc>
      </w:tr>
      <w:tr>
        <w:trPr>
          <w:trHeight w:val="223"/>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86,436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117,078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169,401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225,274</w:t>
            </w:r>
          </w:p>
        </w:tc>
      </w:tr>
      <w:tr>
        <w:trPr>
          <w:trHeight w:val="223"/>
        </w:trPr>
        <w:tc>
          <w:tcPr>
            <w:tcW w:w="6420" w:type="dxa"/>
            <w:vAlign w:val="bottom"/>
          </w:tcPr>
          <w:p>
            <w:pPr>
              <w:ind w:left="46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6,351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18,390</w:t>
            </w: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r>
      <w:tr>
        <w:trPr>
          <w:trHeight w:val="223"/>
        </w:trPr>
        <w:tc>
          <w:tcPr>
            <w:tcW w:w="6420" w:type="dxa"/>
            <w:vAlign w:val="bottom"/>
          </w:tcPr>
          <w:p>
            <w:pPr>
              <w:ind w:left="46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5,972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9,164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17,901</w:t>
            </w: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(22,884)</w:t>
            </w: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9,642</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22,102</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40,785</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24"/>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9,455</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21,692</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40,375</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37"/>
        </w:trPr>
        <w:tc>
          <w:tcPr>
            <w:tcW w:w="6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55"/>
        </w:trPr>
        <w:tc>
          <w:tcPr>
            <w:tcW w:w="6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0.74</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420" w:type="dxa"/>
            <w:vAlign w:val="bottom"/>
          </w:tcPr>
          <w:p>
            <w:pPr>
              <w:ind w:left="240"/>
              <w:spacing w:after="0" w:line="203"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0.17</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0.39</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0.72</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37"/>
        </w:trPr>
        <w:tc>
          <w:tcPr>
            <w:tcW w:w="6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Weighted-average shares used in computing net income per share: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55"/>
        </w:trPr>
        <w:tc>
          <w:tcPr>
            <w:tcW w:w="6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54,305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54,160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54,938</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420" w:type="dxa"/>
            <w:vAlign w:val="bottom"/>
          </w:tcPr>
          <w:p>
            <w:pPr>
              <w:ind w:left="240"/>
              <w:spacing w:after="0" w:line="203"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56,343</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56,468</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56,122</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56,486</w:t>
            </w:r>
          </w:p>
        </w:tc>
      </w:tr>
      <w:tr>
        <w:trPr>
          <w:trHeight w:val="20"/>
        </w:trPr>
        <w:tc>
          <w:tcPr>
            <w:tcW w:w="6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80" w:type="dxa"/>
            <w:vAlign w:val="bottom"/>
            <w:gridSpan w:val="13"/>
          </w:tcPr>
          <w:p>
            <w:pPr>
              <w:jc w:val="center"/>
              <w:ind w:right="1020"/>
              <w:spacing w:after="0"/>
              <w:rPr>
                <w:sz w:val="20"/>
                <w:szCs w:val="20"/>
                <w:color w:val="auto"/>
              </w:rPr>
            </w:pPr>
            <w:r>
              <w:rPr>
                <w:rFonts w:ascii="Arial" w:cs="Arial" w:eastAsia="Arial" w:hAnsi="Arial"/>
                <w:sz w:val="11"/>
                <w:szCs w:val="11"/>
                <w:b w:val="1"/>
                <w:bCs w:val="1"/>
                <w:color w:val="auto"/>
                <w:w w:val="89"/>
              </w:rPr>
              <w:t>Three Months Ended December 31, 2020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760" w:type="dxa"/>
            <w:vAlign w:val="bottom"/>
          </w:tcPr>
          <w:p>
            <w:pPr>
              <w:spacing w:after="0"/>
              <w:rPr>
                <w:sz w:val="22"/>
                <w:szCs w:val="22"/>
                <w:color w:val="auto"/>
              </w:rPr>
            </w:pPr>
          </w:p>
        </w:tc>
        <w:tc>
          <w:tcPr>
            <w:tcW w:w="1680" w:type="dxa"/>
            <w:vAlign w:val="bottom"/>
            <w:gridSpan w:val="4"/>
            <w:vMerge w:val="restart"/>
          </w:tcPr>
          <w:p>
            <w:pPr>
              <w:jc w:val="right"/>
              <w:ind w:right="324"/>
              <w:spacing w:after="0"/>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w w:val="89"/>
              </w:rPr>
              <w:t>Additional</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59"/>
        </w:trPr>
        <w:tc>
          <w:tcPr>
            <w:tcW w:w="4760" w:type="dxa"/>
            <w:vAlign w:val="bottom"/>
          </w:tcPr>
          <w:p>
            <w:pPr>
              <w:spacing w:after="0"/>
              <w:rPr>
                <w:sz w:val="5"/>
                <w:szCs w:val="5"/>
                <w:color w:val="auto"/>
              </w:rPr>
            </w:pPr>
          </w:p>
        </w:tc>
        <w:tc>
          <w:tcPr>
            <w:tcW w:w="1680" w:type="dxa"/>
            <w:vAlign w:val="bottom"/>
            <w:gridSpan w:val="4"/>
            <w:vMerge w:val="continue"/>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3"/>
            <w:vMerge w:val="restart"/>
          </w:tcPr>
          <w:p>
            <w:pPr>
              <w:jc w:val="center"/>
              <w:ind w:right="260"/>
              <w:spacing w:after="0" w:line="122" w:lineRule="exact"/>
              <w:rPr>
                <w:sz w:val="20"/>
                <w:szCs w:val="20"/>
                <w:color w:val="auto"/>
              </w:rPr>
            </w:pPr>
            <w:r>
              <w:rPr>
                <w:rFonts w:ascii="Arial" w:cs="Arial" w:eastAsia="Arial" w:hAnsi="Arial"/>
                <w:sz w:val="11"/>
                <w:szCs w:val="11"/>
                <w:b w:val="1"/>
                <w:bCs w:val="1"/>
                <w:color w:val="auto"/>
                <w:w w:val="92"/>
              </w:rPr>
              <w:t>Paid-in</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gridSpan w:val="3"/>
            <w:vMerge w:val="restart"/>
          </w:tcPr>
          <w:p>
            <w:pPr>
              <w:ind w:left="60"/>
              <w:spacing w:after="0" w:line="122" w:lineRule="exact"/>
              <w:rPr>
                <w:sz w:val="20"/>
                <w:szCs w:val="20"/>
                <w:color w:val="auto"/>
              </w:rPr>
            </w:pPr>
            <w:r>
              <w:rPr>
                <w:rFonts w:ascii="Arial" w:cs="Arial" w:eastAsia="Arial" w:hAnsi="Arial"/>
                <w:sz w:val="11"/>
                <w:szCs w:val="11"/>
                <w:b w:val="1"/>
                <w:bCs w:val="1"/>
                <w:color w:val="auto"/>
              </w:rPr>
              <w:t>Retained</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3"/>
            <w:vMerge w:val="restart"/>
          </w:tcPr>
          <w:p>
            <w:pPr>
              <w:jc w:val="center"/>
              <w:ind w:right="240"/>
              <w:spacing w:after="0" w:line="122" w:lineRule="exact"/>
              <w:rPr>
                <w:sz w:val="20"/>
                <w:szCs w:val="20"/>
                <w:color w:val="auto"/>
              </w:rPr>
            </w:pPr>
            <w:r>
              <w:rPr>
                <w:rFonts w:ascii="Arial" w:cs="Arial" w:eastAsia="Arial" w:hAnsi="Arial"/>
                <w:sz w:val="11"/>
                <w:szCs w:val="11"/>
                <w:b w:val="1"/>
                <w:bCs w:val="1"/>
                <w:color w:val="auto"/>
                <w:w w:val="90"/>
              </w:rPr>
              <w:t>Accumulated Other</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gridSpan w:val="2"/>
            <w:vMerge w:val="restart"/>
          </w:tcPr>
          <w:p>
            <w:pPr>
              <w:jc w:val="center"/>
              <w:ind w:right="220"/>
              <w:spacing w:after="0" w:line="122" w:lineRule="exact"/>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22"/>
        </w:trPr>
        <w:tc>
          <w:tcPr>
            <w:tcW w:w="4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760" w:type="dxa"/>
            <w:vAlign w:val="bottom"/>
          </w:tcPr>
          <w:p>
            <w:pPr>
              <w:spacing w:after="0"/>
              <w:rPr>
                <w:sz w:val="12"/>
                <w:szCs w:val="12"/>
                <w:color w:val="auto"/>
              </w:rPr>
            </w:pPr>
          </w:p>
        </w:tc>
        <w:tc>
          <w:tcPr>
            <w:tcW w:w="980" w:type="dxa"/>
            <w:vAlign w:val="bottom"/>
            <w:gridSpan w:val="2"/>
          </w:tcPr>
          <w:p>
            <w:pPr>
              <w:ind w:left="30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680" w:type="dxa"/>
            <w:vAlign w:val="bottom"/>
          </w:tcPr>
          <w:p>
            <w:pPr>
              <w:jc w:val="right"/>
              <w:ind w:right="4"/>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center"/>
              <w:ind w:right="260"/>
              <w:spacing w:after="0"/>
              <w:rPr>
                <w:sz w:val="20"/>
                <w:szCs w:val="20"/>
                <w:color w:val="auto"/>
              </w:rPr>
            </w:pPr>
            <w:r>
              <w:rPr>
                <w:rFonts w:ascii="Arial" w:cs="Arial" w:eastAsia="Arial" w:hAnsi="Arial"/>
                <w:sz w:val="11"/>
                <w:szCs w:val="11"/>
                <w:b w:val="1"/>
                <w:bCs w:val="1"/>
                <w:color w:val="auto"/>
                <w:w w:val="92"/>
              </w:rPr>
              <w:t>Capital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Earnings</w:t>
            </w:r>
          </w:p>
        </w:tc>
        <w:tc>
          <w:tcPr>
            <w:tcW w:w="20" w:type="dxa"/>
            <w:vAlign w:val="bottom"/>
          </w:tcPr>
          <w:p>
            <w:pPr>
              <w:spacing w:after="0"/>
              <w:rPr>
                <w:sz w:val="12"/>
                <w:szCs w:val="12"/>
                <w:color w:val="auto"/>
              </w:rPr>
            </w:pPr>
          </w:p>
        </w:tc>
        <w:tc>
          <w:tcPr>
            <w:tcW w:w="132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6"/>
              </w:rPr>
              <w:t>Comprehensive Income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22"/>
        </w:trPr>
        <w:tc>
          <w:tcPr>
            <w:tcW w:w="47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7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Balances at September 30, 2020</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54,223</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564"/>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54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209,582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176,732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4"/>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386,820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6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17,187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17,187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options exercised</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760" w:type="dxa"/>
            <w:vAlign w:val="bottom"/>
          </w:tcPr>
          <w:p>
            <w:pPr>
              <w:ind w:left="20"/>
              <w:spacing w:after="0"/>
              <w:rPr>
                <w:sz w:val="20"/>
                <w:szCs w:val="20"/>
                <w:color w:val="auto"/>
              </w:rPr>
            </w:pPr>
            <w:r>
              <w:rPr>
                <w:rFonts w:ascii="Arial" w:cs="Arial" w:eastAsia="Arial" w:hAnsi="Arial"/>
                <w:sz w:val="13"/>
                <w:szCs w:val="13"/>
                <w:color w:val="auto"/>
              </w:rPr>
              <w:t>Issuance of common stock upon vesting of restricted stock units</w:t>
            </w:r>
          </w:p>
        </w:tc>
        <w:tc>
          <w:tcPr>
            <w:tcW w:w="900" w:type="dxa"/>
            <w:vAlign w:val="bottom"/>
          </w:tcPr>
          <w:p>
            <w:pPr>
              <w:jc w:val="right"/>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4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under employee stock purchase plan</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760" w:type="dxa"/>
            <w:vAlign w:val="bottom"/>
          </w:tcPr>
          <w:p>
            <w:pPr>
              <w:ind w:left="20"/>
              <w:spacing w:after="0"/>
              <w:rPr>
                <w:sz w:val="20"/>
                <w:szCs w:val="20"/>
                <w:color w:val="auto"/>
              </w:rPr>
            </w:pPr>
            <w:r>
              <w:rPr>
                <w:rFonts w:ascii="Arial" w:cs="Arial" w:eastAsia="Arial" w:hAnsi="Arial"/>
                <w:sz w:val="13"/>
                <w:szCs w:val="13"/>
                <w:color w:val="auto"/>
              </w:rPr>
              <w:t>Net settlement for taxes and/or exercise price related to equity awards</w:t>
            </w:r>
          </w:p>
        </w:tc>
        <w:tc>
          <w:tcPr>
            <w:tcW w:w="900" w:type="dxa"/>
            <w:vAlign w:val="bottom"/>
          </w:tcPr>
          <w:p>
            <w:pPr>
              <w:jc w:val="right"/>
              <w:spacing w:after="0"/>
              <w:rPr>
                <w:sz w:val="20"/>
                <w:szCs w:val="20"/>
                <w:color w:val="auto"/>
              </w:rPr>
            </w:pPr>
            <w:r>
              <w:rPr>
                <w:rFonts w:ascii="Arial" w:cs="Arial" w:eastAsia="Arial" w:hAnsi="Arial"/>
                <w:sz w:val="13"/>
                <w:szCs w:val="13"/>
                <w:color w:val="auto"/>
              </w:rPr>
              <w:t>(68)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(12,747)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(12,747)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Unrealized losses on securities, net of tax</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760" w:type="dxa"/>
            <w:vAlign w:val="bottom"/>
          </w:tcPr>
          <w:p>
            <w:pPr>
              <w:ind w:left="20"/>
              <w:spacing w:after="0"/>
              <w:rPr>
                <w:sz w:val="20"/>
                <w:szCs w:val="20"/>
                <w:color w:val="auto"/>
              </w:rPr>
            </w:pPr>
            <w:r>
              <w:rPr>
                <w:rFonts w:ascii="Arial" w:cs="Arial" w:eastAsia="Arial" w:hAnsi="Arial"/>
                <w:sz w:val="13"/>
                <w:szCs w:val="13"/>
                <w:color w:val="auto"/>
              </w:rPr>
              <w:t>Currency translation adjustments</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9,642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60" w:type="dxa"/>
            <w:vAlign w:val="bottom"/>
          </w:tcPr>
          <w:p>
            <w:pPr>
              <w:ind w:left="20"/>
              <w:spacing w:after="0"/>
              <w:rPr>
                <w:sz w:val="20"/>
                <w:szCs w:val="20"/>
                <w:color w:val="auto"/>
              </w:rPr>
            </w:pPr>
            <w:r>
              <w:rPr>
                <w:rFonts w:ascii="Arial" w:cs="Arial" w:eastAsia="Arial" w:hAnsi="Arial"/>
                <w:sz w:val="13"/>
                <w:szCs w:val="13"/>
                <w:b w:val="1"/>
                <w:bCs w:val="1"/>
                <w:color w:val="auto"/>
              </w:rPr>
              <w:t>Balances at December 31, 2020</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54,370</w:t>
            </w:r>
          </w:p>
        </w:tc>
        <w:tc>
          <w:tcPr>
            <w:tcW w:w="80" w:type="dxa"/>
            <w:vAlign w:val="bottom"/>
          </w:tcPr>
          <w:p>
            <w:pPr>
              <w:spacing w:after="0"/>
              <w:rPr>
                <w:sz w:val="16"/>
                <w:szCs w:val="16"/>
                <w:color w:val="auto"/>
              </w:rPr>
            </w:pPr>
          </w:p>
        </w:tc>
        <w:tc>
          <w:tcPr>
            <w:tcW w:w="700" w:type="dxa"/>
            <w:vAlign w:val="bottom"/>
            <w:tcBorders>
              <w:top w:val="single" w:sz="8" w:color="auto"/>
              <w:bottom w:val="single" w:sz="8" w:color="auto"/>
            </w:tcBorders>
            <w:gridSpan w:val="2"/>
          </w:tcPr>
          <w:p>
            <w:pPr>
              <w:jc w:val="right"/>
              <w:ind w:right="564"/>
              <w:spacing w:after="0"/>
              <w:rPr>
                <w:sz w:val="20"/>
                <w:szCs w:val="20"/>
                <w:color w:val="auto"/>
              </w:rPr>
            </w:pPr>
            <w:r>
              <w:rPr>
                <w:rFonts w:ascii="Arial" w:cs="Arial" w:eastAsia="Arial" w:hAnsi="Arial"/>
                <w:sz w:val="13"/>
                <w:szCs w:val="13"/>
                <w:color w:val="auto"/>
                <w:w w:val="82"/>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6"/>
              </w:rPr>
              <w:t>54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gridSpan w:val="2"/>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221,525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gridSpan w:val="2"/>
          </w:tcPr>
          <w:p>
            <w:pPr>
              <w:jc w:val="right"/>
              <w:ind w:right="3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186,374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gridSpan w:val="2"/>
          </w:tcPr>
          <w:p>
            <w:pPr>
              <w:jc w:val="right"/>
              <w:ind w:right="4"/>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gridSpan w:val="2"/>
          </w:tcPr>
          <w:p>
            <w:pPr>
              <w:jc w:val="right"/>
              <w:ind w:right="37"/>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408,218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0"/>
        </w:trPr>
        <w:tc>
          <w:tcPr>
            <w:tcW w:w="4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80" w:type="dxa"/>
            <w:vAlign w:val="bottom"/>
            <w:gridSpan w:val="13"/>
          </w:tcPr>
          <w:p>
            <w:pPr>
              <w:jc w:val="center"/>
              <w:ind w:right="980"/>
              <w:spacing w:after="0"/>
              <w:rPr>
                <w:sz w:val="20"/>
                <w:szCs w:val="20"/>
                <w:color w:val="auto"/>
              </w:rPr>
            </w:pPr>
            <w:r>
              <w:rPr>
                <w:rFonts w:ascii="Arial" w:cs="Arial" w:eastAsia="Arial" w:hAnsi="Arial"/>
                <w:sz w:val="11"/>
                <w:szCs w:val="11"/>
                <w:b w:val="1"/>
                <w:bCs w:val="1"/>
                <w:color w:val="auto"/>
                <w:w w:val="89"/>
              </w:rPr>
              <w:t>Three Months Ended December 31, 2021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760" w:type="dxa"/>
            <w:vAlign w:val="bottom"/>
          </w:tcPr>
          <w:p>
            <w:pPr>
              <w:spacing w:after="0"/>
              <w:rPr>
                <w:sz w:val="22"/>
                <w:szCs w:val="22"/>
                <w:color w:val="auto"/>
              </w:rPr>
            </w:pPr>
          </w:p>
        </w:tc>
        <w:tc>
          <w:tcPr>
            <w:tcW w:w="1680" w:type="dxa"/>
            <w:vAlign w:val="bottom"/>
            <w:gridSpan w:val="4"/>
            <w:vMerge w:val="restart"/>
          </w:tcPr>
          <w:p>
            <w:pPr>
              <w:jc w:val="right"/>
              <w:ind w:right="324"/>
              <w:spacing w:after="0"/>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92"/>
              </w:rPr>
              <w:t>Additional</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59"/>
        </w:trPr>
        <w:tc>
          <w:tcPr>
            <w:tcW w:w="4760" w:type="dxa"/>
            <w:vAlign w:val="bottom"/>
          </w:tcPr>
          <w:p>
            <w:pPr>
              <w:spacing w:after="0"/>
              <w:rPr>
                <w:sz w:val="5"/>
                <w:szCs w:val="5"/>
                <w:color w:val="auto"/>
              </w:rPr>
            </w:pPr>
          </w:p>
        </w:tc>
        <w:tc>
          <w:tcPr>
            <w:tcW w:w="1680" w:type="dxa"/>
            <w:vAlign w:val="bottom"/>
            <w:gridSpan w:val="4"/>
            <w:vMerge w:val="continue"/>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3"/>
            <w:vMerge w:val="restart"/>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Paid-in</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gridSpan w:val="3"/>
            <w:vMerge w:val="restart"/>
          </w:tcPr>
          <w:p>
            <w:pPr>
              <w:ind w:left="80"/>
              <w:spacing w:after="0" w:line="122" w:lineRule="exact"/>
              <w:rPr>
                <w:sz w:val="20"/>
                <w:szCs w:val="20"/>
                <w:color w:val="auto"/>
              </w:rPr>
            </w:pPr>
            <w:r>
              <w:rPr>
                <w:rFonts w:ascii="Arial" w:cs="Arial" w:eastAsia="Arial" w:hAnsi="Arial"/>
                <w:sz w:val="11"/>
                <w:szCs w:val="11"/>
                <w:b w:val="1"/>
                <w:bCs w:val="1"/>
                <w:color w:val="auto"/>
              </w:rPr>
              <w:t>Retained</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3"/>
            <w:vMerge w:val="restart"/>
          </w:tcPr>
          <w:p>
            <w:pPr>
              <w:jc w:val="center"/>
              <w:ind w:right="200"/>
              <w:spacing w:after="0" w:line="122" w:lineRule="exact"/>
              <w:rPr>
                <w:sz w:val="20"/>
                <w:szCs w:val="20"/>
                <w:color w:val="auto"/>
              </w:rPr>
            </w:pPr>
            <w:r>
              <w:rPr>
                <w:rFonts w:ascii="Arial" w:cs="Arial" w:eastAsia="Arial" w:hAnsi="Arial"/>
                <w:sz w:val="11"/>
                <w:szCs w:val="11"/>
                <w:b w:val="1"/>
                <w:bCs w:val="1"/>
                <w:color w:val="auto"/>
                <w:w w:val="90"/>
              </w:rPr>
              <w:t>Accumulated Other</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gridSpan w:val="2"/>
            <w:vMerge w:val="restart"/>
          </w:tcPr>
          <w:p>
            <w:pPr>
              <w:jc w:val="center"/>
              <w:ind w:right="180"/>
              <w:spacing w:after="0" w:line="122" w:lineRule="exact"/>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22"/>
        </w:trPr>
        <w:tc>
          <w:tcPr>
            <w:tcW w:w="4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760" w:type="dxa"/>
            <w:vAlign w:val="bottom"/>
          </w:tcPr>
          <w:p>
            <w:pPr>
              <w:spacing w:after="0"/>
              <w:rPr>
                <w:sz w:val="12"/>
                <w:szCs w:val="12"/>
                <w:color w:val="auto"/>
              </w:rPr>
            </w:pPr>
          </w:p>
        </w:tc>
        <w:tc>
          <w:tcPr>
            <w:tcW w:w="980" w:type="dxa"/>
            <w:vAlign w:val="bottom"/>
            <w:gridSpan w:val="2"/>
          </w:tcPr>
          <w:p>
            <w:pPr>
              <w:ind w:left="30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92"/>
              </w:rPr>
              <w:t>Capital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Earnings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86"/>
              </w:rPr>
              <w:t>Comprehensive Loss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22"/>
        </w:trPr>
        <w:tc>
          <w:tcPr>
            <w:tcW w:w="47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7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Balances at September 30, 2021</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55,019</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544"/>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55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201,504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266,023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467,573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6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28,122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28,122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options exercised</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760" w:type="dxa"/>
            <w:vAlign w:val="bottom"/>
          </w:tcPr>
          <w:p>
            <w:pPr>
              <w:ind w:left="20"/>
              <w:spacing w:after="0"/>
              <w:rPr>
                <w:sz w:val="20"/>
                <w:szCs w:val="20"/>
                <w:color w:val="auto"/>
              </w:rPr>
            </w:pPr>
            <w:r>
              <w:rPr>
                <w:rFonts w:ascii="Arial" w:cs="Arial" w:eastAsia="Arial" w:hAnsi="Arial"/>
                <w:sz w:val="13"/>
                <w:szCs w:val="13"/>
                <w:color w:val="auto"/>
              </w:rPr>
              <w:t>Issuance of common stock upon vesting of restricted stock units</w:t>
            </w:r>
          </w:p>
        </w:tc>
        <w:tc>
          <w:tcPr>
            <w:tcW w:w="900" w:type="dxa"/>
            <w:vAlign w:val="bottom"/>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4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upon employee stock purchase plan</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7,216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7,216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760" w:type="dxa"/>
            <w:vAlign w:val="bottom"/>
          </w:tcPr>
          <w:p>
            <w:pPr>
              <w:ind w:left="20"/>
              <w:spacing w:after="0"/>
              <w:rPr>
                <w:sz w:val="20"/>
                <w:szCs w:val="20"/>
                <w:color w:val="auto"/>
              </w:rPr>
            </w:pPr>
            <w:r>
              <w:rPr>
                <w:rFonts w:ascii="Arial" w:cs="Arial" w:eastAsia="Arial" w:hAnsi="Arial"/>
                <w:sz w:val="13"/>
                <w:szCs w:val="13"/>
                <w:color w:val="auto"/>
              </w:rPr>
              <w:t>Net settlement for taxes and/or exercise price related to equity awards</w:t>
            </w:r>
          </w:p>
        </w:tc>
        <w:tc>
          <w:tcPr>
            <w:tcW w:w="900" w:type="dxa"/>
            <w:vAlign w:val="bottom"/>
          </w:tcPr>
          <w:p>
            <w:pPr>
              <w:jc w:val="right"/>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(6,119)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3"/>
                <w:szCs w:val="13"/>
                <w:color w:val="auto"/>
              </w:rPr>
              <w:t>(6,119)</w:t>
            </w:r>
          </w:p>
        </w:tc>
        <w:tc>
          <w:tcPr>
            <w:tcW w:w="0" w:type="dxa"/>
            <w:vAlign w:val="bottom"/>
          </w:tcPr>
          <w:p>
            <w:pPr>
              <w:spacing w:after="0"/>
              <w:rPr>
                <w:sz w:val="1"/>
                <w:szCs w:val="1"/>
                <w:color w:val="auto"/>
              </w:rPr>
            </w:pPr>
          </w:p>
        </w:tc>
      </w:tr>
      <w:tr>
        <w:trPr>
          <w:trHeight w:val="197"/>
        </w:trPr>
        <w:tc>
          <w:tcPr>
            <w:tcW w:w="4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Unrealized losses on securities, net of tax</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(335)</w:t>
            </w:r>
          </w:p>
        </w:tc>
        <w:tc>
          <w:tcPr>
            <w:tcW w:w="0" w:type="dxa"/>
            <w:vAlign w:val="bottom"/>
          </w:tcPr>
          <w:p>
            <w:pPr>
              <w:spacing w:after="0"/>
              <w:rPr>
                <w:sz w:val="1"/>
                <w:szCs w:val="1"/>
                <w:color w:val="auto"/>
              </w:rPr>
            </w:pPr>
          </w:p>
        </w:tc>
      </w:tr>
      <w:tr>
        <w:trPr>
          <w:trHeight w:val="183"/>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income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9,853</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9,853</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Balances at December 31, 2021</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55,105</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44"/>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231,106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275,876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506,693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4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10"/>
          </w:tcPr>
          <w:p>
            <w:pPr>
              <w:jc w:val="center"/>
              <w:ind w:left="160"/>
              <w:spacing w:after="0"/>
              <w:rPr>
                <w:sz w:val="20"/>
                <w:szCs w:val="20"/>
                <w:color w:val="auto"/>
              </w:rPr>
            </w:pPr>
            <w:r>
              <w:rPr>
                <w:rFonts w:ascii="Arial" w:cs="Arial" w:eastAsia="Arial" w:hAnsi="Arial"/>
                <w:sz w:val="11"/>
                <w:szCs w:val="11"/>
                <w:b w:val="1"/>
                <w:bCs w:val="1"/>
                <w:color w:val="auto"/>
                <w:w w:val="89"/>
              </w:rPr>
              <w:t>Six Months Ended December 31, 2020</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760" w:type="dxa"/>
            <w:vAlign w:val="bottom"/>
          </w:tcPr>
          <w:p>
            <w:pPr>
              <w:spacing w:after="0"/>
              <w:rPr>
                <w:sz w:val="22"/>
                <w:szCs w:val="22"/>
                <w:color w:val="auto"/>
              </w:rPr>
            </w:pPr>
          </w:p>
        </w:tc>
        <w:tc>
          <w:tcPr>
            <w:tcW w:w="1680" w:type="dxa"/>
            <w:vAlign w:val="bottom"/>
            <w:gridSpan w:val="4"/>
            <w:vMerge w:val="restart"/>
          </w:tcPr>
          <w:p>
            <w:pPr>
              <w:jc w:val="right"/>
              <w:ind w:right="324"/>
              <w:spacing w:after="0"/>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92"/>
              </w:rPr>
              <w:t>Additional</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59"/>
        </w:trPr>
        <w:tc>
          <w:tcPr>
            <w:tcW w:w="4760" w:type="dxa"/>
            <w:vAlign w:val="bottom"/>
          </w:tcPr>
          <w:p>
            <w:pPr>
              <w:spacing w:after="0"/>
              <w:rPr>
                <w:sz w:val="5"/>
                <w:szCs w:val="5"/>
                <w:color w:val="auto"/>
              </w:rPr>
            </w:pPr>
          </w:p>
        </w:tc>
        <w:tc>
          <w:tcPr>
            <w:tcW w:w="1680" w:type="dxa"/>
            <w:vAlign w:val="bottom"/>
            <w:gridSpan w:val="4"/>
            <w:vMerge w:val="continue"/>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3"/>
            <w:vMerge w:val="restart"/>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Paid-in</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gridSpan w:val="3"/>
            <w:vMerge w:val="restart"/>
          </w:tcPr>
          <w:p>
            <w:pPr>
              <w:ind w:left="80"/>
              <w:spacing w:after="0" w:line="122" w:lineRule="exact"/>
              <w:rPr>
                <w:sz w:val="20"/>
                <w:szCs w:val="20"/>
                <w:color w:val="auto"/>
              </w:rPr>
            </w:pPr>
            <w:r>
              <w:rPr>
                <w:rFonts w:ascii="Arial" w:cs="Arial" w:eastAsia="Arial" w:hAnsi="Arial"/>
                <w:sz w:val="11"/>
                <w:szCs w:val="11"/>
                <w:b w:val="1"/>
                <w:bCs w:val="1"/>
                <w:color w:val="auto"/>
              </w:rPr>
              <w:t>Retained</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3"/>
            <w:vMerge w:val="restart"/>
          </w:tcPr>
          <w:p>
            <w:pPr>
              <w:jc w:val="center"/>
              <w:ind w:right="200"/>
              <w:spacing w:after="0" w:line="122" w:lineRule="exact"/>
              <w:rPr>
                <w:sz w:val="20"/>
                <w:szCs w:val="20"/>
                <w:color w:val="auto"/>
              </w:rPr>
            </w:pPr>
            <w:r>
              <w:rPr>
                <w:rFonts w:ascii="Arial" w:cs="Arial" w:eastAsia="Arial" w:hAnsi="Arial"/>
                <w:sz w:val="11"/>
                <w:szCs w:val="11"/>
                <w:b w:val="1"/>
                <w:bCs w:val="1"/>
                <w:color w:val="auto"/>
                <w:w w:val="90"/>
              </w:rPr>
              <w:t>Accumulated Other</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gridSpan w:val="2"/>
            <w:vMerge w:val="restart"/>
          </w:tcPr>
          <w:p>
            <w:pPr>
              <w:jc w:val="center"/>
              <w:ind w:right="180"/>
              <w:spacing w:after="0" w:line="122" w:lineRule="exact"/>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22"/>
        </w:trPr>
        <w:tc>
          <w:tcPr>
            <w:tcW w:w="4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760" w:type="dxa"/>
            <w:vAlign w:val="bottom"/>
          </w:tcPr>
          <w:p>
            <w:pPr>
              <w:spacing w:after="0"/>
              <w:rPr>
                <w:sz w:val="12"/>
                <w:szCs w:val="12"/>
                <w:color w:val="auto"/>
              </w:rPr>
            </w:pPr>
          </w:p>
        </w:tc>
        <w:tc>
          <w:tcPr>
            <w:tcW w:w="980" w:type="dxa"/>
            <w:vAlign w:val="bottom"/>
            <w:gridSpan w:val="2"/>
          </w:tcPr>
          <w:p>
            <w:pPr>
              <w:ind w:left="30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92"/>
              </w:rPr>
              <w:t>Capital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Earnings</w:t>
            </w:r>
          </w:p>
        </w:tc>
        <w:tc>
          <w:tcPr>
            <w:tcW w:w="20" w:type="dxa"/>
            <w:vAlign w:val="bottom"/>
          </w:tcPr>
          <w:p>
            <w:pPr>
              <w:spacing w:after="0"/>
              <w:rPr>
                <w:sz w:val="12"/>
                <w:szCs w:val="12"/>
                <w:color w:val="auto"/>
              </w:rPr>
            </w:pPr>
          </w:p>
        </w:tc>
        <w:tc>
          <w:tcPr>
            <w:tcW w:w="132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86"/>
              </w:rPr>
              <w:t>Comprehensive Income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22"/>
        </w:trPr>
        <w:tc>
          <w:tcPr>
            <w:tcW w:w="47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7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Balances at June 30, 2020</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53,792</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544"/>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54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227,907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164,272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392,908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6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32,233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32,233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options exercised</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760" w:type="dxa"/>
            <w:vAlign w:val="bottom"/>
          </w:tcPr>
          <w:p>
            <w:pPr>
              <w:ind w:left="20"/>
              <w:spacing w:after="0"/>
              <w:rPr>
                <w:sz w:val="20"/>
                <w:szCs w:val="20"/>
                <w:color w:val="auto"/>
              </w:rPr>
            </w:pPr>
            <w:r>
              <w:rPr>
                <w:rFonts w:ascii="Arial" w:cs="Arial" w:eastAsia="Arial" w:hAnsi="Arial"/>
                <w:sz w:val="13"/>
                <w:szCs w:val="13"/>
                <w:color w:val="auto"/>
              </w:rPr>
              <w:t>Issuance of common stock upon vesting of restricted stock units</w:t>
            </w:r>
          </w:p>
        </w:tc>
        <w:tc>
          <w:tcPr>
            <w:tcW w:w="900" w:type="dxa"/>
            <w:vAlign w:val="bottom"/>
          </w:tcPr>
          <w:p>
            <w:pPr>
              <w:jc w:val="right"/>
              <w:spacing w:after="0"/>
              <w:rPr>
                <w:sz w:val="20"/>
                <w:szCs w:val="20"/>
                <w:color w:val="auto"/>
              </w:rPr>
            </w:pPr>
            <w:r>
              <w:rPr>
                <w:rFonts w:ascii="Arial" w:cs="Arial" w:eastAsia="Arial" w:hAnsi="Arial"/>
                <w:sz w:val="13"/>
                <w:szCs w:val="13"/>
                <w:color w:val="auto"/>
              </w:rPr>
              <w:t>608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4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under employee stock purchase plan</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760" w:type="dxa"/>
            <w:vAlign w:val="bottom"/>
          </w:tcPr>
          <w:p>
            <w:pPr>
              <w:ind w:left="20"/>
              <w:spacing w:after="0"/>
              <w:rPr>
                <w:sz w:val="20"/>
                <w:szCs w:val="20"/>
                <w:color w:val="auto"/>
              </w:rPr>
            </w:pPr>
            <w:r>
              <w:rPr>
                <w:rFonts w:ascii="Arial" w:cs="Arial" w:eastAsia="Arial" w:hAnsi="Arial"/>
                <w:sz w:val="13"/>
                <w:szCs w:val="13"/>
                <w:color w:val="auto"/>
              </w:rPr>
              <w:t>Net settlement for taxes and/or exercise price related to equity awards</w:t>
            </w:r>
          </w:p>
        </w:tc>
        <w:tc>
          <w:tcPr>
            <w:tcW w:w="900" w:type="dxa"/>
            <w:vAlign w:val="bottom"/>
          </w:tcPr>
          <w:p>
            <w:pPr>
              <w:jc w:val="right"/>
              <w:spacing w:after="0"/>
              <w:rPr>
                <w:sz w:val="20"/>
                <w:szCs w:val="20"/>
                <w:color w:val="auto"/>
              </w:rPr>
            </w:pPr>
            <w:r>
              <w:rPr>
                <w:rFonts w:ascii="Arial" w:cs="Arial" w:eastAsia="Arial" w:hAnsi="Arial"/>
                <w:sz w:val="13"/>
                <w:szCs w:val="13"/>
                <w:color w:val="auto"/>
              </w:rPr>
              <w:t>(324)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(46,647)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3"/>
                <w:szCs w:val="13"/>
                <w:color w:val="auto"/>
              </w:rPr>
              <w:t>(46,647)</w:t>
            </w:r>
          </w:p>
        </w:tc>
        <w:tc>
          <w:tcPr>
            <w:tcW w:w="0" w:type="dxa"/>
            <w:vAlign w:val="bottom"/>
          </w:tcPr>
          <w:p>
            <w:pPr>
              <w:spacing w:after="0"/>
              <w:rPr>
                <w:sz w:val="1"/>
                <w:szCs w:val="1"/>
                <w:color w:val="auto"/>
              </w:rPr>
            </w:pPr>
          </w:p>
        </w:tc>
      </w:tr>
      <w:tr>
        <w:trPr>
          <w:trHeight w:val="197"/>
        </w:trPr>
        <w:tc>
          <w:tcPr>
            <w:tcW w:w="4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Unrealized losses on securities, net of tax</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(411)</w:t>
            </w:r>
          </w:p>
        </w:tc>
        <w:tc>
          <w:tcPr>
            <w:tcW w:w="0" w:type="dxa"/>
            <w:vAlign w:val="bottom"/>
          </w:tcPr>
          <w:p>
            <w:pPr>
              <w:spacing w:after="0"/>
              <w:rPr>
                <w:sz w:val="1"/>
                <w:szCs w:val="1"/>
                <w:color w:val="auto"/>
              </w:rPr>
            </w:pPr>
          </w:p>
        </w:tc>
      </w:tr>
      <w:tr>
        <w:trPr>
          <w:trHeight w:val="181"/>
        </w:trPr>
        <w:tc>
          <w:tcPr>
            <w:tcW w:w="4760" w:type="dxa"/>
            <w:vAlign w:val="bottom"/>
          </w:tcPr>
          <w:p>
            <w:pPr>
              <w:ind w:left="20"/>
              <w:spacing w:after="0"/>
              <w:rPr>
                <w:sz w:val="20"/>
                <w:szCs w:val="20"/>
                <w:color w:val="auto"/>
              </w:rPr>
            </w:pPr>
            <w:r>
              <w:rPr>
                <w:rFonts w:ascii="Arial" w:cs="Arial" w:eastAsia="Arial" w:hAnsi="Arial"/>
                <w:sz w:val="13"/>
                <w:szCs w:val="13"/>
                <w:color w:val="auto"/>
              </w:rPr>
              <w:t>Currency translation adjustments</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22,102</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22,102</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60" w:type="dxa"/>
            <w:vAlign w:val="bottom"/>
          </w:tcPr>
          <w:p>
            <w:pPr>
              <w:ind w:left="20"/>
              <w:spacing w:after="0"/>
              <w:rPr>
                <w:sz w:val="20"/>
                <w:szCs w:val="20"/>
                <w:color w:val="auto"/>
              </w:rPr>
            </w:pPr>
            <w:r>
              <w:rPr>
                <w:rFonts w:ascii="Arial" w:cs="Arial" w:eastAsia="Arial" w:hAnsi="Arial"/>
                <w:sz w:val="13"/>
                <w:szCs w:val="13"/>
                <w:b w:val="1"/>
                <w:bCs w:val="1"/>
                <w:color w:val="auto"/>
              </w:rPr>
              <w:t>Balances at December 31, 2020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54,370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color w:val="auto"/>
                <w:w w:val="82"/>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54</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221,525</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186,374</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265</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408,218</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0"/>
        </w:trPr>
        <w:tc>
          <w:tcPr>
            <w:tcW w:w="4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10"/>
          </w:tcPr>
          <w:p>
            <w:pPr>
              <w:jc w:val="center"/>
              <w:ind w:left="160"/>
              <w:spacing w:after="0"/>
              <w:rPr>
                <w:sz w:val="20"/>
                <w:szCs w:val="20"/>
                <w:color w:val="auto"/>
              </w:rPr>
            </w:pPr>
            <w:r>
              <w:rPr>
                <w:rFonts w:ascii="Arial" w:cs="Arial" w:eastAsia="Arial" w:hAnsi="Arial"/>
                <w:sz w:val="11"/>
                <w:szCs w:val="11"/>
                <w:b w:val="1"/>
                <w:bCs w:val="1"/>
                <w:color w:val="auto"/>
                <w:w w:val="89"/>
              </w:rPr>
              <w:t>Six Months Ended December 31, 2021</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760" w:type="dxa"/>
            <w:vAlign w:val="bottom"/>
          </w:tcPr>
          <w:p>
            <w:pPr>
              <w:spacing w:after="0"/>
              <w:rPr>
                <w:sz w:val="22"/>
                <w:szCs w:val="22"/>
                <w:color w:val="auto"/>
              </w:rPr>
            </w:pPr>
          </w:p>
        </w:tc>
        <w:tc>
          <w:tcPr>
            <w:tcW w:w="1680" w:type="dxa"/>
            <w:vAlign w:val="bottom"/>
            <w:gridSpan w:val="4"/>
            <w:vMerge w:val="restart"/>
          </w:tcPr>
          <w:p>
            <w:pPr>
              <w:jc w:val="right"/>
              <w:ind w:right="324"/>
              <w:spacing w:after="0"/>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92"/>
              </w:rPr>
              <w:t>Additional</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90"/>
              </w:rPr>
              <w:t>Accumulated Other</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59"/>
        </w:trPr>
        <w:tc>
          <w:tcPr>
            <w:tcW w:w="4760" w:type="dxa"/>
            <w:vAlign w:val="bottom"/>
          </w:tcPr>
          <w:p>
            <w:pPr>
              <w:spacing w:after="0"/>
              <w:rPr>
                <w:sz w:val="5"/>
                <w:szCs w:val="5"/>
                <w:color w:val="auto"/>
              </w:rPr>
            </w:pPr>
          </w:p>
        </w:tc>
        <w:tc>
          <w:tcPr>
            <w:tcW w:w="1680" w:type="dxa"/>
            <w:vAlign w:val="bottom"/>
            <w:gridSpan w:val="4"/>
            <w:vMerge w:val="continue"/>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3"/>
            <w:vMerge w:val="restart"/>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Paid-in</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gridSpan w:val="3"/>
            <w:vMerge w:val="restart"/>
          </w:tcPr>
          <w:p>
            <w:pPr>
              <w:ind w:left="80"/>
              <w:spacing w:after="0" w:line="122" w:lineRule="exact"/>
              <w:rPr>
                <w:sz w:val="20"/>
                <w:szCs w:val="20"/>
                <w:color w:val="auto"/>
              </w:rPr>
            </w:pPr>
            <w:r>
              <w:rPr>
                <w:rFonts w:ascii="Arial" w:cs="Arial" w:eastAsia="Arial" w:hAnsi="Arial"/>
                <w:sz w:val="11"/>
                <w:szCs w:val="11"/>
                <w:b w:val="1"/>
                <w:bCs w:val="1"/>
                <w:color w:val="auto"/>
              </w:rPr>
              <w:t>Retained</w:t>
            </w:r>
          </w:p>
        </w:tc>
        <w:tc>
          <w:tcPr>
            <w:tcW w:w="20" w:type="dxa"/>
            <w:vAlign w:val="bottom"/>
          </w:tcPr>
          <w:p>
            <w:pPr>
              <w:spacing w:after="0"/>
              <w:rPr>
                <w:sz w:val="5"/>
                <w:szCs w:val="5"/>
                <w:color w:val="auto"/>
              </w:rPr>
            </w:pPr>
          </w:p>
        </w:tc>
        <w:tc>
          <w:tcPr>
            <w:tcW w:w="1320" w:type="dxa"/>
            <w:vAlign w:val="bottom"/>
            <w:gridSpan w:val="4"/>
            <w:vMerge w:val="restart"/>
          </w:tcPr>
          <w:p>
            <w:pPr>
              <w:jc w:val="center"/>
              <w:ind w:right="80"/>
              <w:spacing w:after="0" w:line="122" w:lineRule="exact"/>
              <w:rPr>
                <w:sz w:val="20"/>
                <w:szCs w:val="20"/>
                <w:color w:val="auto"/>
              </w:rPr>
            </w:pPr>
            <w:r>
              <w:rPr>
                <w:rFonts w:ascii="Arial" w:cs="Arial" w:eastAsia="Arial" w:hAnsi="Arial"/>
                <w:sz w:val="11"/>
                <w:szCs w:val="11"/>
                <w:b w:val="1"/>
                <w:bCs w:val="1"/>
                <w:color w:val="auto"/>
                <w:w w:val="86"/>
              </w:rPr>
              <w:t>Comprehensive Income</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gridSpan w:val="2"/>
            <w:vMerge w:val="restart"/>
          </w:tcPr>
          <w:p>
            <w:pPr>
              <w:jc w:val="center"/>
              <w:ind w:right="180"/>
              <w:spacing w:after="0" w:line="122" w:lineRule="exact"/>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22"/>
        </w:trPr>
        <w:tc>
          <w:tcPr>
            <w:tcW w:w="4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4"/>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4"/>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760" w:type="dxa"/>
            <w:vAlign w:val="bottom"/>
          </w:tcPr>
          <w:p>
            <w:pPr>
              <w:spacing w:after="0"/>
              <w:rPr>
                <w:sz w:val="12"/>
                <w:szCs w:val="12"/>
                <w:color w:val="auto"/>
              </w:rPr>
            </w:pPr>
          </w:p>
        </w:tc>
        <w:tc>
          <w:tcPr>
            <w:tcW w:w="980" w:type="dxa"/>
            <w:vAlign w:val="bottom"/>
            <w:gridSpan w:val="2"/>
          </w:tcPr>
          <w:p>
            <w:pPr>
              <w:ind w:left="30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92"/>
              </w:rPr>
              <w:t>Capital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Earnings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84"/>
              </w:rPr>
              <w:t>(Loss)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22"/>
        </w:trPr>
        <w:tc>
          <w:tcPr>
            <w:tcW w:w="47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7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Balances at June 30, 2021</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54,594</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544"/>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55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241,718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235,091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476,930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6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49,228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49,228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options exercised</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760" w:type="dxa"/>
            <w:vAlign w:val="bottom"/>
          </w:tcPr>
          <w:p>
            <w:pPr>
              <w:ind w:left="20"/>
              <w:spacing w:after="0"/>
              <w:rPr>
                <w:sz w:val="20"/>
                <w:szCs w:val="20"/>
                <w:color w:val="auto"/>
              </w:rPr>
            </w:pPr>
            <w:r>
              <w:rPr>
                <w:rFonts w:ascii="Arial" w:cs="Arial" w:eastAsia="Arial" w:hAnsi="Arial"/>
                <w:sz w:val="13"/>
                <w:szCs w:val="13"/>
                <w:color w:val="auto"/>
              </w:rPr>
              <w:t>Issuance of common stock upon vesting of restricted stock units</w:t>
            </w:r>
          </w:p>
        </w:tc>
        <w:tc>
          <w:tcPr>
            <w:tcW w:w="900" w:type="dxa"/>
            <w:vAlign w:val="bottom"/>
          </w:tcPr>
          <w:p>
            <w:pPr>
              <w:jc w:val="right"/>
              <w:spacing w:after="0"/>
              <w:rPr>
                <w:sz w:val="20"/>
                <w:szCs w:val="20"/>
                <w:color w:val="auto"/>
              </w:rPr>
            </w:pPr>
            <w:r>
              <w:rPr>
                <w:rFonts w:ascii="Arial" w:cs="Arial" w:eastAsia="Arial" w:hAnsi="Arial"/>
                <w:sz w:val="13"/>
                <w:szCs w:val="13"/>
                <w:color w:val="auto"/>
              </w:rPr>
              <w:t>536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4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under employee stock purchase plan</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7,216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7,216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760" w:type="dxa"/>
            <w:vAlign w:val="bottom"/>
          </w:tcPr>
          <w:p>
            <w:pPr>
              <w:ind w:left="20"/>
              <w:spacing w:after="0"/>
              <w:rPr>
                <w:sz w:val="20"/>
                <w:szCs w:val="20"/>
                <w:color w:val="auto"/>
              </w:rPr>
            </w:pPr>
            <w:r>
              <w:rPr>
                <w:rFonts w:ascii="Arial" w:cs="Arial" w:eastAsia="Arial" w:hAnsi="Arial"/>
                <w:sz w:val="13"/>
                <w:szCs w:val="13"/>
                <w:color w:val="auto"/>
              </w:rPr>
              <w:t>Net settlement for taxes and/or exercise price related to equity awards</w:t>
            </w:r>
          </w:p>
        </w:tc>
        <w:tc>
          <w:tcPr>
            <w:tcW w:w="900" w:type="dxa"/>
            <w:vAlign w:val="bottom"/>
          </w:tcPr>
          <w:p>
            <w:pPr>
              <w:jc w:val="right"/>
              <w:spacing w:after="0"/>
              <w:rPr>
                <w:sz w:val="20"/>
                <w:szCs w:val="20"/>
                <w:color w:val="auto"/>
              </w:rPr>
            </w:pPr>
            <w:r>
              <w:rPr>
                <w:rFonts w:ascii="Arial" w:cs="Arial" w:eastAsia="Arial" w:hAnsi="Arial"/>
                <w:sz w:val="13"/>
                <w:szCs w:val="13"/>
                <w:color w:val="auto"/>
              </w:rPr>
              <w:t>(273)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(68,868)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3"/>
                <w:szCs w:val="13"/>
                <w:color w:val="auto"/>
              </w:rPr>
              <w:t>(68,868)</w:t>
            </w:r>
          </w:p>
        </w:tc>
        <w:tc>
          <w:tcPr>
            <w:tcW w:w="0" w:type="dxa"/>
            <w:vAlign w:val="bottom"/>
          </w:tcPr>
          <w:p>
            <w:pPr>
              <w:spacing w:after="0"/>
              <w:rPr>
                <w:sz w:val="1"/>
                <w:szCs w:val="1"/>
                <w:color w:val="auto"/>
              </w:rPr>
            </w:pPr>
          </w:p>
        </w:tc>
      </w:tr>
      <w:tr>
        <w:trPr>
          <w:trHeight w:val="197"/>
        </w:trPr>
        <w:tc>
          <w:tcPr>
            <w:tcW w:w="4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Unrealized losses on securities, net of tax</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(410)</w:t>
            </w:r>
          </w:p>
        </w:tc>
        <w:tc>
          <w:tcPr>
            <w:tcW w:w="0" w:type="dxa"/>
            <w:vAlign w:val="bottom"/>
          </w:tcPr>
          <w:p>
            <w:pPr>
              <w:spacing w:after="0"/>
              <w:rPr>
                <w:sz w:val="1"/>
                <w:szCs w:val="1"/>
                <w:color w:val="auto"/>
              </w:rPr>
            </w:pPr>
          </w:p>
        </w:tc>
      </w:tr>
      <w:tr>
        <w:trPr>
          <w:trHeight w:val="183"/>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income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40,785</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40,785</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Balances at December 31, 2021</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55,105</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44"/>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231,106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275,876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506,693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240"/>
          </w:cols>
          <w:pgMar w:left="320" w:top="2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2"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Six Months Ended</w:t>
      </w:r>
    </w:p>
    <w:p>
      <w:pPr>
        <w:jc w:val="center"/>
        <w:ind w:left="816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8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0"/>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18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22,102</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40,785</w:t>
            </w:r>
          </w:p>
        </w:tc>
        <w:tc>
          <w:tcPr>
            <w:tcW w:w="0" w:type="dxa"/>
            <w:vAlign w:val="bottom"/>
          </w:tcPr>
          <w:p>
            <w:pPr>
              <w:spacing w:after="0"/>
              <w:rPr>
                <w:sz w:val="1"/>
                <w:szCs w:val="1"/>
                <w:color w:val="auto"/>
              </w:rPr>
            </w:pPr>
          </w:p>
        </w:tc>
      </w:tr>
      <w:tr>
        <w:trPr>
          <w:trHeight w:val="192"/>
        </w:trPr>
        <w:tc>
          <w:tcPr>
            <w:tcW w:w="81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180" w:type="dxa"/>
            <w:vAlign w:val="bottom"/>
          </w:tcPr>
          <w:p>
            <w:pPr>
              <w:ind w:left="360"/>
              <w:spacing w:after="0"/>
              <w:rPr>
                <w:sz w:val="20"/>
                <w:szCs w:val="20"/>
                <w:color w:val="auto"/>
              </w:rPr>
            </w:pPr>
            <w:r>
              <w:rPr>
                <w:rFonts w:ascii="Arial" w:cs="Arial" w:eastAsia="Arial" w:hAnsi="Arial"/>
                <w:sz w:val="14"/>
                <w:szCs w:val="14"/>
                <w:color w:val="auto"/>
              </w:rPr>
              <w:t>Stock-based compensation expense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30,936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45,802</w:t>
            </w:r>
          </w:p>
        </w:tc>
        <w:tc>
          <w:tcPr>
            <w:tcW w:w="0" w:type="dxa"/>
            <w:vAlign w:val="bottom"/>
          </w:tcPr>
          <w:p>
            <w:pPr>
              <w:spacing w:after="0"/>
              <w:rPr>
                <w:sz w:val="1"/>
                <w:szCs w:val="1"/>
                <w:color w:val="auto"/>
              </w:rPr>
            </w:pPr>
          </w:p>
        </w:tc>
      </w:tr>
      <w:tr>
        <w:trPr>
          <w:trHeight w:val="192"/>
        </w:trPr>
        <w:tc>
          <w:tcPr>
            <w:tcW w:w="81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Depreciation and amortization expense</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21,071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23,383</w:t>
            </w:r>
          </w:p>
        </w:tc>
        <w:tc>
          <w:tcPr>
            <w:tcW w:w="0" w:type="dxa"/>
            <w:vAlign w:val="bottom"/>
          </w:tcPr>
          <w:p>
            <w:pPr>
              <w:spacing w:after="0"/>
              <w:rPr>
                <w:sz w:val="1"/>
                <w:szCs w:val="1"/>
                <w:color w:val="auto"/>
              </w:rPr>
            </w:pPr>
          </w:p>
        </w:tc>
      </w:tr>
      <w:tr>
        <w:trPr>
          <w:trHeight w:val="186"/>
        </w:trPr>
        <w:tc>
          <w:tcPr>
            <w:tcW w:w="8180" w:type="dxa"/>
            <w:vAlign w:val="bottom"/>
          </w:tcPr>
          <w:p>
            <w:pPr>
              <w:ind w:left="360"/>
              <w:spacing w:after="0"/>
              <w:rPr>
                <w:sz w:val="20"/>
                <w:szCs w:val="20"/>
                <w:color w:val="auto"/>
              </w:rPr>
            </w:pPr>
            <w:r>
              <w:rPr>
                <w:rFonts w:ascii="Arial" w:cs="Arial" w:eastAsia="Arial" w:hAnsi="Arial"/>
                <w:sz w:val="14"/>
                <w:szCs w:val="14"/>
                <w:color w:val="auto"/>
              </w:rPr>
              <w:t>Deferred income tax benefit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(12,940)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(22,952)</w:t>
            </w:r>
          </w:p>
        </w:tc>
        <w:tc>
          <w:tcPr>
            <w:tcW w:w="0" w:type="dxa"/>
            <w:vAlign w:val="bottom"/>
          </w:tcPr>
          <w:p>
            <w:pPr>
              <w:spacing w:after="0"/>
              <w:rPr>
                <w:sz w:val="1"/>
                <w:szCs w:val="1"/>
                <w:color w:val="auto"/>
              </w:rPr>
            </w:pPr>
          </w:p>
        </w:tc>
      </w:tr>
      <w:tr>
        <w:trPr>
          <w:trHeight w:val="192"/>
        </w:trPr>
        <w:tc>
          <w:tcPr>
            <w:tcW w:w="81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Provision for credit losses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86"/>
        </w:trPr>
        <w:tc>
          <w:tcPr>
            <w:tcW w:w="8180" w:type="dxa"/>
            <w:vAlign w:val="bottom"/>
          </w:tcPr>
          <w:p>
            <w:pPr>
              <w:ind w:left="360"/>
              <w:spacing w:after="0"/>
              <w:rPr>
                <w:sz w:val="20"/>
                <w:szCs w:val="20"/>
                <w:color w:val="auto"/>
              </w:rPr>
            </w:pPr>
            <w:r>
              <w:rPr>
                <w:rFonts w:ascii="Arial" w:cs="Arial" w:eastAsia="Arial" w:hAnsi="Arial"/>
                <w:sz w:val="14"/>
                <w:szCs w:val="14"/>
                <w:color w:val="auto"/>
              </w:rPr>
              <w:t>Net accretion of discounts and amortization of premiums on available-for-sale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92"/>
        </w:trPr>
        <w:tc>
          <w:tcPr>
            <w:tcW w:w="81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Amortization of debt issuance costs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86"/>
        </w:trPr>
        <w:tc>
          <w:tcPr>
            <w:tcW w:w="8180" w:type="dxa"/>
            <w:vAlign w:val="bottom"/>
          </w:tcPr>
          <w:p>
            <w:pPr>
              <w:ind w:left="36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92"/>
        </w:trPr>
        <w:tc>
          <w:tcPr>
            <w:tcW w:w="81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180" w:type="dxa"/>
            <w:vAlign w:val="bottom"/>
          </w:tcPr>
          <w:p>
            <w:pPr>
              <w:ind w:left="460"/>
              <w:spacing w:after="0"/>
              <w:rPr>
                <w:sz w:val="20"/>
                <w:szCs w:val="20"/>
                <w:color w:val="auto"/>
              </w:rPr>
            </w:pPr>
            <w:r>
              <w:rPr>
                <w:rFonts w:ascii="Arial" w:cs="Arial" w:eastAsia="Arial" w:hAnsi="Arial"/>
                <w:sz w:val="14"/>
                <w:szCs w:val="14"/>
                <w:color w:val="auto"/>
              </w:rPr>
              <w:t>Accounts receivable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(1,287)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(916)</w:t>
            </w:r>
          </w:p>
        </w:tc>
        <w:tc>
          <w:tcPr>
            <w:tcW w:w="0" w:type="dxa"/>
            <w:vAlign w:val="bottom"/>
          </w:tcPr>
          <w:p>
            <w:pPr>
              <w:spacing w:after="0"/>
              <w:rPr>
                <w:sz w:val="1"/>
                <w:szCs w:val="1"/>
                <w:color w:val="auto"/>
              </w:rPr>
            </w:pPr>
          </w:p>
        </w:tc>
      </w:tr>
      <w:tr>
        <w:trPr>
          <w:trHeight w:val="192"/>
        </w:trPr>
        <w:tc>
          <w:tcPr>
            <w:tcW w:w="81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Deferred contract costs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(23,431)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(26,786)</w:t>
            </w:r>
          </w:p>
        </w:tc>
        <w:tc>
          <w:tcPr>
            <w:tcW w:w="0" w:type="dxa"/>
            <w:vAlign w:val="bottom"/>
          </w:tcPr>
          <w:p>
            <w:pPr>
              <w:spacing w:after="0"/>
              <w:rPr>
                <w:sz w:val="1"/>
                <w:szCs w:val="1"/>
                <w:color w:val="auto"/>
              </w:rPr>
            </w:pPr>
          </w:p>
        </w:tc>
      </w:tr>
      <w:tr>
        <w:trPr>
          <w:trHeight w:val="186"/>
        </w:trPr>
        <w:tc>
          <w:tcPr>
            <w:tcW w:w="8180" w:type="dxa"/>
            <w:vAlign w:val="bottom"/>
          </w:tcPr>
          <w:p>
            <w:pPr>
              <w:ind w:left="460"/>
              <w:spacing w:after="0"/>
              <w:rPr>
                <w:sz w:val="20"/>
                <w:szCs w:val="20"/>
                <w:color w:val="auto"/>
              </w:rPr>
            </w:pPr>
            <w:r>
              <w:rPr>
                <w:rFonts w:ascii="Arial" w:cs="Arial" w:eastAsia="Arial" w:hAnsi="Arial"/>
                <w:sz w:val="14"/>
                <w:szCs w:val="14"/>
                <w:color w:val="auto"/>
              </w:rPr>
              <w:t>Prepaid expenses and other</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(3,388)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(10,008)</w:t>
            </w:r>
          </w:p>
        </w:tc>
        <w:tc>
          <w:tcPr>
            <w:tcW w:w="0" w:type="dxa"/>
            <w:vAlign w:val="bottom"/>
          </w:tcPr>
          <w:p>
            <w:pPr>
              <w:spacing w:after="0"/>
              <w:rPr>
                <w:sz w:val="1"/>
                <w:szCs w:val="1"/>
                <w:color w:val="auto"/>
              </w:rPr>
            </w:pPr>
          </w:p>
        </w:tc>
      </w:tr>
      <w:tr>
        <w:trPr>
          <w:trHeight w:val="192"/>
        </w:trPr>
        <w:tc>
          <w:tcPr>
            <w:tcW w:w="81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Accounts payable</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w:t>
            </w:r>
          </w:p>
        </w:tc>
        <w:tc>
          <w:tcPr>
            <w:tcW w:w="0" w:type="dxa"/>
            <w:vAlign w:val="bottom"/>
          </w:tcPr>
          <w:p>
            <w:pPr>
              <w:spacing w:after="0"/>
              <w:rPr>
                <w:sz w:val="1"/>
                <w:szCs w:val="1"/>
                <w:color w:val="auto"/>
              </w:rPr>
            </w:pPr>
          </w:p>
        </w:tc>
      </w:tr>
      <w:tr>
        <w:trPr>
          <w:trHeight w:val="186"/>
        </w:trPr>
        <w:tc>
          <w:tcPr>
            <w:tcW w:w="818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Accrued expenses and other</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(15,412)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(24,514)</w:t>
            </w:r>
          </w:p>
        </w:tc>
        <w:tc>
          <w:tcPr>
            <w:tcW w:w="0" w:type="dxa"/>
            <w:vAlign w:val="bottom"/>
          </w:tcPr>
          <w:p>
            <w:pPr>
              <w:spacing w:after="0"/>
              <w:rPr>
                <w:sz w:val="1"/>
                <w:szCs w:val="1"/>
                <w:color w:val="auto"/>
              </w:rPr>
            </w:pPr>
          </w:p>
        </w:tc>
      </w:tr>
      <w:tr>
        <w:trPr>
          <w:trHeight w:val="186"/>
        </w:trPr>
        <w:tc>
          <w:tcPr>
            <w:tcW w:w="81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19,672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26,858</w:t>
            </w:r>
          </w:p>
        </w:tc>
        <w:tc>
          <w:tcPr>
            <w:tcW w:w="0" w:type="dxa"/>
            <w:vAlign w:val="bottom"/>
          </w:tcPr>
          <w:p>
            <w:pPr>
              <w:spacing w:after="0"/>
              <w:rPr>
                <w:sz w:val="1"/>
                <w:szCs w:val="1"/>
                <w:color w:val="auto"/>
              </w:rPr>
            </w:pPr>
          </w:p>
        </w:tc>
      </w:tr>
      <w:tr>
        <w:trPr>
          <w:trHeight w:val="186"/>
        </w:trPr>
        <w:tc>
          <w:tcPr>
            <w:tcW w:w="818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Purchases of available-for-sale securities</w:t>
            </w: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(190,000)</w:t>
            </w:r>
          </w:p>
        </w:tc>
        <w:tc>
          <w:tcPr>
            <w:tcW w:w="0" w:type="dxa"/>
            <w:vAlign w:val="bottom"/>
          </w:tcPr>
          <w:p>
            <w:pPr>
              <w:spacing w:after="0"/>
              <w:rPr>
                <w:sz w:val="1"/>
                <w:szCs w:val="1"/>
                <w:color w:val="auto"/>
              </w:rPr>
            </w:pPr>
          </w:p>
        </w:tc>
      </w:tr>
      <w:tr>
        <w:trPr>
          <w:trHeight w:val="186"/>
        </w:trPr>
        <w:tc>
          <w:tcPr>
            <w:tcW w:w="8180" w:type="dxa"/>
            <w:vAlign w:val="bottom"/>
          </w:tcPr>
          <w:p>
            <w:pPr>
              <w:ind w:left="240"/>
              <w:spacing w:after="0"/>
              <w:rPr>
                <w:sz w:val="20"/>
                <w:szCs w:val="20"/>
                <w:color w:val="auto"/>
              </w:rPr>
            </w:pPr>
            <w:r>
              <w:rPr>
                <w:rFonts w:ascii="Arial" w:cs="Arial" w:eastAsia="Arial" w:hAnsi="Arial"/>
                <w:sz w:val="14"/>
                <w:szCs w:val="14"/>
                <w:color w:val="auto"/>
              </w:rPr>
              <w:t>Proceeds from sales and maturities of available-for-sale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58,996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60,391</w:t>
            </w:r>
          </w:p>
        </w:tc>
        <w:tc>
          <w:tcPr>
            <w:tcW w:w="0" w:type="dxa"/>
            <w:vAlign w:val="bottom"/>
          </w:tcPr>
          <w:p>
            <w:pPr>
              <w:spacing w:after="0"/>
              <w:rPr>
                <w:sz w:val="1"/>
                <w:szCs w:val="1"/>
                <w:color w:val="auto"/>
              </w:rPr>
            </w:pPr>
          </w:p>
        </w:tc>
      </w:tr>
      <w:tr>
        <w:trPr>
          <w:trHeight w:val="192"/>
        </w:trPr>
        <w:tc>
          <w:tcPr>
            <w:tcW w:w="81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Capitalized internal-use software costs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(14,832)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(17,966)</w:t>
            </w:r>
          </w:p>
        </w:tc>
        <w:tc>
          <w:tcPr>
            <w:tcW w:w="0" w:type="dxa"/>
            <w:vAlign w:val="bottom"/>
          </w:tcPr>
          <w:p>
            <w:pPr>
              <w:spacing w:after="0"/>
              <w:rPr>
                <w:sz w:val="1"/>
                <w:szCs w:val="1"/>
                <w:color w:val="auto"/>
              </w:rPr>
            </w:pPr>
          </w:p>
        </w:tc>
      </w:tr>
      <w:tr>
        <w:trPr>
          <w:trHeight w:val="186"/>
        </w:trPr>
        <w:tc>
          <w:tcPr>
            <w:tcW w:w="8180" w:type="dxa"/>
            <w:vAlign w:val="bottom"/>
          </w:tcPr>
          <w:p>
            <w:pPr>
              <w:ind w:left="240"/>
              <w:spacing w:after="0"/>
              <w:rPr>
                <w:sz w:val="20"/>
                <w:szCs w:val="20"/>
                <w:color w:val="auto"/>
              </w:rPr>
            </w:pPr>
            <w:r>
              <w:rPr>
                <w:rFonts w:ascii="Arial" w:cs="Arial" w:eastAsia="Arial" w:hAnsi="Arial"/>
                <w:sz w:val="14"/>
                <w:szCs w:val="14"/>
                <w:color w:val="auto"/>
              </w:rPr>
              <w:t>Purchases of property and equipment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(6,045)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(10,528)</w:t>
            </w:r>
          </w:p>
        </w:tc>
        <w:tc>
          <w:tcPr>
            <w:tcW w:w="0" w:type="dxa"/>
            <w:vAlign w:val="bottom"/>
          </w:tcPr>
          <w:p>
            <w:pPr>
              <w:spacing w:after="0"/>
              <w:rPr>
                <w:sz w:val="1"/>
                <w:szCs w:val="1"/>
                <w:color w:val="auto"/>
              </w:rPr>
            </w:pPr>
          </w:p>
        </w:tc>
      </w:tr>
      <w:tr>
        <w:trPr>
          <w:trHeight w:val="192"/>
        </w:trPr>
        <w:tc>
          <w:tcPr>
            <w:tcW w:w="81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Acquisition of business, net of cash acquired</w:t>
            </w: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(14,992)</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(60,234)</w:t>
            </w:r>
          </w:p>
        </w:tc>
        <w:tc>
          <w:tcPr>
            <w:tcW w:w="0" w:type="dxa"/>
            <w:vAlign w:val="bottom"/>
          </w:tcPr>
          <w:p>
            <w:pPr>
              <w:spacing w:after="0"/>
              <w:rPr>
                <w:sz w:val="1"/>
                <w:szCs w:val="1"/>
                <w:color w:val="auto"/>
              </w:rPr>
            </w:pPr>
          </w:p>
        </w:tc>
      </w:tr>
      <w:tr>
        <w:trPr>
          <w:trHeight w:val="179"/>
        </w:trPr>
        <w:tc>
          <w:tcPr>
            <w:tcW w:w="8180" w:type="dxa"/>
            <w:vAlign w:val="bottom"/>
          </w:tcPr>
          <w:p>
            <w:pPr>
              <w:ind w:left="680"/>
              <w:spacing w:after="0"/>
              <w:rPr>
                <w:sz w:val="20"/>
                <w:szCs w:val="20"/>
                <w:color w:val="auto"/>
              </w:rPr>
            </w:pPr>
            <w:r>
              <w:rPr>
                <w:rFonts w:ascii="Arial" w:cs="Arial" w:eastAsia="Arial" w:hAnsi="Arial"/>
                <w:sz w:val="14"/>
                <w:szCs w:val="14"/>
                <w:color w:val="auto"/>
              </w:rPr>
              <w:t>Net cash provided by (used in) investing activities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23,127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(218,337)</w:t>
            </w:r>
          </w:p>
        </w:tc>
        <w:tc>
          <w:tcPr>
            <w:tcW w:w="0" w:type="dxa"/>
            <w:vAlign w:val="bottom"/>
          </w:tcPr>
          <w:p>
            <w:pPr>
              <w:spacing w:after="0"/>
              <w:rPr>
                <w:sz w:val="1"/>
                <w:szCs w:val="1"/>
                <w:color w:val="auto"/>
              </w:rPr>
            </w:pPr>
          </w:p>
        </w:tc>
      </w:tr>
      <w:tr>
        <w:trPr>
          <w:trHeight w:val="192"/>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180" w:type="dxa"/>
            <w:vAlign w:val="bottom"/>
          </w:tcPr>
          <w:p>
            <w:pPr>
              <w:ind w:left="240"/>
              <w:spacing w:after="0"/>
              <w:rPr>
                <w:sz w:val="20"/>
                <w:szCs w:val="20"/>
                <w:color w:val="auto"/>
              </w:rPr>
            </w:pPr>
            <w:r>
              <w:rPr>
                <w:rFonts w:ascii="Arial" w:cs="Arial" w:eastAsia="Arial" w:hAnsi="Arial"/>
                <w:sz w:val="14"/>
                <w:szCs w:val="14"/>
                <w:color w:val="auto"/>
              </w:rPr>
              <w:t>Net change in client fund obligations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876,982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160,325</w:t>
            </w:r>
          </w:p>
        </w:tc>
        <w:tc>
          <w:tcPr>
            <w:tcW w:w="0" w:type="dxa"/>
            <w:vAlign w:val="bottom"/>
          </w:tcPr>
          <w:p>
            <w:pPr>
              <w:spacing w:after="0"/>
              <w:rPr>
                <w:sz w:val="1"/>
                <w:szCs w:val="1"/>
                <w:color w:val="auto"/>
              </w:rPr>
            </w:pPr>
          </w:p>
        </w:tc>
      </w:tr>
      <w:tr>
        <w:trPr>
          <w:trHeight w:val="192"/>
        </w:trPr>
        <w:tc>
          <w:tcPr>
            <w:tcW w:w="81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Proceeds from employee stock purchase plan</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7,216</w:t>
            </w:r>
          </w:p>
        </w:tc>
        <w:tc>
          <w:tcPr>
            <w:tcW w:w="0" w:type="dxa"/>
            <w:vAlign w:val="bottom"/>
          </w:tcPr>
          <w:p>
            <w:pPr>
              <w:spacing w:after="0"/>
              <w:rPr>
                <w:sz w:val="1"/>
                <w:szCs w:val="1"/>
                <w:color w:val="auto"/>
              </w:rPr>
            </w:pPr>
          </w:p>
        </w:tc>
      </w:tr>
      <w:tr>
        <w:trPr>
          <w:trHeight w:val="186"/>
        </w:trPr>
        <w:tc>
          <w:tcPr>
            <w:tcW w:w="8180" w:type="dxa"/>
            <w:vAlign w:val="bottom"/>
          </w:tcPr>
          <w:p>
            <w:pPr>
              <w:ind w:left="240"/>
              <w:spacing w:after="0"/>
              <w:rPr>
                <w:sz w:val="20"/>
                <w:szCs w:val="20"/>
                <w:color w:val="auto"/>
              </w:rPr>
            </w:pPr>
            <w:r>
              <w:rPr>
                <w:rFonts w:ascii="Arial" w:cs="Arial" w:eastAsia="Arial" w:hAnsi="Arial"/>
                <w:sz w:val="14"/>
                <w:szCs w:val="14"/>
                <w:color w:val="auto"/>
              </w:rPr>
              <w:t>Taxes paid related to net share settlement of equity awards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(44,749)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(67,109)</w:t>
            </w:r>
          </w:p>
        </w:tc>
        <w:tc>
          <w:tcPr>
            <w:tcW w:w="0" w:type="dxa"/>
            <w:vAlign w:val="bottom"/>
          </w:tcPr>
          <w:p>
            <w:pPr>
              <w:spacing w:after="0"/>
              <w:rPr>
                <w:sz w:val="1"/>
                <w:szCs w:val="1"/>
                <w:color w:val="auto"/>
              </w:rPr>
            </w:pPr>
          </w:p>
        </w:tc>
      </w:tr>
      <w:tr>
        <w:trPr>
          <w:trHeight w:val="192"/>
        </w:trPr>
        <w:tc>
          <w:tcPr>
            <w:tcW w:w="81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Payment of debt issuance costs</w:t>
            </w: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79"/>
        </w:trPr>
        <w:tc>
          <w:tcPr>
            <w:tcW w:w="818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Net cash provided by financing activities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838,316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100,391</w:t>
            </w:r>
          </w:p>
        </w:tc>
        <w:tc>
          <w:tcPr>
            <w:tcW w:w="0" w:type="dxa"/>
            <w:vAlign w:val="bottom"/>
          </w:tcPr>
          <w:p>
            <w:pPr>
              <w:spacing w:after="0"/>
              <w:rPr>
                <w:sz w:val="1"/>
                <w:szCs w:val="1"/>
                <w:color w:val="auto"/>
              </w:rPr>
            </w:pPr>
          </w:p>
        </w:tc>
      </w:tr>
      <w:tr>
        <w:trPr>
          <w:trHeight w:val="186"/>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cash, cash equivalents and funds held for clients' cash and cash equivalents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881,115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(91,088)</w:t>
            </w:r>
          </w:p>
        </w:tc>
        <w:tc>
          <w:tcPr>
            <w:tcW w:w="0" w:type="dxa"/>
            <w:vAlign w:val="bottom"/>
          </w:tcPr>
          <w:p>
            <w:pPr>
              <w:spacing w:after="0"/>
              <w:rPr>
                <w:sz w:val="1"/>
                <w:szCs w:val="1"/>
                <w:color w:val="auto"/>
              </w:rPr>
            </w:pPr>
          </w:p>
        </w:tc>
      </w:tr>
      <w:tr>
        <w:trPr>
          <w:trHeight w:val="186"/>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funds held for clients' cash and cash equivalents—beginning of period</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1,492,133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1,945,881</w:t>
            </w:r>
          </w:p>
        </w:tc>
        <w:tc>
          <w:tcPr>
            <w:tcW w:w="0" w:type="dxa"/>
            <w:vAlign w:val="bottom"/>
          </w:tcPr>
          <w:p>
            <w:pPr>
              <w:spacing w:after="0"/>
              <w:rPr>
                <w:sz w:val="1"/>
                <w:szCs w:val="1"/>
                <w:color w:val="auto"/>
              </w:rPr>
            </w:pPr>
          </w:p>
        </w:tc>
      </w:tr>
      <w:tr>
        <w:trPr>
          <w:trHeight w:val="21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funds held for clients' cash and cash equivalents—end of period</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2,373,248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1,854,793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Supplemental Disclosure of Non-Cash Investing and Financing Activities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1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Purchases of property and equipment, accrued but not paid</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80" w:type="dxa"/>
            <w:vAlign w:val="bottom"/>
          </w:tcPr>
          <w:p>
            <w:pPr>
              <w:ind w:left="240"/>
              <w:spacing w:after="0"/>
              <w:rPr>
                <w:sz w:val="20"/>
                <w:szCs w:val="20"/>
                <w:color w:val="auto"/>
              </w:rPr>
            </w:pPr>
            <w:r>
              <w:rPr>
                <w:rFonts w:ascii="Arial" w:cs="Arial" w:eastAsia="Arial" w:hAnsi="Arial"/>
                <w:sz w:val="14"/>
                <w:szCs w:val="14"/>
                <w:color w:val="auto"/>
              </w:rPr>
              <w:t>Liabilities assumed for acquisition</w:t>
            </w: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1,874</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Supplemental Disclosure of Cash Flow Information</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240"/>
              <w:spacing w:after="0"/>
              <w:rPr>
                <w:sz w:val="20"/>
                <w:szCs w:val="20"/>
                <w:color w:val="auto"/>
              </w:rPr>
            </w:pPr>
            <w:r>
              <w:rPr>
                <w:rFonts w:ascii="Arial" w:cs="Arial" w:eastAsia="Arial" w:hAnsi="Arial"/>
                <w:sz w:val="14"/>
                <w:szCs w:val="14"/>
                <w:color w:val="auto"/>
              </w:rPr>
              <w:t>Cash paid for interest</w:t>
            </w: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Refunds received for income taxes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Reconciliation of cash, cash equivalents and funds held for clients' cash and cash equivalents to the Consolidated Balance Sheets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1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218,696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84,104</w:t>
            </w:r>
          </w:p>
        </w:tc>
        <w:tc>
          <w:tcPr>
            <w:tcW w:w="0" w:type="dxa"/>
            <w:vAlign w:val="bottom"/>
          </w:tcPr>
          <w:p>
            <w:pPr>
              <w:spacing w:after="0"/>
              <w:rPr>
                <w:sz w:val="1"/>
                <w:szCs w:val="1"/>
                <w:color w:val="auto"/>
              </w:rPr>
            </w:pPr>
          </w:p>
        </w:tc>
      </w:tr>
      <w:tr>
        <w:trPr>
          <w:trHeight w:val="186"/>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Funds held for clients' cash and cash equivalents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2,154,552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1,770,689</w:t>
            </w:r>
          </w:p>
        </w:tc>
        <w:tc>
          <w:tcPr>
            <w:tcW w:w="0" w:type="dxa"/>
            <w:vAlign w:val="bottom"/>
          </w:tcPr>
          <w:p>
            <w:pPr>
              <w:spacing w:after="0"/>
              <w:rPr>
                <w:sz w:val="1"/>
                <w:szCs w:val="1"/>
                <w:color w:val="auto"/>
              </w:rPr>
            </w:pPr>
          </w:p>
        </w:tc>
      </w:tr>
      <w:tr>
        <w:trPr>
          <w:trHeight w:val="21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cash, cash equivalents and funds held for clients' cash and cash equivalents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2,373,248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1,854,793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thousands, except per share data)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Paylocity Holding Corporation (the “Company”) is a cloud-based provider of payroll and human capital management software solutions. Services are provided in a Software-as-a-Service (“SaaS”) delivery model utilizing the Company’s cloud-based platform. The Company’s comprehensive product suite, comprised of payroll, human capital management, workforce management, talent management, benefits, modern workforce solutions and analytics &amp; insights, delivers a unified platform that allows clients to make strategic decisions while promoting a modern workplace and improving employee engagement.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02"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Basis of Presentation, Consolidation and Use of Estimates</w:t>
      </w:r>
    </w:p>
    <w:p>
      <w:pPr>
        <w:spacing w:after="0" w:line="185"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These unaudited consolidated financial statements have been prepared in accordance with U.S. generally accepted accounting principles (“GAAP”). The unaudited consolidated financial statements include the accounts of the Company and its wholly owned subsidiaries. All intercompany accounts and transactions have been eliminated in consolidation.</w:t>
      </w:r>
    </w:p>
    <w:p>
      <w:pPr>
        <w:spacing w:after="0" w:line="18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Future events and their effects cannot be predicted with certainty; accordingly, accounting estimates require the exercise of judgment. Accounting estimates used in the preparation of these consolidated financial statements may change as new events occur, as more experience is acquired, as additional information is obtained and as the operating environment changes.</w:t>
      </w:r>
    </w:p>
    <w:p>
      <w:pPr>
        <w:spacing w:after="0" w:line="152"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Interim Unaudited Consolidated Financial Information</w:t>
      </w:r>
    </w:p>
    <w:p>
      <w:pPr>
        <w:spacing w:after="0" w:line="225"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The accompanying unaudited consolidated financial statements and notes have been prepared in accordance with GAAP and applicable rules and regulations of the Securities and Exchange Commission (“SEC”) regarding interim financial reporting. Accordingly, they do not include all of the information and notes required by GAAP for complete financial statements. In the opinion of management, the interim financial information includes all adjustments of a normal recurring nature necessary for a fair presentation of the Company’s financial position, results of operations, changes in stockholders’ equity and cash flows. The results of operations for three and six months ended December 31, 2021 are not necessarily indicative of the results for the full year or the results for any future periods. These unaudited consolidated financial statements should be read in conjunction with the audited consolidated financial statements and related notes for the year ended June 30, 2021 included in the Company’s Annual Report on Form 10-K.</w:t>
      </w:r>
    </w:p>
    <w:p>
      <w:pPr>
        <w:spacing w:after="0" w:line="139"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Income taxes are accounted for in accordance with ASC 740, Income Taxes, using the asset and liability method. The Company’s provision for income taxes is based on the annual effective rate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9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net-recorded amount, it would make an adjustment to the deferred tax asset valuation allowance, which would reduce the provision for income taxes.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jc w:val="both"/>
        <w:ind w:right="120" w:firstLine="648"/>
        <w:spacing w:after="0" w:line="311"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or other standard setting bodies that are adopted by the Company as of the specified effective date. Unless otherwise discussed, the Company believes that the impact of other recently issued standards that are not yet effective will not have a material impact on the Company’s consolidated financial statements upon adoption.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202"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Company derives its revenue from contracts predominantly from recurring and non-recurring service fees. While the majority of its agreements are generally cancellable by the client on 60 days’ notice or less, the Company also offers term agreements to its clients, which are generally two years in length. Recurring fees are derived from payroll, timekeeping, and HR-related cloud-based computing services. The majority of the Company’s recurring fees are satisfied over time as services are provided. The performance obligations related to payroll services are satisfied upon the processing of the client’s payroll with the fee charged and collected based on a per employee per payroll frequency fee. The performance obligations related to time and attendance services and HR related services are satisfied over time each month with the fee charged and collected based on a per employee per month fee. For subscription-based fees which can include payroll, time and attendance, and HR related services, the Company recognizes the applicable recurring fees over time each month with the fee charged and collected based on a per employee per month fee. Non-recurring service fees consist mainly of nonrefundable implementation fees, which involve setting the client up in, and loading data into, the Company’s cloud-based modules. These implementation activities are considered set-up activities. The Company has determined that the nonrefundable upfront fees provide certain clients with a material right to renew the contract.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8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disaggregates revenue by Recurring fees and Implementation services and other, which the Company believes depicts the nature, amount and timing of its revenue: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8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3"/>
                <w:szCs w:val="13"/>
                <w:color w:val="auto"/>
              </w:rPr>
            </w:pPr>
          </w:p>
        </w:tc>
      </w:tr>
      <w:tr>
        <w:trPr>
          <w:trHeight w:val="188"/>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183"/>
        </w:trPr>
        <w:tc>
          <w:tcPr>
            <w:tcW w:w="50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w w:val="96"/>
              </w:rPr>
              <w:t>2021</w:t>
            </w:r>
          </w:p>
        </w:tc>
      </w:tr>
      <w:tr>
        <w:trPr>
          <w:trHeight w:val="224"/>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Recurring fees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140,461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270,153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362,856</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Implementation services and other</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4,932</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13,009</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from contracts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145,393</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280,268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375,865</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85" w:lineRule="exact"/>
        <w:rPr>
          <w:sz w:val="20"/>
          <w:szCs w:val="20"/>
          <w:color w:val="auto"/>
        </w:rPr>
      </w:pPr>
    </w:p>
    <w:p>
      <w:pPr>
        <w:ind w:right="480" w:firstLine="648"/>
        <w:spacing w:after="0" w:line="263" w:lineRule="auto"/>
        <w:rPr>
          <w:sz w:val="20"/>
          <w:szCs w:val="20"/>
          <w:color w:val="auto"/>
        </w:rPr>
      </w:pPr>
      <w:r>
        <w:rPr>
          <w:rFonts w:ascii="Arial" w:cs="Arial" w:eastAsia="Arial" w:hAnsi="Arial"/>
          <w:sz w:val="18"/>
          <w:szCs w:val="18"/>
          <w:color w:val="auto"/>
        </w:rPr>
        <w:t>The timing of revenue recognition for recurring revenue is consistent with the timing of invoicing as they occur simultaneously based on the client’s payroll frequency or by month for subscription-based fees. As such, the Company does not recognize contract assets or liabilities related to recurring revenue.</w:t>
      </w:r>
    </w:p>
    <w:p>
      <w:pPr>
        <w:spacing w:after="0" w:line="143" w:lineRule="exact"/>
        <w:rPr>
          <w:sz w:val="20"/>
          <w:szCs w:val="20"/>
          <w:color w:val="auto"/>
        </w:rPr>
      </w:pPr>
    </w:p>
    <w:p>
      <w:pPr>
        <w:jc w:val="both"/>
        <w:ind w:right="380" w:firstLine="648"/>
        <w:spacing w:after="0" w:line="286" w:lineRule="auto"/>
        <w:rPr>
          <w:sz w:val="20"/>
          <w:szCs w:val="20"/>
          <w:color w:val="auto"/>
        </w:rPr>
      </w:pPr>
      <w:r>
        <w:rPr>
          <w:rFonts w:ascii="Arial" w:cs="Arial" w:eastAsia="Arial" w:hAnsi="Arial"/>
          <w:sz w:val="17"/>
          <w:szCs w:val="17"/>
          <w:color w:val="auto"/>
        </w:rPr>
        <w:t>The nonrefundable upfront fees related to implementation services are invoiced with the client’s first payroll period. The Company defers and amortizes these nonrefundable upfront fees generally over a period up to 24 months based on the type of contract. The following table summarizes the changes in deferred revenue (i.e. contract liability) related to these nonrefundable upfront fees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46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Six Months Ended</w:t>
            </w:r>
          </w:p>
        </w:tc>
        <w:tc>
          <w:tcPr>
            <w:tcW w:w="920" w:type="dxa"/>
            <w:vAlign w:val="bottom"/>
          </w:tcPr>
          <w:p>
            <w:pPr>
              <w:spacing w:after="0"/>
              <w:rPr>
                <w:sz w:val="14"/>
                <w:szCs w:val="14"/>
                <w:color w:val="auto"/>
              </w:rPr>
            </w:pPr>
          </w:p>
        </w:tc>
      </w:tr>
      <w:tr>
        <w:trPr>
          <w:trHeight w:val="186"/>
        </w:trPr>
        <w:tc>
          <w:tcPr>
            <w:tcW w:w="5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60" w:type="dxa"/>
            <w:vAlign w:val="bottom"/>
            <w:gridSpan w:val="3"/>
          </w:tcPr>
          <w:p>
            <w:pPr>
              <w:jc w:val="right"/>
              <w:ind w:right="436"/>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Pr>
          <w:p>
            <w:pPr>
              <w:spacing w:after="0"/>
              <w:rPr>
                <w:sz w:val="16"/>
                <w:szCs w:val="16"/>
                <w:color w:val="auto"/>
              </w:rPr>
            </w:pPr>
          </w:p>
        </w:tc>
      </w:tr>
      <w:tr>
        <w:trPr>
          <w:trHeight w:val="25"/>
        </w:trPr>
        <w:tc>
          <w:tcPr>
            <w:tcW w:w="5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4"/>
              <w:spacing w:after="0"/>
              <w:rPr>
                <w:sz w:val="20"/>
                <w:szCs w:val="20"/>
                <w:color w:val="auto"/>
              </w:rPr>
            </w:pPr>
            <w:r>
              <w:rPr>
                <w:rFonts w:ascii="Arial" w:cs="Arial" w:eastAsia="Arial" w:hAnsi="Arial"/>
                <w:sz w:val="14"/>
                <w:szCs w:val="14"/>
                <w:b w:val="1"/>
                <w:bCs w:val="1"/>
                <w:color w:val="auto"/>
                <w:w w:val="96"/>
              </w:rPr>
              <w:t>2021</w:t>
            </w:r>
          </w:p>
        </w:tc>
      </w:tr>
      <w:tr>
        <w:trPr>
          <w:trHeight w:val="25"/>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the period</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7,670</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8,717</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8,434</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8,734</w:t>
            </w: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color w:val="auto"/>
              </w:rPr>
              <w:t>Deferral of revenue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2,860</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5,407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5,990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9,760</w:t>
            </w:r>
          </w:p>
        </w:tc>
      </w:tr>
      <w:tr>
        <w:trPr>
          <w:trHeight w:val="257"/>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(3,465)</w:t>
            </w:r>
          </w:p>
        </w:tc>
        <w:tc>
          <w:tcPr>
            <w:tcW w:w="8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(4,783)</w:t>
            </w:r>
          </w:p>
        </w:tc>
        <w:tc>
          <w:tcPr>
            <w:tcW w:w="10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(7,359)</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(9,153)</w:t>
            </w:r>
          </w:p>
        </w:tc>
      </w:tr>
      <w:tr>
        <w:trPr>
          <w:trHeight w:val="257"/>
        </w:trPr>
        <w:tc>
          <w:tcPr>
            <w:tcW w:w="5040" w:type="dxa"/>
            <w:vAlign w:val="bottom"/>
          </w:tcPr>
          <w:p>
            <w:pPr>
              <w:ind w:left="20"/>
              <w:spacing w:after="0"/>
              <w:rPr>
                <w:sz w:val="20"/>
                <w:szCs w:val="20"/>
                <w:color w:val="auto"/>
              </w:rPr>
            </w:pPr>
            <w:r>
              <w:rPr>
                <w:rFonts w:ascii="Arial" w:cs="Arial" w:eastAsia="Arial" w:hAnsi="Arial"/>
                <w:sz w:val="18"/>
                <w:szCs w:val="18"/>
                <w:color w:val="auto"/>
              </w:rPr>
              <w:t>Balance at end of the period</w:t>
            </w: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7,065</w:t>
            </w:r>
          </w:p>
        </w:tc>
        <w:tc>
          <w:tcPr>
            <w:tcW w:w="80" w:type="dxa"/>
            <w:vAlign w:val="bottom"/>
          </w:tcPr>
          <w:p>
            <w:pPr>
              <w:spacing w:after="0"/>
              <w:rPr>
                <w:sz w:val="22"/>
                <w:szCs w:val="22"/>
                <w:color w:val="auto"/>
              </w:rPr>
            </w:pP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9,341</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7,065</w:t>
            </w:r>
          </w:p>
        </w:tc>
        <w:tc>
          <w:tcPr>
            <w:tcW w:w="100" w:type="dxa"/>
            <w:vAlign w:val="bottom"/>
          </w:tcPr>
          <w:p>
            <w:pPr>
              <w:spacing w:after="0"/>
              <w:rPr>
                <w:sz w:val="22"/>
                <w:szCs w:val="22"/>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9,341</w:t>
            </w:r>
          </w:p>
        </w:tc>
      </w:tr>
      <w:tr>
        <w:trPr>
          <w:trHeight w:val="20"/>
        </w:trPr>
        <w:tc>
          <w:tcPr>
            <w:tcW w:w="5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Deferred revenue related to these nonrefundable upfront fees are recorded within Accrued expenses and Other long-term liabilities on the Unaudited Consolidated Balance Sheets. The Company expects to recognize these deferred revenue balances of $5,502 in fiscal 2022, $3,351 in fiscal 2023 and $488 in fiscal 2024 and thereafter.</w:t>
      </w:r>
    </w:p>
    <w:p>
      <w:pPr>
        <w:sectPr>
          <w:pgSz w:w="11900" w:h="16838" w:orient="portrait"/>
          <w:cols w:equalWidth="0" w:num="1">
            <w:col w:w="11240"/>
          </w:cols>
          <w:pgMar w:left="320" w:top="260"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18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Company defers certain selling and commission costs that meet the capitalization criteria under ASC 340-40. The Company also capitalizes certain costs to fulfill a contract related to its proprietary products if they are identifiable, generate or enhance resources used to satisfy future performance obligations and are expected to be recovered under ASC 340-40. Implementation fees are treated as nonrefundable upfront fees and the related implementation costs are required to be capitalized and amortized over the expected period of benefit, which is the period in which the Company expects to recover the costs and enhance its ability to satisfy future performance obligations.</w:t>
      </w:r>
    </w:p>
    <w:p>
      <w:pPr>
        <w:spacing w:after="0" w:line="149"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The Company utilizes the portfolio approach to account for both the cost of obtaining a contract and the cost of fulfilling a contract. These capitalized costs are amortized over the expected period of benefit, which has been determined to be over 7 years based on the Company’s average client life and other qualitative factors, including rate of technological changes. The Company does not incur any additional costs to obtain or fulfill contracts upon renewal. The Company recognizes additional selling and commission costs and fulfillment costs when an existing client purchases additional services. These additional costs only relate to the additional services purchased and do not relate to the renewal of previous services.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deferred contract costs and the related amortization expense for these deferred contract costs: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 December 31, 2020</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5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60"/>
              <w:spacing w:after="0" w:line="160" w:lineRule="exact"/>
              <w:rPr>
                <w:sz w:val="20"/>
                <w:szCs w:val="20"/>
                <w:color w:val="auto"/>
              </w:rPr>
            </w:pPr>
            <w:r>
              <w:rPr>
                <w:rFonts w:ascii="Arial" w:cs="Arial" w:eastAsia="Arial" w:hAnsi="Arial"/>
                <w:sz w:val="14"/>
                <w:szCs w:val="14"/>
                <w:b w:val="1"/>
                <w:bCs w:val="1"/>
                <w:color w:val="auto"/>
                <w:w w:val="90"/>
              </w:rPr>
              <w:t>Beginning</w:t>
            </w:r>
          </w:p>
        </w:tc>
        <w:tc>
          <w:tcPr>
            <w:tcW w:w="200" w:type="dxa"/>
            <w:vAlign w:val="bottom"/>
          </w:tcPr>
          <w:p>
            <w:pPr>
              <w:spacing w:after="0"/>
              <w:rPr>
                <w:sz w:val="13"/>
                <w:szCs w:val="13"/>
                <w:color w:val="auto"/>
              </w:rPr>
            </w:pPr>
          </w:p>
        </w:tc>
        <w:tc>
          <w:tcPr>
            <w:tcW w:w="1380" w:type="dxa"/>
            <w:vAlign w:val="bottom"/>
            <w:gridSpan w:val="2"/>
          </w:tcPr>
          <w:p>
            <w:pPr>
              <w:jc w:val="center"/>
              <w:ind w:right="300"/>
              <w:spacing w:after="0" w:line="160" w:lineRule="exact"/>
              <w:rPr>
                <w:sz w:val="20"/>
                <w:szCs w:val="20"/>
                <w:color w:val="auto"/>
              </w:rPr>
            </w:pPr>
            <w:r>
              <w:rPr>
                <w:rFonts w:ascii="Arial" w:cs="Arial" w:eastAsia="Arial" w:hAnsi="Arial"/>
                <w:sz w:val="14"/>
                <w:szCs w:val="14"/>
                <w:b w:val="1"/>
                <w:bCs w:val="1"/>
                <w:color w:val="auto"/>
                <w:w w:val="97"/>
              </w:rPr>
              <w:t>Capitalized</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ind w:left="200"/>
              <w:spacing w:after="0" w:line="160"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86"/>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Balance</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6"/>
                <w:szCs w:val="16"/>
                <w:color w:val="auto"/>
              </w:rPr>
            </w:pPr>
          </w:p>
        </w:tc>
        <w:tc>
          <w:tcPr>
            <w:tcW w:w="1180" w:type="dxa"/>
            <w:vAlign w:val="bottom"/>
          </w:tcPr>
          <w:p>
            <w:pPr>
              <w:ind w:left="20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6"/>
        </w:trPr>
        <w:tc>
          <w:tcPr>
            <w:tcW w:w="5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to obtain a new contract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118,644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125,817</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Costs to fulfill a contract</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49,808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55,657</w:t>
            </w:r>
          </w:p>
        </w:tc>
        <w:tc>
          <w:tcPr>
            <w:tcW w:w="0" w:type="dxa"/>
            <w:vAlign w:val="bottom"/>
          </w:tcPr>
          <w:p>
            <w:pPr>
              <w:spacing w:after="0"/>
              <w:rPr>
                <w:sz w:val="1"/>
                <w:szCs w:val="1"/>
                <w:color w:val="auto"/>
              </w:rPr>
            </w:pPr>
          </w:p>
        </w:tc>
      </w:tr>
      <w:tr>
        <w:trPr>
          <w:trHeight w:val="282"/>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168,452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181,474</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50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 December 31, 2021</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Beginning</w:t>
            </w:r>
          </w:p>
        </w:tc>
        <w:tc>
          <w:tcPr>
            <w:tcW w:w="200" w:type="dxa"/>
            <w:vAlign w:val="bottom"/>
          </w:tcPr>
          <w:p>
            <w:pPr>
              <w:spacing w:after="0"/>
              <w:rPr>
                <w:sz w:val="11"/>
                <w:szCs w:val="11"/>
                <w:color w:val="auto"/>
              </w:rPr>
            </w:pPr>
          </w:p>
        </w:tc>
        <w:tc>
          <w:tcPr>
            <w:tcW w:w="13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7"/>
              </w:rPr>
              <w:t>Capitalized</w:t>
            </w:r>
          </w:p>
        </w:tc>
        <w:tc>
          <w:tcPr>
            <w:tcW w:w="220" w:type="dxa"/>
            <w:vAlign w:val="bottom"/>
          </w:tcPr>
          <w:p>
            <w:pPr>
              <w:spacing w:after="0"/>
              <w:rPr>
                <w:sz w:val="11"/>
                <w:szCs w:val="11"/>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1"/>
                <w:szCs w:val="11"/>
                <w:color w:val="auto"/>
              </w:rPr>
            </w:pPr>
          </w:p>
        </w:tc>
        <w:tc>
          <w:tcPr>
            <w:tcW w:w="1180" w:type="dxa"/>
            <w:vAlign w:val="bottom"/>
          </w:tcPr>
          <w:p>
            <w:pPr>
              <w:ind w:left="200"/>
              <w:spacing w:after="0" w:line="135"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88"/>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Balance</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Costs</w:t>
            </w: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ind w:left="20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4"/>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to obtain a new contract</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149,222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155,564</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Costs to fulfill a contract</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76,785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86,115</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241,679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50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Six Months Ended December 31, 2020</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Beginning</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Capitalized</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ind w:left="20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86"/>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Balance</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6"/>
                <w:szCs w:val="16"/>
                <w:color w:val="auto"/>
              </w:rPr>
            </w:pPr>
          </w:p>
        </w:tc>
        <w:tc>
          <w:tcPr>
            <w:tcW w:w="1180" w:type="dxa"/>
            <w:vAlign w:val="bottom"/>
          </w:tcPr>
          <w:p>
            <w:pPr>
              <w:ind w:left="20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5"/>
        </w:trPr>
        <w:tc>
          <w:tcPr>
            <w:tcW w:w="5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to obtain a new contract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113,575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125,817</w:t>
            </w:r>
          </w:p>
        </w:tc>
        <w:tc>
          <w:tcPr>
            <w:tcW w:w="0" w:type="dxa"/>
            <w:vAlign w:val="bottom"/>
          </w:tcPr>
          <w:p>
            <w:pPr>
              <w:spacing w:after="0"/>
              <w:rPr>
                <w:sz w:val="1"/>
                <w:szCs w:val="1"/>
                <w:color w:val="auto"/>
              </w:rPr>
            </w:pPr>
          </w:p>
        </w:tc>
      </w:tr>
      <w:tr>
        <w:trPr>
          <w:trHeight w:val="256"/>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Costs to fulfill a contract</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44,468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55,657</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181,474</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50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Six Months Ended December 31, 2021</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Beginning</w:t>
            </w:r>
          </w:p>
        </w:tc>
        <w:tc>
          <w:tcPr>
            <w:tcW w:w="200" w:type="dxa"/>
            <w:vAlign w:val="bottom"/>
          </w:tcPr>
          <w:p>
            <w:pPr>
              <w:spacing w:after="0"/>
              <w:rPr>
                <w:sz w:val="11"/>
                <w:szCs w:val="11"/>
                <w:color w:val="auto"/>
              </w:rPr>
            </w:pPr>
          </w:p>
        </w:tc>
        <w:tc>
          <w:tcPr>
            <w:tcW w:w="13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7"/>
              </w:rPr>
              <w:t>Capitalized</w:t>
            </w:r>
          </w:p>
        </w:tc>
        <w:tc>
          <w:tcPr>
            <w:tcW w:w="220" w:type="dxa"/>
            <w:vAlign w:val="bottom"/>
          </w:tcPr>
          <w:p>
            <w:pPr>
              <w:spacing w:after="0"/>
              <w:rPr>
                <w:sz w:val="11"/>
                <w:szCs w:val="11"/>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1"/>
                <w:szCs w:val="11"/>
                <w:color w:val="auto"/>
              </w:rPr>
            </w:pPr>
          </w:p>
        </w:tc>
        <w:tc>
          <w:tcPr>
            <w:tcW w:w="1180" w:type="dxa"/>
            <w:vAlign w:val="bottom"/>
          </w:tcPr>
          <w:p>
            <w:pPr>
              <w:ind w:left="200"/>
              <w:spacing w:after="0" w:line="135"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88"/>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Balance</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Costs</w:t>
            </w: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ind w:left="20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4"/>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to obtain a new contract</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145,718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155,564</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Costs to fulfill a contract</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86,115</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241,679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Deferred contract costs are recorded within Deferred contract costs and Long-term deferred contract costs on the Unaudited Consolidated Balance Sheets. Amortization of deferred contract costs is recorded in Cost of revenues, Sales and marketing, and General and administrative in the Unaudited Consolidated Statements of Operations and Comprehensive Income.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85" w:lineRule="exact"/>
        <w:rPr>
          <w:sz w:val="20"/>
          <w:szCs w:val="20"/>
          <w:color w:val="auto"/>
        </w:rPr>
      </w:pPr>
    </w:p>
    <w:p>
      <w:pPr>
        <w:ind w:right="740" w:firstLine="648"/>
        <w:spacing w:after="0" w:line="259" w:lineRule="auto"/>
        <w:rPr>
          <w:sz w:val="20"/>
          <w:szCs w:val="20"/>
          <w:color w:val="auto"/>
        </w:rPr>
      </w:pPr>
      <w:r>
        <w:rPr>
          <w:rFonts w:ascii="Arial" w:cs="Arial" w:eastAsia="Arial" w:hAnsi="Arial"/>
          <w:sz w:val="18"/>
          <w:szCs w:val="18"/>
          <w:color w:val="auto"/>
        </w:rPr>
        <w:t>The balance of the Company’s remaining performance obligations related to minimum monthly fees on its term-based contracts was approximately $43,248 as of December 31, 2021, which will be generally recognized over the next 24 months. This balance excludes the value of unsatisfied performance obligations for contracts that have an original expected duration of one year or less and contracts for which the variable consideration is allocated entirely to wholly unsatisfied performance obligations.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Combinations</w:t>
      </w:r>
    </w:p>
    <w:p>
      <w:pPr>
        <w:spacing w:after="0" w:line="18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On August 31, 2021, the Company entered into an Equity Purchase Agreement (the “Purchase Agreement”) with Blue Marble Payroll, LLC (“Blue Marble”) and its equity holders and acquired all of the issued and outstanding equity interests of Blue Marble for cash consideration of $60,961, subject to customary purchase price adjustments. Blue Marble’s payroll platform enables U.S.-based companies to manage payroll for employees outside the U.S. in line with complex local and country-specific requirements across many countries. This acquisition enables the Company to better serve its clients in managing their international workforces through a unified solution to pay employees, automate processes and stay compliant with regulations in other countries.</w:t>
      </w:r>
    </w:p>
    <w:p>
      <w:pPr>
        <w:spacing w:after="0" w:line="15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An entity affiliated with Steven I. Sarowitz, the Chairman of the Board of Directors and the largest shareholder of the Company, was the largest equity holder of Blue Marble. The Board of Directors of the Company appointed the Audit Committee, which is comprised solely of directors who are independent of the management of Blue Marble, the Blue Marble equity holders and the Company, to evaluate, assess and negotiate on its behalf the terms and conditions in the Purchase Agreement. The Audit Committee and the disinterested directors of the Company’s Board of Directors unanimously approved the Purchase Agreement and transactions specified within it.</w:t>
      </w:r>
    </w:p>
    <w:p>
      <w:pPr>
        <w:spacing w:after="0" w:line="161"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The Company accounts for business combinations in accordance with ASC 805, Business Combinations. The Company applied the acquisition method of accounting and recorded the assets acquired and liabilities assumed at their respective estimated fair values as of the date of acquisition with the excess consideration paid recorded as goodwill. The fair values of assets acquired and liabilities assumed are currently provisional and may change as the estimates and assumptions are subject to change over the measurement period as the Company continues to evaluate and analyze the transaction. The measurement period will end no later than one year from the acquisition date.</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preliminary allocation of the purchase price for Blue Marble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5"/>
              </w:rPr>
              <w:t>August 31, 2021</w:t>
            </w:r>
          </w:p>
        </w:tc>
      </w:tr>
      <w:tr>
        <w:trPr>
          <w:trHeight w:val="229"/>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technology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21,200</w:t>
            </w: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auto"/>
              </w:rPr>
              <w:t>Client relationships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3,100</w:t>
            </w:r>
          </w:p>
        </w:tc>
      </w:tr>
      <w:tr>
        <w:trPr>
          <w:trHeight w:val="229"/>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34,676</w:t>
            </w: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acquired</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w:t>
            </w:r>
          </w:p>
        </w:tc>
      </w:tr>
      <w:tr>
        <w:trPr>
          <w:trHeight w:val="230"/>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Liabilities assumed</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w:t>
            </w: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60,961</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The results from this acquisition have been included in the Company’s consolidated financial statements since the closing of the acquisition and are not material to the Company. Pro forma information was not presented because the effect of the acquisition was not material to the Company’s consolidated financial statements. The goodwill related to this transaction is primarily related to the assembled workforce and growth opportunities from the expansion of the Company’s product offerings. The goodwill associated with this acquisition is deductible for income tax purposes. Direct costs related to the acquisition were immaterial and recorded as General and administrative expenses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Balance Sheet Information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provide details of selected consolidated balance sheet items: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Activity in the allowance for credit losses related to accounts receivable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June 30, 2021</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Write-offs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2021</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Capitalized internal-use software and accumulated amortization were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80" w:hanging="1167"/>
        <w:spacing w:after="0"/>
        <w:tabs>
          <w:tab w:leader="none" w:pos="2280" w:val="left"/>
        </w:tabs>
        <w:numPr>
          <w:ilvl w:val="0"/>
          <w:numId w:val="7"/>
        </w:numPr>
        <w:rPr>
          <w:rFonts w:ascii="Arial" w:cs="Arial" w:eastAsia="Arial" w:hAnsi="Arial"/>
          <w:sz w:val="16"/>
          <w:szCs w:val="16"/>
          <w:color w:val="auto"/>
        </w:rPr>
      </w:pPr>
      <w:r>
        <w:rPr>
          <w:rFonts w:ascii="Arial" w:cs="Arial" w:eastAsia="Arial" w:hAnsi="Arial"/>
          <w:sz w:val="16"/>
          <w:szCs w:val="16"/>
          <w:color w:val="auto"/>
        </w:rPr>
        <w:t>800</w:t>
      </w:r>
    </w:p>
    <w:p>
      <w:pPr>
        <w:spacing w:after="0" w:line="72" w:lineRule="exact"/>
        <w:rPr>
          <w:rFonts w:ascii="Arial" w:cs="Arial" w:eastAsia="Arial" w:hAnsi="Arial"/>
          <w:sz w:val="16"/>
          <w:szCs w:val="16"/>
          <w:color w:val="auto"/>
        </w:rPr>
      </w:pPr>
    </w:p>
    <w:p>
      <w:pPr>
        <w:ind w:left="2280"/>
        <w:spacing w:after="0"/>
        <w:rPr>
          <w:rFonts w:ascii="Arial" w:cs="Arial" w:eastAsia="Arial" w:hAnsi="Arial"/>
          <w:sz w:val="16"/>
          <w:szCs w:val="16"/>
          <w:color w:val="auto"/>
        </w:rPr>
      </w:pPr>
      <w:r>
        <w:rPr>
          <w:rFonts w:ascii="Arial" w:cs="Arial" w:eastAsia="Arial" w:hAnsi="Arial"/>
          <w:sz w:val="16"/>
          <w:szCs w:val="16"/>
          <w:color w:val="auto"/>
        </w:rPr>
        <w:t>103</w:t>
      </w:r>
    </w:p>
    <w:p>
      <w:pPr>
        <w:spacing w:after="0" w:line="72" w:lineRule="exact"/>
        <w:rPr>
          <w:rFonts w:ascii="Arial" w:cs="Arial" w:eastAsia="Arial" w:hAnsi="Arial"/>
          <w:sz w:val="16"/>
          <w:szCs w:val="16"/>
          <w:color w:val="auto"/>
        </w:rPr>
      </w:pPr>
    </w:p>
    <w:p>
      <w:pPr>
        <w:ind w:left="2260"/>
        <w:spacing w:after="0"/>
        <w:rPr>
          <w:rFonts w:ascii="Arial" w:cs="Arial" w:eastAsia="Arial" w:hAnsi="Arial"/>
          <w:sz w:val="16"/>
          <w:szCs w:val="16"/>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38100</wp:posOffset>
            </wp:positionV>
            <wp:extent cx="9429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66" w:lineRule="exact"/>
        <w:rPr>
          <w:sz w:val="20"/>
          <w:szCs w:val="20"/>
          <w:color w:val="auto"/>
        </w:rPr>
      </w:pPr>
    </w:p>
    <w:p>
      <w:pPr>
        <w:ind w:left="2280" w:hanging="1167"/>
        <w:spacing w:after="0"/>
        <w:tabs>
          <w:tab w:leader="none" w:pos="2280" w:val="left"/>
        </w:tabs>
        <w:numPr>
          <w:ilvl w:val="0"/>
          <w:numId w:val="8"/>
        </w:numPr>
        <w:rPr>
          <w:rFonts w:ascii="Arial" w:cs="Arial" w:eastAsia="Arial" w:hAnsi="Arial"/>
          <w:sz w:val="16"/>
          <w:szCs w:val="16"/>
          <w:color w:val="auto"/>
        </w:rPr>
      </w:pPr>
      <w:r>
        <w:rPr>
          <w:rFonts w:ascii="Arial" w:cs="Arial" w:eastAsia="Arial" w:hAnsi="Arial"/>
          <w:sz w:val="16"/>
          <w:szCs w:val="16"/>
          <w:color w:val="auto"/>
        </w:rPr>
        <w:t>806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38100</wp:posOffset>
            </wp:positionV>
            <wp:extent cx="9429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63500</wp:posOffset>
            </wp:positionV>
            <wp:extent cx="9429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1400" w:val="left"/>
        </w:tabs>
        <w:rPr>
          <w:sz w:val="20"/>
          <w:szCs w:val="20"/>
          <w:color w:val="auto"/>
        </w:rPr>
      </w:pP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2"/>
          <w:szCs w:val="12"/>
          <w:b w:val="1"/>
          <w:bCs w:val="1"/>
          <w:color w:val="auto"/>
        </w:rPr>
        <w:t>December 31,</w:t>
      </w:r>
    </w:p>
    <w:p>
      <w:pPr>
        <w:spacing w:after="0" w:line="17" w:lineRule="exact"/>
        <w:rPr>
          <w:sz w:val="20"/>
          <w:szCs w:val="20"/>
          <w:color w:val="auto"/>
        </w:rPr>
      </w:pPr>
    </w:p>
    <w:p>
      <w:pPr>
        <w:ind w:left="120"/>
        <w:spacing w:after="0"/>
        <w:tabs>
          <w:tab w:leader="none" w:pos="16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2021</w:t>
      </w:r>
    </w:p>
    <w:p>
      <w:pPr>
        <w:spacing w:after="0" w:line="15" w:lineRule="exact"/>
        <w:rPr>
          <w:sz w:val="20"/>
          <w:szCs w:val="20"/>
          <w:color w:val="auto"/>
        </w:rPr>
      </w:pPr>
    </w:p>
    <w:p>
      <w:pPr>
        <w:sectPr>
          <w:pgSz w:w="11900" w:h="16838" w:orient="portrait"/>
          <w:cols w:equalWidth="0" w:num="2">
            <w:col w:w="7940" w:space="720"/>
            <w:col w:w="2580"/>
          </w:cols>
          <w:pgMar w:left="320" w:top="260" w:right="339" w:bottom="1440" w:gutter="0" w:footer="0" w:header="0"/>
        </w:sectPr>
      </w:pPr>
    </w:p>
    <w:tbl>
      <w:tblPr>
        <w:tblLayout w:type="fixed"/>
        <w:tblInd w:w="0" w:type="dxa"/>
        <w:tblCellMar>
          <w:top w:w="0" w:type="dxa"/>
          <w:left w:w="0" w:type="dxa"/>
          <w:bottom w:w="0" w:type="dxa"/>
          <w:right w:w="0" w:type="dxa"/>
        </w:tblCellMar>
      </w:tblPr>
      <w:tr>
        <w:trPr>
          <w:trHeight w:val="270"/>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internal-use software</w:t>
            </w: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150,922</w:t>
            </w:r>
          </w:p>
        </w:tc>
        <w:tc>
          <w:tcPr>
            <w:tcW w:w="10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171,226</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(105,904)</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(118,119)</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internal-use software, net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45,018</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53,107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Amortization of capitalized internal-use software costs is included in Cost of revenues and amounted to $5,882 and $6,087 for the three months ended December 31, 2020 and 2021, respectively, and $11,268 and $12,215 for the six months ended December 31, 2020 and 2021.</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33"/>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r>
      <w:tr>
        <w:trPr>
          <w:trHeight w:val="25"/>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equipment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45,420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50,883</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12,791</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Software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7,494</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47,192</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Time clocks rented by clients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6,039</w:t>
            </w:r>
          </w:p>
        </w:tc>
      </w:tr>
      <w:tr>
        <w:trPr>
          <w:trHeight w:val="25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122,589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130,108</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(62,754)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(67,683)</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59,835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62,425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Depreciation expense amounted to $4,014 and $3,974 for the three months ended December 31, 2020 and 2021, respectively, and $8,019 and $7,816 for the six months ended December 31, 2020 and 2021, respectively.</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changes in goodwill during the six months ended December 31,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9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Arial" w:cs="Arial" w:eastAsia="Arial" w:hAnsi="Arial"/>
                <w:sz w:val="14"/>
                <w:szCs w:val="14"/>
                <w:b w:val="1"/>
                <w:bCs w:val="1"/>
                <w:color w:val="auto"/>
              </w:rPr>
              <w:t>2021</w:t>
            </w:r>
          </w:p>
        </w:tc>
      </w:tr>
      <w:tr>
        <w:trPr>
          <w:trHeight w:val="25"/>
        </w:trPr>
        <w:tc>
          <w:tcPr>
            <w:tcW w:w="9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33,650</w:t>
            </w:r>
          </w:p>
        </w:tc>
      </w:tr>
      <w:tr>
        <w:trPr>
          <w:trHeight w:val="250"/>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Additions attributable to acquisition</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34,676</w:t>
            </w:r>
          </w:p>
        </w:tc>
      </w:tr>
      <w:tr>
        <w:trPr>
          <w:trHeight w:val="281"/>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68,326</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 to Note 4 for further details on the current year acquisition.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amortizable intangible assets and estimated useful lives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r>
      <w:tr>
        <w:trPr>
          <w:trHeight w:val="162"/>
        </w:trPr>
        <w:tc>
          <w:tcPr>
            <w:tcW w:w="6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6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7"/>
              </w:rPr>
              <w:t>useful</w:t>
            </w:r>
          </w:p>
        </w:tc>
      </w:tr>
      <w:tr>
        <w:trPr>
          <w:trHeight w:val="186"/>
        </w:trPr>
        <w:tc>
          <w:tcPr>
            <w:tcW w:w="6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life (years)</w:t>
            </w:r>
          </w:p>
        </w:tc>
      </w:tr>
      <w:tr>
        <w:trPr>
          <w:trHeight w:val="26"/>
        </w:trPr>
        <w:tc>
          <w:tcPr>
            <w:tcW w:w="6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technology</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27,329</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Client relationships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19,200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22,300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26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Non-solicitation agreements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5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5.0</w:t>
            </w:r>
          </w:p>
        </w:tc>
      </w:tr>
      <w:tr>
        <w:trPr>
          <w:trHeight w:val="257"/>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52,869</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(17,694)</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spacing w:after="0"/>
              <w:rPr>
                <w:sz w:val="21"/>
                <w:szCs w:val="21"/>
                <w:color w:val="auto"/>
              </w:rPr>
            </w:pPr>
          </w:p>
        </w:tc>
      </w:tr>
      <w:tr>
        <w:trPr>
          <w:trHeight w:val="281"/>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35,175</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Amortization expense for acquired intangible assets was $940 and $2,000 for the three months ended December 31, 2020 and 2021, respectively, and $1,784 and $3,352 for the six months ended December 31, 2020 and 2021 respectively.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amortization expense for acquired intangible assets as of December 31, 2021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Remainder of fiscal 2022</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Fiscal 2023</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7,808</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6,803</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Fiscal 2025</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5,748</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Fiscal 2026</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6,706</w:t>
            </w:r>
          </w:p>
        </w:tc>
        <w:tc>
          <w:tcPr>
            <w:tcW w:w="0" w:type="dxa"/>
            <w:vAlign w:val="bottom"/>
          </w:tcPr>
          <w:p>
            <w:pPr>
              <w:spacing w:after="0"/>
              <w:rPr>
                <w:sz w:val="1"/>
                <w:szCs w:val="1"/>
                <w:color w:val="auto"/>
              </w:rPr>
            </w:pPr>
          </w:p>
        </w:tc>
      </w:tr>
      <w:tr>
        <w:trPr>
          <w:trHeight w:val="281"/>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35,175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gridSpan w:val="2"/>
            <w:vMerge w:val="restart"/>
          </w:tcPr>
          <w:p>
            <w:pPr>
              <w:ind w:left="660"/>
              <w:spacing w:after="0"/>
              <w:rPr>
                <w:sz w:val="20"/>
                <w:szCs w:val="20"/>
                <w:color w:val="auto"/>
              </w:rPr>
            </w:pPr>
            <w:r>
              <w:rPr>
                <w:rFonts w:ascii="Arial" w:cs="Arial" w:eastAsia="Arial" w:hAnsi="Arial"/>
                <w:sz w:val="18"/>
                <w:szCs w:val="18"/>
                <w:color w:val="auto"/>
                <w:w w:val="99"/>
              </w:rPr>
              <w:t>The components of accrued expenses were as follows:</w:t>
            </w: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0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24"/>
                <w:szCs w:val="24"/>
                <w:color w:val="auto"/>
              </w:rPr>
            </w:pPr>
          </w:p>
        </w:tc>
        <w:tc>
          <w:tcPr>
            <w:tcW w:w="1260" w:type="dxa"/>
            <w:vAlign w:val="bottom"/>
          </w:tcPr>
          <w:p>
            <w:pPr>
              <w:jc w:val="center"/>
              <w:ind w:right="133"/>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center"/>
              <w:ind w:right="31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3"/>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5"/>
        </w:trPr>
        <w:tc>
          <w:tcPr>
            <w:tcW w:w="4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payroll and personnel costs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73,969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46,764</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6,450</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11,792</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14,501</w:t>
            </w:r>
          </w:p>
        </w:tc>
        <w:tc>
          <w:tcPr>
            <w:tcW w:w="0" w:type="dxa"/>
            <w:vAlign w:val="bottom"/>
          </w:tcPr>
          <w:p>
            <w:pPr>
              <w:spacing w:after="0"/>
              <w:rPr>
                <w:sz w:val="1"/>
                <w:szCs w:val="1"/>
                <w:color w:val="auto"/>
              </w:rPr>
            </w:pPr>
          </w:p>
        </w:tc>
      </w:tr>
      <w:tr>
        <w:trPr>
          <w:trHeight w:val="282"/>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accrued expenses</w:t>
            </w: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103,109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79,507</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(6) Corporate Investments and Funds Held for Clients</w:t>
            </w: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0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620" w:type="dxa"/>
            <w:vAlign w:val="bottom"/>
            <w:gridSpan w:val="5"/>
          </w:tcPr>
          <w:p>
            <w:pPr>
              <w:ind w:left="660"/>
              <w:spacing w:after="0"/>
              <w:rPr>
                <w:sz w:val="20"/>
                <w:szCs w:val="20"/>
                <w:color w:val="auto"/>
              </w:rPr>
            </w:pPr>
            <w:r>
              <w:rPr>
                <w:rFonts w:ascii="Arial" w:cs="Arial" w:eastAsia="Arial" w:hAnsi="Arial"/>
                <w:sz w:val="18"/>
                <w:szCs w:val="18"/>
                <w:color w:val="auto"/>
              </w:rPr>
              <w:t>Corporate investments and funds held for clients consist of the following:</w:t>
            </w: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June 30, 2021</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ind w:left="321"/>
              <w:spacing w:after="0" w:line="160" w:lineRule="exact"/>
              <w:rPr>
                <w:sz w:val="20"/>
                <w:szCs w:val="20"/>
                <w:color w:val="auto"/>
              </w:rPr>
            </w:pPr>
            <w:r>
              <w:rPr>
                <w:rFonts w:ascii="Arial" w:cs="Arial" w:eastAsia="Arial" w:hAnsi="Arial"/>
                <w:sz w:val="14"/>
                <w:szCs w:val="14"/>
                <w:b w:val="1"/>
                <w:bCs w:val="1"/>
                <w:color w:val="auto"/>
                <w:w w:val="88"/>
              </w:rPr>
              <w:t>Gross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gridSpan w:val="2"/>
          </w:tcPr>
          <w:p>
            <w:pPr>
              <w:jc w:val="center"/>
              <w:ind w:right="500"/>
              <w:spacing w:after="0" w:line="160"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1080" w:type="dxa"/>
            <w:vAlign w:val="bottom"/>
          </w:tcPr>
          <w:p>
            <w:pPr>
              <w:jc w:val="center"/>
              <w:ind w:left="321"/>
              <w:spacing w:after="0"/>
              <w:rPr>
                <w:sz w:val="20"/>
                <w:szCs w:val="20"/>
                <w:color w:val="auto"/>
              </w:rPr>
            </w:pPr>
            <w:r>
              <w:rPr>
                <w:rFonts w:ascii="Arial" w:cs="Arial" w:eastAsia="Arial" w:hAnsi="Arial"/>
                <w:sz w:val="14"/>
                <w:szCs w:val="14"/>
                <w:b w:val="1"/>
                <w:bCs w:val="1"/>
                <w:color w:val="auto"/>
                <w:w w:val="92"/>
              </w:rPr>
              <w:t>unrealized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unrealized</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040" w:type="dxa"/>
            <w:vAlign w:val="bottom"/>
            <w:gridSpan w:val="2"/>
          </w:tcPr>
          <w:p>
            <w:pPr>
              <w:ind w:left="2080"/>
              <w:spacing w:after="0"/>
              <w:rPr>
                <w:sz w:val="20"/>
                <w:szCs w:val="20"/>
                <w:color w:val="auto"/>
              </w:rPr>
            </w:pPr>
            <w:r>
              <w:rPr>
                <w:rFonts w:ascii="Arial" w:cs="Arial" w:eastAsia="Arial" w:hAnsi="Arial"/>
                <w:sz w:val="14"/>
                <w:szCs w:val="14"/>
                <w:b w:val="1"/>
                <w:bCs w:val="1"/>
                <w:color w:val="auto"/>
              </w:rPr>
              <w:t>Type of Issue</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cost</w:t>
            </w:r>
          </w:p>
        </w:tc>
        <w:tc>
          <w:tcPr>
            <w:tcW w:w="1080" w:type="dxa"/>
            <w:vAlign w:val="bottom"/>
          </w:tcPr>
          <w:p>
            <w:pPr>
              <w:jc w:val="center"/>
              <w:ind w:left="321"/>
              <w:spacing w:after="0"/>
              <w:rPr>
                <w:sz w:val="20"/>
                <w:szCs w:val="20"/>
                <w:color w:val="auto"/>
              </w:rPr>
            </w:pPr>
            <w:r>
              <w:rPr>
                <w:rFonts w:ascii="Arial" w:cs="Arial" w:eastAsia="Arial" w:hAnsi="Arial"/>
                <w:sz w:val="14"/>
                <w:szCs w:val="14"/>
                <w:b w:val="1"/>
                <w:bCs w:val="1"/>
                <w:color w:val="auto"/>
                <w:w w:val="87"/>
              </w:rPr>
              <w:t>gains</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77"/>
              </w:rPr>
              <w:t>losses</w:t>
            </w:r>
          </w:p>
        </w:tc>
        <w:tc>
          <w:tcPr>
            <w:tcW w:w="220" w:type="dxa"/>
            <w:vAlign w:val="bottom"/>
          </w:tcPr>
          <w:p>
            <w:pPr>
              <w:spacing w:after="0"/>
              <w:rPr>
                <w:sz w:val="16"/>
                <w:szCs w:val="16"/>
                <w:color w:val="auto"/>
              </w:rPr>
            </w:pPr>
          </w:p>
        </w:tc>
        <w:tc>
          <w:tcPr>
            <w:tcW w:w="1260" w:type="dxa"/>
            <w:vAlign w:val="bottom"/>
          </w:tcPr>
          <w:p>
            <w:pPr>
              <w:jc w:val="center"/>
              <w:ind w:right="133"/>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5"/>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202,287</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202,287</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Funds held for clients' cash and cash equivalents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1,743,594</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1,743,594</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13,390</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ind w:left="180"/>
              <w:spacing w:after="0"/>
              <w:rPr>
                <w:sz w:val="20"/>
                <w:szCs w:val="20"/>
                <w:color w:val="auto"/>
              </w:rPr>
            </w:pPr>
            <w:r>
              <w:rPr>
                <w:rFonts w:ascii="Arial" w:cs="Arial" w:eastAsia="Arial" w:hAnsi="Arial"/>
                <w:sz w:val="18"/>
                <w:szCs w:val="18"/>
                <w:color w:val="auto"/>
                <w:w w:val="99"/>
              </w:rPr>
              <w:t>70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13,460</w:t>
            </w: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Asset-backed securities</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7,062</w:t>
            </w:r>
          </w:p>
        </w:tc>
        <w:tc>
          <w:tcPr>
            <w:tcW w:w="10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9"/>
              </w:rPr>
              <w:t>17</w:t>
            </w: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7,079</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available-for-sale securities (1)</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20,452</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87</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20,539</w:t>
            </w:r>
          </w:p>
        </w:tc>
        <w:tc>
          <w:tcPr>
            <w:tcW w:w="0" w:type="dxa"/>
            <w:vAlign w:val="bottom"/>
          </w:tcPr>
          <w:p>
            <w:pPr>
              <w:spacing w:after="0"/>
              <w:rPr>
                <w:sz w:val="1"/>
                <w:szCs w:val="1"/>
                <w:color w:val="auto"/>
              </w:rPr>
            </w:pPr>
          </w:p>
        </w:tc>
      </w:tr>
      <w:tr>
        <w:trPr>
          <w:trHeight w:val="277"/>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1,966,333</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87</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1,966,420</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60"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940" w:right="400" w:hanging="455"/>
        <w:spacing w:after="0" w:line="261"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Included within the fair value of total available-for-sale securities above is $4,456 of corporate investments and $16,083 of funds held for clients.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gridSpan w:val="6"/>
          </w:tcPr>
          <w:p>
            <w:pPr>
              <w:ind w:left="940"/>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6"/>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60"/>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ind w:left="242"/>
              <w:spacing w:after="0" w:line="160" w:lineRule="exact"/>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60"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62"/>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1160" w:type="dxa"/>
            <w:vAlign w:val="bottom"/>
          </w:tcPr>
          <w:p>
            <w:pPr>
              <w:jc w:val="center"/>
              <w:ind w:left="242"/>
              <w:spacing w:after="0"/>
              <w:rPr>
                <w:sz w:val="20"/>
                <w:szCs w:val="20"/>
                <w:color w:val="auto"/>
              </w:rPr>
            </w:pPr>
            <w:r>
              <w:rPr>
                <w:rFonts w:ascii="Arial" w:cs="Arial" w:eastAsia="Arial" w:hAnsi="Arial"/>
                <w:sz w:val="14"/>
                <w:szCs w:val="14"/>
                <w:b w:val="1"/>
                <w:bCs w:val="1"/>
                <w:color w:val="auto"/>
                <w:w w:val="92"/>
              </w:rPr>
              <w:t>unrealized</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unrealized</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6"/>
        </w:trPr>
        <w:tc>
          <w:tcPr>
            <w:tcW w:w="5040" w:type="dxa"/>
            <w:vAlign w:val="bottom"/>
            <w:gridSpan w:val="2"/>
          </w:tcPr>
          <w:p>
            <w:pPr>
              <w:ind w:left="2080"/>
              <w:spacing w:after="0"/>
              <w:rPr>
                <w:sz w:val="20"/>
                <w:szCs w:val="20"/>
                <w:color w:val="auto"/>
              </w:rPr>
            </w:pPr>
            <w:r>
              <w:rPr>
                <w:rFonts w:ascii="Arial" w:cs="Arial" w:eastAsia="Arial" w:hAnsi="Arial"/>
                <w:sz w:val="14"/>
                <w:szCs w:val="14"/>
                <w:b w:val="1"/>
                <w:bCs w:val="1"/>
                <w:color w:val="auto"/>
              </w:rPr>
              <w:t>Type of Issue</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cost</w:t>
            </w:r>
          </w:p>
        </w:tc>
        <w:tc>
          <w:tcPr>
            <w:tcW w:w="1160" w:type="dxa"/>
            <w:vAlign w:val="bottom"/>
          </w:tcPr>
          <w:p>
            <w:pPr>
              <w:jc w:val="center"/>
              <w:ind w:left="242"/>
              <w:spacing w:after="0"/>
              <w:rPr>
                <w:sz w:val="20"/>
                <w:szCs w:val="20"/>
                <w:color w:val="auto"/>
              </w:rPr>
            </w:pPr>
            <w:r>
              <w:rPr>
                <w:rFonts w:ascii="Arial" w:cs="Arial" w:eastAsia="Arial" w:hAnsi="Arial"/>
                <w:sz w:val="14"/>
                <w:szCs w:val="14"/>
                <w:b w:val="1"/>
                <w:bCs w:val="1"/>
                <w:color w:val="auto"/>
                <w:w w:val="87"/>
              </w:rPr>
              <w:t>gains</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7"/>
              </w:rPr>
              <w:t>losses</w:t>
            </w:r>
          </w:p>
        </w:tc>
        <w:tc>
          <w:tcPr>
            <w:tcW w:w="260" w:type="dxa"/>
            <w:vAlign w:val="bottom"/>
          </w:tcPr>
          <w:p>
            <w:pPr>
              <w:spacing w:after="0"/>
              <w:rPr>
                <w:sz w:val="16"/>
                <w:szCs w:val="16"/>
                <w:color w:val="auto"/>
              </w:rPr>
            </w:pPr>
          </w:p>
        </w:tc>
        <w:tc>
          <w:tcPr>
            <w:tcW w:w="1220" w:type="dxa"/>
            <w:vAlign w:val="bottom"/>
          </w:tcPr>
          <w:p>
            <w:pPr>
              <w:jc w:val="right"/>
              <w:ind w:right="332"/>
              <w:spacing w:after="0"/>
              <w:rPr>
                <w:sz w:val="20"/>
                <w:szCs w:val="20"/>
                <w:color w:val="auto"/>
              </w:rPr>
            </w:pPr>
            <w:r>
              <w:rPr>
                <w:rFonts w:ascii="Arial" w:cs="Arial" w:eastAsia="Arial" w:hAnsi="Arial"/>
                <w:sz w:val="14"/>
                <w:szCs w:val="14"/>
                <w:b w:val="1"/>
                <w:bCs w:val="1"/>
                <w:color w:val="auto"/>
              </w:rPr>
              <w:t>Fair value</w:t>
            </w:r>
          </w:p>
        </w:tc>
      </w:tr>
      <w:tr>
        <w:trPr>
          <w:trHeight w:val="26"/>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84,104</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62"/>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84,104</w:t>
            </w:r>
          </w:p>
        </w:tc>
      </w:tr>
      <w:tr>
        <w:trPr>
          <w:trHeight w:val="25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Funds held for clients' cash and cash equivalents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1,770,689</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1,770,689</w:t>
            </w:r>
          </w:p>
        </w:tc>
      </w:tr>
      <w:tr>
        <w:trPr>
          <w:trHeight w:val="257"/>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50"/>
        </w:trPr>
        <w:tc>
          <w:tcPr>
            <w:tcW w:w="5040" w:type="dxa"/>
            <w:vAlign w:val="bottom"/>
            <w:gridSpan w:val="2"/>
          </w:tcPr>
          <w:p>
            <w:pPr>
              <w:ind w:left="24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62,240</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62,227</w:t>
            </w:r>
          </w:p>
        </w:tc>
      </w:tr>
      <w:tr>
        <w:trPr>
          <w:trHeight w:val="263"/>
        </w:trPr>
        <w:tc>
          <w:tcPr>
            <w:tcW w:w="5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42,873</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42,587</w:t>
            </w:r>
          </w:p>
        </w:tc>
      </w:tr>
      <w:tr>
        <w:trPr>
          <w:trHeight w:val="250"/>
        </w:trPr>
        <w:tc>
          <w:tcPr>
            <w:tcW w:w="5040" w:type="dxa"/>
            <w:vAlign w:val="bottom"/>
            <w:gridSpan w:val="2"/>
          </w:tcPr>
          <w:p>
            <w:pPr>
              <w:ind w:left="24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10,361</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10,336</w:t>
            </w:r>
          </w:p>
        </w:tc>
      </w:tr>
      <w:tr>
        <w:trPr>
          <w:trHeight w:val="263"/>
        </w:trPr>
        <w:tc>
          <w:tcPr>
            <w:tcW w:w="5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20,493</w:t>
            </w:r>
          </w:p>
        </w:tc>
      </w:tr>
      <w:tr>
        <w:trPr>
          <w:trHeight w:val="250"/>
        </w:trPr>
        <w:tc>
          <w:tcPr>
            <w:tcW w:w="5040" w:type="dxa"/>
            <w:vAlign w:val="bottom"/>
            <w:gridSpan w:val="2"/>
          </w:tcPr>
          <w:p>
            <w:pPr>
              <w:ind w:left="240"/>
              <w:spacing w:after="0"/>
              <w:rPr>
                <w:sz w:val="20"/>
                <w:szCs w:val="20"/>
                <w:color w:val="auto"/>
              </w:rPr>
            </w:pPr>
            <w:r>
              <w:rPr>
                <w:rFonts w:ascii="Arial" w:cs="Arial" w:eastAsia="Arial" w:hAnsi="Arial"/>
                <w:sz w:val="18"/>
                <w:szCs w:val="18"/>
                <w:color w:val="auto"/>
              </w:rPr>
              <w:t>U.S treasury securities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4,042</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4,023</w:t>
            </w:r>
          </w:p>
        </w:tc>
      </w:tr>
      <w:tr>
        <w:trPr>
          <w:trHeight w:val="263"/>
        </w:trPr>
        <w:tc>
          <w:tcPr>
            <w:tcW w:w="5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U.S government agency securities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6,899</w:t>
            </w:r>
          </w:p>
        </w:tc>
      </w:tr>
      <w:tr>
        <w:trPr>
          <w:trHeight w:val="250"/>
        </w:trPr>
        <w:tc>
          <w:tcPr>
            <w:tcW w:w="504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2,824</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2,809</w:t>
            </w:r>
          </w:p>
        </w:tc>
      </w:tr>
      <w:tr>
        <w:trPr>
          <w:trHeight w:val="250"/>
        </w:trPr>
        <w:tc>
          <w:tcPr>
            <w:tcW w:w="50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available-for-sale securities (2)</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149,840</w:t>
            </w:r>
          </w:p>
        </w:tc>
        <w:tc>
          <w:tcPr>
            <w:tcW w:w="100" w:type="dxa"/>
            <w:vAlign w:val="bottom"/>
            <w:tcBorders>
              <w:top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149,374</w:t>
            </w:r>
          </w:p>
        </w:tc>
      </w:tr>
      <w:tr>
        <w:trPr>
          <w:trHeight w:val="257"/>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Total investments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2,004,633</w:t>
            </w:r>
          </w:p>
        </w:tc>
        <w:tc>
          <w:tcPr>
            <w:tcW w:w="100" w:type="dxa"/>
            <w:vAlign w:val="bottom"/>
          </w:tcPr>
          <w:p>
            <w:pPr>
              <w:spacing w:after="0"/>
              <w:rPr>
                <w:sz w:val="22"/>
                <w:szCs w:val="22"/>
                <w:color w:val="auto"/>
              </w:rPr>
            </w:pPr>
          </w:p>
        </w:tc>
        <w:tc>
          <w:tcPr>
            <w:tcW w:w="1160" w:type="dxa"/>
            <w:vAlign w:val="bottom"/>
            <w:tcBorders>
              <w:bottom w:val="single" w:sz="8" w:color="auto"/>
            </w:tcBorders>
          </w:tcPr>
          <w:p>
            <w:pPr>
              <w:jc w:val="right"/>
              <w:ind w:right="962"/>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2,004,167</w:t>
            </w: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940" w:hanging="455"/>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available-for-sale securities are included in funds held for clients.</w:t>
      </w:r>
    </w:p>
    <w:p>
      <w:pPr>
        <w:spacing w:after="0" w:line="293"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Cash and cash equivalents and funds held for clients’ cash and cash equivalents include demand deposit accounts, money market funds and commercial paper at June 30, 2021 and December 31, 2021.</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Classification of investments on the unaudited consolidated balance sheets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Pr>
          <w:p>
            <w:pPr>
              <w:spacing w:after="0"/>
              <w:rPr>
                <w:sz w:val="16"/>
                <w:szCs w:val="16"/>
                <w:color w:val="auto"/>
              </w:rPr>
            </w:pPr>
          </w:p>
        </w:tc>
        <w:tc>
          <w:tcPr>
            <w:tcW w:w="1360" w:type="dxa"/>
            <w:vAlign w:val="bottom"/>
          </w:tcPr>
          <w:p>
            <w:pPr>
              <w:jc w:val="right"/>
              <w:ind w:right="74"/>
              <w:spacing w:after="0"/>
              <w:rPr>
                <w:sz w:val="20"/>
                <w:szCs w:val="20"/>
                <w:color w:val="auto"/>
              </w:rPr>
            </w:pPr>
            <w:r>
              <w:rPr>
                <w:rFonts w:ascii="Arial" w:cs="Arial" w:eastAsia="Arial" w:hAnsi="Arial"/>
                <w:sz w:val="14"/>
                <w:szCs w:val="14"/>
                <w:b w:val="1"/>
                <w:bCs w:val="1"/>
                <w:color w:val="auto"/>
                <w:w w:val="93"/>
              </w:rPr>
              <w:t>December 31, 2021</w:t>
            </w:r>
          </w:p>
        </w:tc>
      </w:tr>
      <w:tr>
        <w:trPr>
          <w:trHeight w:val="25"/>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202,287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84,104</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Corporate investments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Funds held for clients</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1,759,677</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1,920,063</w:t>
            </w: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1,966,420</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2,004,167</w:t>
            </w:r>
          </w:p>
        </w:tc>
      </w:tr>
      <w:tr>
        <w:trPr>
          <w:trHeight w:val="20"/>
        </w:trPr>
        <w:tc>
          <w:tcPr>
            <w:tcW w:w="8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Available-for-sale securities that have been in an unrealized loss position for a period of less than 12 months as of December 31, 2021 had fair market value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gridSpan w:val="3"/>
          </w:tcPr>
          <w:p>
            <w:pPr>
              <w:ind w:left="680"/>
              <w:spacing w:after="0"/>
              <w:rPr>
                <w:sz w:val="20"/>
                <w:szCs w:val="20"/>
                <w:color w:val="auto"/>
              </w:rPr>
            </w:pPr>
            <w:r>
              <w:rPr>
                <w:rFonts w:ascii="Arial" w:cs="Arial" w:eastAsia="Arial" w:hAnsi="Arial"/>
                <w:sz w:val="14"/>
                <w:szCs w:val="14"/>
                <w:b w:val="1"/>
                <w:bCs w:val="1"/>
                <w:color w:val="auto"/>
                <w:w w:val="91"/>
              </w:rPr>
              <w:t>December 31, 2021</w:t>
            </w:r>
          </w:p>
        </w:tc>
        <w:tc>
          <w:tcPr>
            <w:tcW w:w="940" w:type="dxa"/>
            <w:vAlign w:val="bottom"/>
          </w:tcPr>
          <w:p>
            <w:pPr>
              <w:spacing w:after="0"/>
              <w:rPr>
                <w:sz w:val="16"/>
                <w:szCs w:val="16"/>
                <w:color w:val="auto"/>
              </w:rPr>
            </w:pPr>
          </w:p>
        </w:tc>
      </w:tr>
      <w:tr>
        <w:trPr>
          <w:trHeight w:val="25"/>
        </w:trPr>
        <w:tc>
          <w:tcPr>
            <w:tcW w:w="8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r>
      <w:tr>
        <w:trPr>
          <w:trHeight w:val="160"/>
        </w:trPr>
        <w:tc>
          <w:tcPr>
            <w:tcW w:w="8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0" w:type="dxa"/>
            <w:vAlign w:val="bottom"/>
            <w:gridSpan w:val="4"/>
          </w:tcPr>
          <w:p>
            <w:pPr>
              <w:jc w:val="right"/>
              <w:ind w:right="514"/>
              <w:spacing w:after="0" w:line="160" w:lineRule="exact"/>
              <w:rPr>
                <w:sz w:val="20"/>
                <w:szCs w:val="20"/>
                <w:color w:val="auto"/>
              </w:rPr>
            </w:pPr>
            <w:r>
              <w:rPr>
                <w:rFonts w:ascii="Arial" w:cs="Arial" w:eastAsia="Arial" w:hAnsi="Arial"/>
                <w:sz w:val="14"/>
                <w:szCs w:val="14"/>
                <w:b w:val="1"/>
                <w:bCs w:val="1"/>
                <w:color w:val="auto"/>
              </w:rPr>
              <w:t>Securities in an unrealized loss</w:t>
            </w:r>
          </w:p>
        </w:tc>
      </w:tr>
      <w:tr>
        <w:trPr>
          <w:trHeight w:val="186"/>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4"/>
          </w:tcPr>
          <w:p>
            <w:pPr>
              <w:ind w:left="300"/>
              <w:spacing w:after="0"/>
              <w:rPr>
                <w:sz w:val="20"/>
                <w:szCs w:val="20"/>
                <w:color w:val="auto"/>
              </w:rPr>
            </w:pPr>
            <w:r>
              <w:rPr>
                <w:rFonts w:ascii="Arial" w:cs="Arial" w:eastAsia="Arial" w:hAnsi="Arial"/>
                <w:sz w:val="14"/>
                <w:szCs w:val="14"/>
                <w:b w:val="1"/>
                <w:bCs w:val="1"/>
                <w:color w:val="auto"/>
              </w:rPr>
              <w:t>position for less than 12 months</w:t>
            </w:r>
          </w:p>
        </w:tc>
      </w:tr>
      <w:tr>
        <w:trPr>
          <w:trHeight w:val="25"/>
        </w:trPr>
        <w:tc>
          <w:tcPr>
            <w:tcW w:w="8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60"/>
        </w:trPr>
        <w:tc>
          <w:tcPr>
            <w:tcW w:w="8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300"/>
              <w:spacing w:after="0" w:line="160" w:lineRule="exact"/>
              <w:rPr>
                <w:sz w:val="20"/>
                <w:szCs w:val="20"/>
                <w:color w:val="auto"/>
              </w:rPr>
            </w:pPr>
            <w:r>
              <w:rPr>
                <w:rFonts w:ascii="Arial" w:cs="Arial" w:eastAsia="Arial" w:hAnsi="Arial"/>
                <w:sz w:val="14"/>
                <w:szCs w:val="14"/>
                <w:b w:val="1"/>
                <w:bCs w:val="1"/>
                <w:color w:val="auto"/>
              </w:rPr>
              <w:t>Gross</w:t>
            </w: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2"/>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unrealized</w:t>
            </w:r>
          </w:p>
        </w:tc>
        <w:tc>
          <w:tcPr>
            <w:tcW w:w="540" w:type="dxa"/>
            <w:vAlign w:val="bottom"/>
          </w:tcPr>
          <w:p>
            <w:pPr>
              <w:spacing w:after="0"/>
              <w:rPr>
                <w:sz w:val="14"/>
                <w:szCs w:val="14"/>
                <w:color w:val="auto"/>
              </w:rPr>
            </w:pPr>
          </w:p>
        </w:tc>
        <w:tc>
          <w:tcPr>
            <w:tcW w:w="940" w:type="dxa"/>
            <w:vAlign w:val="bottom"/>
          </w:tcPr>
          <w:p>
            <w:pPr>
              <w:jc w:val="right"/>
              <w:ind w:right="534"/>
              <w:spacing w:after="0"/>
              <w:rPr>
                <w:sz w:val="20"/>
                <w:szCs w:val="20"/>
                <w:color w:val="auto"/>
              </w:rPr>
            </w:pPr>
            <w:r>
              <w:rPr>
                <w:rFonts w:ascii="Arial" w:cs="Arial" w:eastAsia="Arial" w:hAnsi="Arial"/>
                <w:sz w:val="14"/>
                <w:szCs w:val="14"/>
                <w:b w:val="1"/>
                <w:bCs w:val="1"/>
                <w:color w:val="auto"/>
              </w:rPr>
              <w:t>Fair</w:t>
            </w:r>
          </w:p>
        </w:tc>
      </w:tr>
      <w:tr>
        <w:trPr>
          <w:trHeight w:val="186"/>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300"/>
              <w:spacing w:after="0"/>
              <w:rPr>
                <w:sz w:val="20"/>
                <w:szCs w:val="20"/>
                <w:color w:val="auto"/>
              </w:rPr>
            </w:pPr>
            <w:r>
              <w:rPr>
                <w:rFonts w:ascii="Arial" w:cs="Arial" w:eastAsia="Arial" w:hAnsi="Arial"/>
                <w:sz w:val="14"/>
                <w:szCs w:val="14"/>
                <w:b w:val="1"/>
                <w:bCs w:val="1"/>
                <w:color w:val="auto"/>
              </w:rPr>
              <w:t>losses</w:t>
            </w:r>
          </w:p>
        </w:tc>
        <w:tc>
          <w:tcPr>
            <w:tcW w:w="540" w:type="dxa"/>
            <w:vAlign w:val="bottom"/>
          </w:tcPr>
          <w:p>
            <w:pPr>
              <w:spacing w:after="0"/>
              <w:rPr>
                <w:sz w:val="16"/>
                <w:szCs w:val="16"/>
                <w:color w:val="auto"/>
              </w:rPr>
            </w:pPr>
          </w:p>
        </w:tc>
        <w:tc>
          <w:tcPr>
            <w:tcW w:w="940" w:type="dxa"/>
            <w:vAlign w:val="bottom"/>
          </w:tcPr>
          <w:p>
            <w:pPr>
              <w:jc w:val="right"/>
              <w:ind w:right="474"/>
              <w:spacing w:after="0"/>
              <w:rPr>
                <w:sz w:val="20"/>
                <w:szCs w:val="20"/>
                <w:color w:val="auto"/>
              </w:rPr>
            </w:pPr>
            <w:r>
              <w:rPr>
                <w:rFonts w:ascii="Arial" w:cs="Arial" w:eastAsia="Arial" w:hAnsi="Arial"/>
                <w:sz w:val="14"/>
                <w:szCs w:val="14"/>
                <w:b w:val="1"/>
                <w:bCs w:val="1"/>
                <w:color w:val="auto"/>
                <w:w w:val="96"/>
              </w:rPr>
              <w:t>Value</w:t>
            </w:r>
          </w:p>
        </w:tc>
      </w:tr>
      <w:tr>
        <w:trPr>
          <w:trHeight w:val="25"/>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35,463</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42,587</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9,664</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15,243</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U.S. government agency securities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6,899</w:t>
            </w: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w:t>
            </w:r>
          </w:p>
        </w:tc>
      </w:tr>
      <w:tr>
        <w:trPr>
          <w:trHeight w:val="256"/>
        </w:trPr>
        <w:tc>
          <w:tcPr>
            <w:tcW w:w="8180" w:type="dxa"/>
            <w:vAlign w:val="bottom"/>
          </w:tcPr>
          <w:p>
            <w:pPr>
              <w:ind w:left="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2"/>
                <w:szCs w:val="22"/>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116,688</w:t>
            </w:r>
          </w:p>
        </w:tc>
      </w:tr>
      <w:tr>
        <w:trPr>
          <w:trHeight w:val="21"/>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60"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There were no available-for-sale securities in an unrealized loss position at June 30, 2021. As a result, no securities have been in an unrealized loss position for more than 12 months as of December 31, 2021.</w:t>
      </w:r>
    </w:p>
    <w:p>
      <w:pPr>
        <w:spacing w:after="0" w:line="130"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The Company regularly reviews the composition of its portfolio to determine the existence of credit impairment. The Company did not recognize any credit impairment losses during the three or six months ended December 31, 2020 or 2021. All securities in the Company’s portfolio held an A-1 rating or better as of December 31, 2021.</w:t>
      </w:r>
    </w:p>
    <w:p>
      <w:pPr>
        <w:spacing w:after="0" w:line="157"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Company did not make any material reclassification adjustments out of accumulated other comprehensive income for realized gains and losses on the sale of available-for-sale securities during the three or six months ended December 31, 2020 or 2021. There were no realized gains or losses on the sale of available-for-sale securities for the three or six months ended December 31, 2020 or 2021.</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Expected maturities of available-for-sale securities at December 31, 2021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340" w:type="dxa"/>
            <w:vAlign w:val="bottom"/>
          </w:tcPr>
          <w:p>
            <w:pPr>
              <w:spacing w:after="0"/>
              <w:rPr>
                <w:sz w:val="14"/>
                <w:szCs w:val="14"/>
                <w:color w:val="auto"/>
              </w:rPr>
            </w:pPr>
          </w:p>
        </w:tc>
        <w:tc>
          <w:tcPr>
            <w:tcW w:w="1140" w:type="dxa"/>
            <w:vAlign w:val="bottom"/>
          </w:tcPr>
          <w:p>
            <w:pPr>
              <w:jc w:val="right"/>
              <w:ind w:right="535"/>
              <w:spacing w:after="0"/>
              <w:rPr>
                <w:sz w:val="20"/>
                <w:szCs w:val="20"/>
                <w:color w:val="auto"/>
              </w:rPr>
            </w:pPr>
            <w:r>
              <w:rPr>
                <w:rFonts w:ascii="Arial" w:cs="Arial" w:eastAsia="Arial" w:hAnsi="Arial"/>
                <w:sz w:val="14"/>
                <w:szCs w:val="14"/>
                <w:b w:val="1"/>
                <w:bCs w:val="1"/>
                <w:color w:val="auto"/>
              </w:rPr>
              <w:t>Fair</w:t>
            </w:r>
          </w:p>
        </w:tc>
      </w:tr>
      <w:tr>
        <w:trPr>
          <w:trHeight w:val="186"/>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cost</w:t>
            </w:r>
          </w:p>
        </w:tc>
        <w:tc>
          <w:tcPr>
            <w:tcW w:w="340" w:type="dxa"/>
            <w:vAlign w:val="bottom"/>
          </w:tcPr>
          <w:p>
            <w:pPr>
              <w:spacing w:after="0"/>
              <w:rPr>
                <w:sz w:val="16"/>
                <w:szCs w:val="16"/>
                <w:color w:val="auto"/>
              </w:rPr>
            </w:pPr>
          </w:p>
        </w:tc>
        <w:tc>
          <w:tcPr>
            <w:tcW w:w="1140" w:type="dxa"/>
            <w:vAlign w:val="bottom"/>
          </w:tcPr>
          <w:p>
            <w:pPr>
              <w:jc w:val="right"/>
              <w:ind w:right="495"/>
              <w:spacing w:after="0"/>
              <w:rPr>
                <w:sz w:val="20"/>
                <w:szCs w:val="20"/>
                <w:color w:val="auto"/>
              </w:rPr>
            </w:pPr>
            <w:r>
              <w:rPr>
                <w:rFonts w:ascii="Arial" w:cs="Arial" w:eastAsia="Arial" w:hAnsi="Arial"/>
                <w:sz w:val="14"/>
                <w:szCs w:val="14"/>
                <w:b w:val="1"/>
                <w:bCs w:val="1"/>
                <w:color w:val="auto"/>
              </w:rPr>
              <w:t>value</w:t>
            </w:r>
          </w:p>
        </w:tc>
      </w:tr>
      <w:tr>
        <w:trPr>
          <w:trHeight w:val="26"/>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One year or less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94,906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94,867</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One year to two years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33,284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33,124</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Two years to three years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16,437</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Three years to five years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4,946</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149,840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149,374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w:t>
      </w:r>
    </w:p>
    <w:p>
      <w:pPr>
        <w:spacing w:after="0" w:line="202"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08"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and liabilities.</w:t>
      </w:r>
    </w:p>
    <w:p>
      <w:pPr>
        <w:spacing w:after="0" w:line="184" w:lineRule="exact"/>
        <w:rPr>
          <w:rFonts w:ascii="Arial" w:cs="Arial" w:eastAsia="Arial" w:hAnsi="Arial"/>
          <w:sz w:val="18"/>
          <w:szCs w:val="18"/>
          <w:color w:val="auto"/>
        </w:rPr>
      </w:pPr>
    </w:p>
    <w:p>
      <w:pPr>
        <w:ind w:left="980" w:right="24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43" w:lineRule="exact"/>
        <w:rPr>
          <w:rFonts w:ascii="Arial" w:cs="Arial" w:eastAsia="Arial" w:hAnsi="Arial"/>
          <w:sz w:val="18"/>
          <w:szCs w:val="18"/>
          <w:color w:val="auto"/>
        </w:rPr>
      </w:pPr>
    </w:p>
    <w:p>
      <w:pPr>
        <w:ind w:left="980" w:right="100" w:hanging="324"/>
        <w:spacing w:after="0" w:line="263"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43"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The Company measures certain cash and cash equivalents, accounts receivable, accounts payable and client fund obligations at fair value on a recurring basis using Level 1 inputs. The Company considers the recorded value of these financial assets and liabilities to approximate the fair value of the respective assets and liabilities at June 30, 2021 and December 31, 2021 based upon the short-term nature of these assets and liabilities.</w:t>
      </w:r>
    </w:p>
    <w:p>
      <w:pPr>
        <w:spacing w:after="0" w:line="10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Marketable securities, consisting of securities classified as available-for-sale as well as certain cash equivalents, are recorded at fair value on a recurring basis using Level 2 inputs obtained from an independent pricing service. Available-for-sale securities include commercial paper, corporate bonds, asset-backed securities, certificate of deposit, U.S. treasury securities, U.S. government agency and other securities. The independent pricing service utilizes a variety of inputs including benchmark yields, broker/dealer quoted prices, reported trades, issuer spreads as well as other available market data. The Company, on a sample basis, validates the pricing from the independent pricing service against another third-party pricing source for reasonableness. The Company has not adjusted any prices obtained by the independent pricing service, as it believes they are appropriately valued. There were no available-for-sale securities classified in Level 3 of the fair value hierarchy at June 30, 2021 or December 31, 2021.</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level for the Company’s cash and cash equivalents and available-for-sale securities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3"/>
          </w:tcPr>
          <w:p>
            <w:pPr>
              <w:jc w:val="center"/>
              <w:ind w:left="633"/>
              <w:spacing w:after="0"/>
              <w:rPr>
                <w:sz w:val="20"/>
                <w:szCs w:val="20"/>
                <w:color w:val="auto"/>
              </w:rPr>
            </w:pPr>
            <w:r>
              <w:rPr>
                <w:rFonts w:ascii="Arial" w:cs="Arial" w:eastAsia="Arial" w:hAnsi="Arial"/>
                <w:sz w:val="14"/>
                <w:szCs w:val="14"/>
                <w:b w:val="1"/>
                <w:bCs w:val="1"/>
                <w:color w:val="auto"/>
                <w:w w:val="92"/>
              </w:rPr>
              <w:t>June 30, 2021</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6"/>
        </w:trPr>
        <w:tc>
          <w:tcPr>
            <w:tcW w:w="5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4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26"/>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202,287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202,287</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50"/>
        </w:trPr>
        <w:tc>
          <w:tcPr>
            <w:tcW w:w="5020" w:type="dxa"/>
            <w:vAlign w:val="bottom"/>
          </w:tcPr>
          <w:p>
            <w:pPr>
              <w:ind w:left="20"/>
              <w:spacing w:after="0"/>
              <w:rPr>
                <w:sz w:val="20"/>
                <w:szCs w:val="20"/>
                <w:color w:val="auto"/>
              </w:rPr>
            </w:pPr>
            <w:r>
              <w:rPr>
                <w:rFonts w:ascii="Arial" w:cs="Arial" w:eastAsia="Arial" w:hAnsi="Arial"/>
                <w:sz w:val="18"/>
                <w:szCs w:val="18"/>
                <w:color w:val="auto"/>
              </w:rPr>
              <w:t>Funds held for clients'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1,743,594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1,743,594</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6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502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13,460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13,460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57"/>
        </w:trPr>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Asset-backed securities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7,079</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7,079</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50"/>
        </w:trPr>
        <w:tc>
          <w:tcPr>
            <w:tcW w:w="5020" w:type="dxa"/>
            <w:vAlign w:val="bottom"/>
          </w:tcPr>
          <w:p>
            <w:pPr>
              <w:ind w:left="20"/>
              <w:spacing w:after="0"/>
              <w:rPr>
                <w:sz w:val="20"/>
                <w:szCs w:val="20"/>
                <w:color w:val="auto"/>
              </w:rPr>
            </w:pPr>
            <w:r>
              <w:rPr>
                <w:rFonts w:ascii="Arial" w:cs="Arial" w:eastAsia="Arial" w:hAnsi="Arial"/>
                <w:sz w:val="18"/>
                <w:szCs w:val="18"/>
                <w:color w:val="auto"/>
              </w:rPr>
              <w:t>Total available-for-sale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20,539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20,539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82"/>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1,966,420</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1,945,881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20,539</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461"/>
        </w:trPr>
        <w:tc>
          <w:tcPr>
            <w:tcW w:w="5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December 31, 2021</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6"/>
        </w:trPr>
        <w:tc>
          <w:tcPr>
            <w:tcW w:w="5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4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26"/>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84,104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84,104</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50"/>
        </w:trPr>
        <w:tc>
          <w:tcPr>
            <w:tcW w:w="5020" w:type="dxa"/>
            <w:vAlign w:val="bottom"/>
          </w:tcPr>
          <w:p>
            <w:pPr>
              <w:ind w:left="20"/>
              <w:spacing w:after="0"/>
              <w:rPr>
                <w:sz w:val="20"/>
                <w:szCs w:val="20"/>
                <w:color w:val="auto"/>
              </w:rPr>
            </w:pPr>
            <w:r>
              <w:rPr>
                <w:rFonts w:ascii="Arial" w:cs="Arial" w:eastAsia="Arial" w:hAnsi="Arial"/>
                <w:sz w:val="18"/>
                <w:szCs w:val="18"/>
                <w:color w:val="auto"/>
              </w:rPr>
              <w:t>Funds held for clients'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1,770,689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1,770,289</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6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502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62,227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62,227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42,587</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42,587</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50"/>
        </w:trPr>
        <w:tc>
          <w:tcPr>
            <w:tcW w:w="502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10,336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10,336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50"/>
        </w:trPr>
        <w:tc>
          <w:tcPr>
            <w:tcW w:w="502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4,023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4,023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government agency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50"/>
        </w:trPr>
        <w:tc>
          <w:tcPr>
            <w:tcW w:w="5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2,809</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2,809</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5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available-for-sale securities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149,374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149,374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57"/>
        </w:trPr>
        <w:tc>
          <w:tcPr>
            <w:tcW w:w="502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2,004,167</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1,854,393</w:t>
            </w: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149,774</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0"/>
        </w:trPr>
        <w:tc>
          <w:tcPr>
            <w:tcW w:w="5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202" w:lineRule="exact"/>
        <w:rPr>
          <w:sz w:val="20"/>
          <w:szCs w:val="20"/>
          <w:color w:val="auto"/>
        </w:rPr>
      </w:pPr>
    </w:p>
    <w:p>
      <w:pPr>
        <w:jc w:val="both"/>
        <w:ind w:right="60" w:firstLine="648"/>
        <w:spacing w:after="0" w:line="275" w:lineRule="auto"/>
        <w:rPr>
          <w:sz w:val="20"/>
          <w:szCs w:val="20"/>
          <w:color w:val="auto"/>
        </w:rPr>
      </w:pPr>
      <w:r>
        <w:rPr>
          <w:rFonts w:ascii="Arial" w:cs="Arial" w:eastAsia="Arial" w:hAnsi="Arial"/>
          <w:sz w:val="17"/>
          <w:szCs w:val="17"/>
          <w:color w:val="auto"/>
        </w:rPr>
        <w:t>In July 2019, the Company entered into a five-year revolving credit agreement with PNC Bank, National Association, and other lenders, which is secured by substantially all of the Company’s assets, subject to certain restrictions. The revolving credit agreement provides for a senior secured revolving credit facility (the “credit facility”) under which the Company may borrow up to $250,000, which may be increased to up to $375,000, subject to obtaining additional lender commitments and certain approvals and satisfying other requirements. The credit facility is scheduled to expire in July 2024. There were no borrowings under the credit facility at June 30, 2021 or December 31, 2021.</w:t>
      </w:r>
    </w:p>
    <w:p>
      <w:pPr>
        <w:spacing w:after="0" w:line="136"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proceeds of any borrowings are to be used to fund working capital, capital expenditures and general corporate purposes, including permitted acquisitions, permitted investments, permitted distributions and share repurchases. The Company may generally borrow, prepay and reborrow under the credit facility and terminate or reduce the lenders’ commitments at any time prior to revolving credit facility expiration without a premium or a penalty, other than customary “breakage” costs with respect to London Interbank Offered Rate (“LIBOR”) revolving loans.</w:t>
      </w:r>
    </w:p>
    <w:p>
      <w:pPr>
        <w:spacing w:after="0" w:line="131" w:lineRule="exact"/>
        <w:rPr>
          <w:sz w:val="20"/>
          <w:szCs w:val="20"/>
          <w:color w:val="auto"/>
        </w:rPr>
      </w:pPr>
    </w:p>
    <w:p>
      <w:pPr>
        <w:jc w:val="both"/>
        <w:ind w:right="360" w:firstLine="648"/>
        <w:spacing w:after="0" w:line="301" w:lineRule="auto"/>
        <w:rPr>
          <w:sz w:val="20"/>
          <w:szCs w:val="20"/>
          <w:color w:val="auto"/>
        </w:rPr>
      </w:pPr>
      <w:r>
        <w:rPr>
          <w:rFonts w:ascii="Arial" w:cs="Arial" w:eastAsia="Arial" w:hAnsi="Arial"/>
          <w:sz w:val="16"/>
          <w:szCs w:val="16"/>
          <w:color w:val="auto"/>
        </w:rPr>
        <w:t>Any borrowings under the credit facility will generally bear interest, at the Company’s option, at a rate per annum determined by reference to either the LIBOR (or a replacement index for the LIBOR rate) or an adjusted base rate, in each case plus an applicable margin ranging from 0.875% to 1.375% and 0.0% to 0.375%, respectively, based on the then-applicable net senior secured leverage ratio. Additionally, the Company is required to pay certain commitment, letter of credit fronting and letter of credit participation fees on available and/or undrawn portions of the credit facility.</w:t>
      </w:r>
    </w:p>
    <w:p>
      <w:pPr>
        <w:spacing w:after="0" w:line="13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Under the credit facility, the Company is required to comply with certain customary affirmative and negative covenants, including a requirement to maintain a maximum net total leverage ratio of not greater than 4.00 to 1.00, a maximum net senior secured leverage ratio of not greater than 3.50 to 1.00 and a minimum interest coverage ratio of not less than 3.00 to 1.00. As of December 31, 2021, the Company was in compliance with all of the aforementioned covenants.</w:t>
      </w:r>
    </w:p>
    <w:p>
      <w:pPr>
        <w:sectPr>
          <w:pgSz w:w="11900" w:h="16838" w:orient="portrait"/>
          <w:cols w:equalWidth="0" w:num="1">
            <w:col w:w="11240"/>
          </w:cols>
          <w:pgMar w:left="320" w:top="260"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8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Company maintains a 2008 Equity Incentive Plan (the “2008 Plan”) and a 2014 Equity Incentive Plan (the “2014 Plan”) pursuant to which the Company has reserved shares of its common stock for issuance to its employees, directors and non-employee third parties. The 2014 Plan serves as the successor to the 2008 Plan and permits the granting of restricted stock units and other equity incentives at the discretion of the compensation committee of the Company’s board of directors. No new awards have been or will be issued under the 2008 Plan since the effective date of the 2014 Plan. Outstanding awards under the 2008 Plan continue to be subject to the terms and conditions of the 2008 Plan. The number of shares of common stock reserved for issuance under the 2014 Plan may increase each calendar year, continuing through and including January 1, 2024. The number of shares added each year may be equal to the lesser of (a) four and five tenths percent (4.5%) of the number of shares of common stock of the Company issued and outstanding on the immediately preceding December 31, or (b) an amount determined by the Company’s board of directors.</w:t>
      </w:r>
    </w:p>
    <w:p>
      <w:pPr>
        <w:spacing w:after="0" w:line="138" w:lineRule="exact"/>
        <w:rPr>
          <w:sz w:val="20"/>
          <w:szCs w:val="20"/>
          <w:color w:val="auto"/>
        </w:rPr>
      </w:pPr>
    </w:p>
    <w:p>
      <w:pPr>
        <w:ind w:right="320" w:firstLine="648"/>
        <w:spacing w:after="0" w:line="311" w:lineRule="auto"/>
        <w:rPr>
          <w:sz w:val="20"/>
          <w:szCs w:val="20"/>
          <w:color w:val="auto"/>
        </w:rPr>
      </w:pPr>
      <w:r>
        <w:rPr>
          <w:rFonts w:ascii="Arial" w:cs="Arial" w:eastAsia="Arial" w:hAnsi="Arial"/>
          <w:sz w:val="16"/>
          <w:szCs w:val="16"/>
          <w:color w:val="auto"/>
        </w:rPr>
        <w:t>As of December 31, 2021, the Company had 12,006 shares allocated to the plans, of which 2,023 shares were subject to outstanding options or awards. Generally, the Company issues previously unissued shares for the exercise of stock options or vesting of awards; however, shares previously subject to 2014 Plan grants or awards that are forfeited or net settled at exercise or release may be reissued to satisfy future issuances.</w:t>
      </w:r>
    </w:p>
    <w:p>
      <w:pPr>
        <w:spacing w:after="0" w:line="10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 summarizes changes in the number of shares available for grant under the Company’s equity incentive plans during the six months ended December 31, 2021: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4"/>
                <w:szCs w:val="14"/>
                <w:color w:val="auto"/>
              </w:rPr>
            </w:pPr>
          </w:p>
        </w:tc>
        <w:tc>
          <w:tcPr>
            <w:tcW w:w="1480" w:type="dxa"/>
            <w:vAlign w:val="bottom"/>
          </w:tcPr>
          <w:p>
            <w:pPr>
              <w:jc w:val="right"/>
              <w:ind w:right="314"/>
              <w:spacing w:after="0"/>
              <w:rPr>
                <w:sz w:val="20"/>
                <w:szCs w:val="20"/>
                <w:color w:val="auto"/>
              </w:rPr>
            </w:pPr>
            <w:r>
              <w:rPr>
                <w:rFonts w:ascii="Arial" w:cs="Arial" w:eastAsia="Arial" w:hAnsi="Arial"/>
                <w:sz w:val="14"/>
                <w:szCs w:val="14"/>
                <w:b w:val="1"/>
                <w:bCs w:val="1"/>
                <w:color w:val="auto"/>
              </w:rPr>
              <w:t>Number of</w:t>
            </w:r>
          </w:p>
        </w:tc>
      </w:tr>
      <w:tr>
        <w:trPr>
          <w:trHeight w:val="188"/>
        </w:trPr>
        <w:tc>
          <w:tcPr>
            <w:tcW w:w="97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Shares</w:t>
            </w:r>
          </w:p>
        </w:tc>
      </w:tr>
      <w:tr>
        <w:trPr>
          <w:trHeight w:val="251"/>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 for grant at July 1, 2021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10,312</w:t>
            </w:r>
          </w:p>
        </w:tc>
      </w:tr>
      <w:tr>
        <w:trPr>
          <w:trHeight w:val="250"/>
        </w:trPr>
        <w:tc>
          <w:tcPr>
            <w:tcW w:w="9760" w:type="dxa"/>
            <w:vAlign w:val="bottom"/>
          </w:tcPr>
          <w:p>
            <w:pPr>
              <w:ind w:left="20"/>
              <w:spacing w:after="0"/>
              <w:rPr>
                <w:sz w:val="20"/>
                <w:szCs w:val="20"/>
                <w:color w:val="auto"/>
              </w:rPr>
            </w:pPr>
            <w:r>
              <w:rPr>
                <w:rFonts w:ascii="Arial" w:cs="Arial" w:eastAsia="Arial" w:hAnsi="Arial"/>
                <w:sz w:val="18"/>
                <w:szCs w:val="18"/>
                <w:color w:val="auto"/>
              </w:rPr>
              <w:t>RSUs 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(577)</w:t>
            </w:r>
          </w:p>
        </w:tc>
      </w:tr>
      <w:tr>
        <w:trPr>
          <w:trHeight w:val="26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MSUs granted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50"/>
        </w:trPr>
        <w:tc>
          <w:tcPr>
            <w:tcW w:w="9760" w:type="dxa"/>
            <w:vAlign w:val="bottom"/>
          </w:tcPr>
          <w:p>
            <w:pPr>
              <w:ind w:left="20"/>
              <w:spacing w:after="0"/>
              <w:rPr>
                <w:sz w:val="20"/>
                <w:szCs w:val="20"/>
                <w:color w:val="auto"/>
              </w:rPr>
            </w:pPr>
            <w:r>
              <w:rPr>
                <w:rFonts w:ascii="Arial" w:cs="Arial" w:eastAsia="Arial" w:hAnsi="Arial"/>
                <w:sz w:val="18"/>
                <w:szCs w:val="18"/>
                <w:color w:val="auto"/>
              </w:rPr>
              <w:t>Shares withheld in settlement of taxes and/or exercise price</w:t>
            </w:r>
          </w:p>
        </w:tc>
        <w:tc>
          <w:tcPr>
            <w:tcW w:w="148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6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Forfeitures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50"/>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removed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81"/>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 for grant at December 31,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9,983</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Shares removed represents forfeitures of shares and shares withheld in settlement of taxes and/or payment of exercise price related to grants made under the 2008 Plan. As noted above, no new awards will be issued under the 2008 Plan.</w:t>
      </w:r>
    </w:p>
    <w:p>
      <w:pPr>
        <w:spacing w:after="0" w:line="143"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Stock-based compensation expense related to restricted stock units (“RSUs”), market share units (“MSUs”) and the Employee Stock Purchase Plan is included in the following line items in the accompanying unaudited consolidated statements of operations and comprehensive income: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314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December 31,</w:t>
            </w:r>
          </w:p>
        </w:tc>
        <w:tc>
          <w:tcPr>
            <w:tcW w:w="320" w:type="dxa"/>
            <w:vAlign w:val="bottom"/>
          </w:tcPr>
          <w:p>
            <w:pPr>
              <w:spacing w:after="0"/>
              <w:rPr>
                <w:sz w:val="16"/>
                <w:szCs w:val="16"/>
                <w:color w:val="auto"/>
              </w:rPr>
            </w:pPr>
          </w:p>
        </w:tc>
        <w:tc>
          <w:tcPr>
            <w:tcW w:w="274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Six Months Ended December 31,</w:t>
            </w:r>
          </w:p>
        </w:tc>
      </w:tr>
      <w:tr>
        <w:trPr>
          <w:trHeight w:val="25"/>
        </w:trPr>
        <w:tc>
          <w:tcPr>
            <w:tcW w:w="5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r>
      <w:tr>
        <w:trPr>
          <w:trHeight w:val="25"/>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w:t>
            </w: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3,965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10,875</w:t>
            </w:r>
          </w:p>
        </w:tc>
      </w:tr>
      <w:tr>
        <w:trPr>
          <w:trHeight w:val="26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9,108</w:t>
            </w:r>
          </w:p>
        </w:tc>
      </w:tr>
      <w:tr>
        <w:trPr>
          <w:trHeight w:val="25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7,987</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19,895</w:t>
            </w:r>
          </w:p>
        </w:tc>
      </w:tr>
      <w:tr>
        <w:trPr>
          <w:trHeight w:val="281"/>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16,659</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45,802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In addition, the Company capitalized $528 and $1,879 of stock-based compensation expense in its capitalized internal-use software costs in the three months ended December 31, 2020 and 2021, respectively, and $1,297 and $3,426 during the six months ended December 31, 2020 and 2021, respectively.</w:t>
      </w:r>
    </w:p>
    <w:p>
      <w:pPr>
        <w:spacing w:after="0" w:line="14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August 2020, the compensation committee of the Company’s board of directors approved the modification of the performance targets for vesting of the performance-based restricted stock units granted in fiscal 2020. The Company recorded $1,924 and $1,815 in stock-based compensation expense during the three months ended December 31, 2020 and 2021, respectively, and $2,784 and $3,058 during the six months ended December 31, 2020 and 2021, respectively, related to these modified performance-based restricted stock units.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There were no stock options granted during the six months ended December 31, 2021. The table below presents stock option activity during the six months ended December 31,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4"/>
          </w:tcPr>
          <w:p>
            <w:pPr>
              <w:ind w:left="620"/>
              <w:spacing w:after="0"/>
              <w:rPr>
                <w:sz w:val="20"/>
                <w:szCs w:val="20"/>
                <w:color w:val="auto"/>
              </w:rPr>
            </w:pPr>
            <w:r>
              <w:rPr>
                <w:rFonts w:ascii="Arial" w:cs="Arial" w:eastAsia="Arial" w:hAnsi="Arial"/>
                <w:sz w:val="14"/>
                <w:szCs w:val="14"/>
                <w:b w:val="1"/>
                <w:bCs w:val="1"/>
                <w:color w:val="auto"/>
              </w:rPr>
              <w:t>Outstanding Options</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6"/>
        </w:trPr>
        <w:tc>
          <w:tcPr>
            <w:tcW w:w="50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60"/>
        </w:trPr>
        <w:tc>
          <w:tcPr>
            <w:tcW w:w="5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120"/>
              <w:spacing w:after="0" w:line="160" w:lineRule="exact"/>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62"/>
        </w:trPr>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remaining</w:t>
            </w:r>
          </w:p>
        </w:tc>
        <w:tc>
          <w:tcPr>
            <w:tcW w:w="260" w:type="dxa"/>
            <w:vAlign w:val="bottom"/>
          </w:tcPr>
          <w:p>
            <w:pPr>
              <w:spacing w:after="0"/>
              <w:rPr>
                <w:sz w:val="14"/>
                <w:szCs w:val="14"/>
                <w:color w:val="auto"/>
              </w:rPr>
            </w:pPr>
          </w:p>
        </w:tc>
        <w:tc>
          <w:tcPr>
            <w:tcW w:w="1220" w:type="dxa"/>
            <w:vAlign w:val="bottom"/>
          </w:tcPr>
          <w:p>
            <w:pPr>
              <w:jc w:val="center"/>
              <w:ind w:right="179"/>
              <w:spacing w:after="0"/>
              <w:rPr>
                <w:sz w:val="20"/>
                <w:szCs w:val="20"/>
                <w:color w:val="auto"/>
              </w:rPr>
            </w:pPr>
            <w:r>
              <w:rPr>
                <w:rFonts w:ascii="Arial" w:cs="Arial" w:eastAsia="Arial" w:hAnsi="Arial"/>
                <w:sz w:val="14"/>
                <w:szCs w:val="14"/>
                <w:b w:val="1"/>
                <w:bCs w:val="1"/>
                <w:color w:val="auto"/>
                <w:w w:val="92"/>
              </w:rPr>
              <w:t>Aggregate</w:t>
            </w:r>
          </w:p>
        </w:tc>
      </w:tr>
      <w:tr>
        <w:trPr>
          <w:trHeight w:val="162"/>
        </w:trPr>
        <w:tc>
          <w:tcPr>
            <w:tcW w:w="50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exercise</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contractual</w:t>
            </w:r>
          </w:p>
        </w:tc>
        <w:tc>
          <w:tcPr>
            <w:tcW w:w="260" w:type="dxa"/>
            <w:vAlign w:val="bottom"/>
          </w:tcPr>
          <w:p>
            <w:pPr>
              <w:spacing w:after="0"/>
              <w:rPr>
                <w:sz w:val="14"/>
                <w:szCs w:val="14"/>
                <w:color w:val="auto"/>
              </w:rPr>
            </w:pPr>
          </w:p>
        </w:tc>
        <w:tc>
          <w:tcPr>
            <w:tcW w:w="1220" w:type="dxa"/>
            <w:vAlign w:val="bottom"/>
          </w:tcPr>
          <w:p>
            <w:pPr>
              <w:jc w:val="center"/>
              <w:ind w:right="179"/>
              <w:spacing w:after="0"/>
              <w:rPr>
                <w:sz w:val="20"/>
                <w:szCs w:val="20"/>
                <w:color w:val="auto"/>
              </w:rPr>
            </w:pPr>
            <w:r>
              <w:rPr>
                <w:rFonts w:ascii="Arial" w:cs="Arial" w:eastAsia="Arial" w:hAnsi="Arial"/>
                <w:sz w:val="14"/>
                <w:szCs w:val="14"/>
                <w:b w:val="1"/>
                <w:bCs w:val="1"/>
                <w:color w:val="auto"/>
                <w:w w:val="95"/>
              </w:rPr>
              <w:t>intrinsic</w:t>
            </w:r>
          </w:p>
        </w:tc>
      </w:tr>
      <w:tr>
        <w:trPr>
          <w:trHeight w:val="186"/>
        </w:trPr>
        <w:tc>
          <w:tcPr>
            <w:tcW w:w="504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8"/>
              </w:rPr>
              <w:t>shares</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price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term (years)</w:t>
            </w:r>
          </w:p>
        </w:tc>
        <w:tc>
          <w:tcPr>
            <w:tcW w:w="260" w:type="dxa"/>
            <w:vAlign w:val="bottom"/>
          </w:tcPr>
          <w:p>
            <w:pPr>
              <w:spacing w:after="0"/>
              <w:rPr>
                <w:sz w:val="16"/>
                <w:szCs w:val="16"/>
                <w:color w:val="auto"/>
              </w:rPr>
            </w:pPr>
          </w:p>
        </w:tc>
        <w:tc>
          <w:tcPr>
            <w:tcW w:w="1220" w:type="dxa"/>
            <w:vAlign w:val="bottom"/>
          </w:tcPr>
          <w:p>
            <w:pPr>
              <w:jc w:val="center"/>
              <w:ind w:right="179"/>
              <w:spacing w:after="0"/>
              <w:rPr>
                <w:sz w:val="20"/>
                <w:szCs w:val="20"/>
                <w:color w:val="auto"/>
              </w:rPr>
            </w:pPr>
            <w:r>
              <w:rPr>
                <w:rFonts w:ascii="Arial" w:cs="Arial" w:eastAsia="Arial" w:hAnsi="Arial"/>
                <w:sz w:val="14"/>
                <w:szCs w:val="14"/>
                <w:b w:val="1"/>
                <w:bCs w:val="1"/>
                <w:color w:val="auto"/>
                <w:w w:val="89"/>
              </w:rPr>
              <w:t>value</w:t>
            </w:r>
          </w:p>
        </w:tc>
      </w:tr>
      <w:tr>
        <w:trPr>
          <w:trHeight w:val="25"/>
        </w:trPr>
        <w:tc>
          <w:tcPr>
            <w:tcW w:w="50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July 1, 2021</w:t>
            </w:r>
          </w:p>
        </w:tc>
        <w:tc>
          <w:tcPr>
            <w:tcW w:w="1480" w:type="dxa"/>
            <w:vAlign w:val="bottom"/>
            <w:shd w:val="clear" w:color="auto" w:fill="CCEEFF"/>
          </w:tcPr>
          <w:p>
            <w:pPr>
              <w:jc w:val="center"/>
              <w:ind w:left="976"/>
              <w:spacing w:after="0"/>
              <w:rPr>
                <w:sz w:val="20"/>
                <w:szCs w:val="20"/>
                <w:color w:val="auto"/>
              </w:rPr>
            </w:pPr>
            <w:r>
              <w:rPr>
                <w:rFonts w:ascii="Arial" w:cs="Arial" w:eastAsia="Arial" w:hAnsi="Arial"/>
                <w:sz w:val="18"/>
                <w:szCs w:val="18"/>
                <w:color w:val="auto"/>
                <w:w w:val="86"/>
              </w:rPr>
              <w:t>765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133,550</w:t>
            </w:r>
          </w:p>
        </w:tc>
      </w:tr>
      <w:tr>
        <w:trPr>
          <w:trHeight w:val="25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Options exercised</w:t>
            </w:r>
          </w:p>
        </w:tc>
        <w:tc>
          <w:tcPr>
            <w:tcW w:w="1480" w:type="dxa"/>
            <w:vAlign w:val="bottom"/>
            <w:tcBorders>
              <w:bottom w:val="single" w:sz="8" w:color="auto"/>
            </w:tcBorders>
          </w:tcPr>
          <w:p>
            <w:pPr>
              <w:jc w:val="center"/>
              <w:ind w:left="936"/>
              <w:spacing w:after="0"/>
              <w:rPr>
                <w:sz w:val="20"/>
                <w:szCs w:val="20"/>
                <w:color w:val="auto"/>
              </w:rPr>
            </w:pPr>
            <w:r>
              <w:rPr>
                <w:rFonts w:ascii="Arial" w:cs="Arial" w:eastAsia="Arial" w:hAnsi="Arial"/>
                <w:sz w:val="18"/>
                <w:szCs w:val="18"/>
                <w:color w:val="auto"/>
                <w:w w:val="90"/>
              </w:rPr>
              <w:t>(195)</w:t>
            </w:r>
          </w:p>
        </w:tc>
        <w:tc>
          <w:tcPr>
            <w:tcW w:w="36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r>
      <w:tr>
        <w:trPr>
          <w:trHeight w:val="282"/>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480" w:type="dxa"/>
            <w:vAlign w:val="bottom"/>
            <w:tcBorders>
              <w:bottom w:val="single" w:sz="8" w:color="auto"/>
            </w:tcBorders>
            <w:shd w:val="clear" w:color="auto" w:fill="CCEEFF"/>
          </w:tcPr>
          <w:p>
            <w:pPr>
              <w:jc w:val="center"/>
              <w:ind w:left="976"/>
              <w:spacing w:after="0"/>
              <w:rPr>
                <w:sz w:val="20"/>
                <w:szCs w:val="20"/>
                <w:color w:val="auto"/>
              </w:rPr>
            </w:pPr>
            <w:r>
              <w:rPr>
                <w:rFonts w:ascii="Arial" w:cs="Arial" w:eastAsia="Arial" w:hAnsi="Arial"/>
                <w:sz w:val="18"/>
                <w:szCs w:val="18"/>
                <w:color w:val="auto"/>
                <w:w w:val="86"/>
              </w:rPr>
              <w:t>570</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124,198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231"/>
        </w:trPr>
        <w:tc>
          <w:tcPr>
            <w:tcW w:w="5040" w:type="dxa"/>
            <w:vAlign w:val="bottom"/>
          </w:tcPr>
          <w:p>
            <w:pPr>
              <w:ind w:left="20"/>
              <w:spacing w:after="0"/>
              <w:rPr>
                <w:sz w:val="20"/>
                <w:szCs w:val="20"/>
                <w:color w:val="auto"/>
              </w:rPr>
            </w:pPr>
            <w:r>
              <w:rPr>
                <w:rFonts w:ascii="Arial" w:cs="Arial" w:eastAsia="Arial" w:hAnsi="Arial"/>
                <w:sz w:val="18"/>
                <w:szCs w:val="18"/>
                <w:color w:val="auto"/>
              </w:rPr>
              <w:t>Options vested and exercisable at December 31, 2021</w:t>
            </w:r>
          </w:p>
        </w:tc>
        <w:tc>
          <w:tcPr>
            <w:tcW w:w="1480" w:type="dxa"/>
            <w:vAlign w:val="bottom"/>
            <w:tcBorders>
              <w:bottom w:val="single" w:sz="8" w:color="auto"/>
            </w:tcBorders>
          </w:tcPr>
          <w:p>
            <w:pPr>
              <w:jc w:val="center"/>
              <w:ind w:left="976"/>
              <w:spacing w:after="0"/>
              <w:rPr>
                <w:sz w:val="20"/>
                <w:szCs w:val="20"/>
                <w:color w:val="auto"/>
              </w:rPr>
            </w:pPr>
            <w:r>
              <w:rPr>
                <w:rFonts w:ascii="Arial" w:cs="Arial" w:eastAsia="Arial" w:hAnsi="Arial"/>
                <w:sz w:val="18"/>
                <w:szCs w:val="18"/>
                <w:color w:val="auto"/>
                <w:w w:val="86"/>
              </w:rPr>
              <w:t>570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18.35</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124,198</w:t>
            </w:r>
          </w:p>
        </w:tc>
      </w:tr>
      <w:tr>
        <w:trPr>
          <w:trHeight w:val="20"/>
        </w:trPr>
        <w:tc>
          <w:tcPr>
            <w:tcW w:w="50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total intrinsic value of options exercised was $25,869 and $11,759 during the three months ended December 31, 2020 and 2021, respectively, and $37,277 and $47,627 during the six months ended December 31, 2020 and 2021, respectively.</w:t>
      </w:r>
    </w:p>
    <w:p>
      <w:pPr>
        <w:spacing w:after="0" w:line="143"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Company grants RSUs under the 2014 Plan with terms determined at the discretion of the compensation committee of the Company’s board of directors. RSUs generally vest over three or four years following the grant date. Certain RSU awards have time-based vesting conditions while other RSUs vest based on the achievement of certain revenue growth and/or Adjusted EBITDA margin targets. For these performance-based RSUs, the Company recognizes stock-based compensation expense based upon the probable or actual achievement of these aforementioned performance metrics.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restricted stock unit activity during the six months ended December 31, 2021: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9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8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center"/>
              <w:ind w:right="178"/>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8180" w:type="dxa"/>
            <w:vAlign w:val="bottom"/>
          </w:tcPr>
          <w:p>
            <w:pPr>
              <w:spacing w:after="0"/>
              <w:rPr>
                <w:sz w:val="11"/>
                <w:szCs w:val="11"/>
                <w:color w:val="auto"/>
              </w:rPr>
            </w:pPr>
          </w:p>
        </w:tc>
        <w:tc>
          <w:tcPr>
            <w:tcW w:w="96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Units</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center"/>
              <w:ind w:right="178"/>
              <w:spacing w:after="0" w:line="135"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88"/>
        </w:trPr>
        <w:tc>
          <w:tcPr>
            <w:tcW w:w="81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51"/>
        </w:trPr>
        <w:tc>
          <w:tcPr>
            <w:tcW w:w="9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RSU balance at July 1, 2021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1,388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100.33</w:t>
            </w:r>
          </w:p>
        </w:tc>
        <w:tc>
          <w:tcPr>
            <w:tcW w:w="0" w:type="dxa"/>
            <w:vAlign w:val="bottom"/>
          </w:tcPr>
          <w:p>
            <w:pPr>
              <w:spacing w:after="0"/>
              <w:rPr>
                <w:sz w:val="1"/>
                <w:szCs w:val="1"/>
                <w:color w:val="auto"/>
              </w:rPr>
            </w:pPr>
          </w:p>
        </w:tc>
      </w:tr>
      <w:tr>
        <w:trPr>
          <w:trHeight w:val="250"/>
        </w:trPr>
        <w:tc>
          <w:tcPr>
            <w:tcW w:w="9140" w:type="dxa"/>
            <w:vAlign w:val="bottom"/>
            <w:gridSpan w:val="2"/>
          </w:tcPr>
          <w:p>
            <w:pPr>
              <w:ind w:left="20"/>
              <w:spacing w:after="0"/>
              <w:rPr>
                <w:sz w:val="20"/>
                <w:szCs w:val="20"/>
                <w:color w:val="auto"/>
              </w:rPr>
            </w:pPr>
            <w:r>
              <w:rPr>
                <w:rFonts w:ascii="Arial" w:cs="Arial" w:eastAsia="Arial" w:hAnsi="Arial"/>
                <w:sz w:val="18"/>
                <w:szCs w:val="18"/>
                <w:color w:val="auto"/>
              </w:rPr>
              <w:t>RSUs granted</w:t>
            </w:r>
          </w:p>
        </w:tc>
        <w:tc>
          <w:tcPr>
            <w:tcW w:w="520" w:type="dxa"/>
            <w:vAlign w:val="bottom"/>
          </w:tcPr>
          <w:p>
            <w:pPr>
              <w:jc w:val="right"/>
              <w:spacing w:after="0"/>
              <w:rPr>
                <w:sz w:val="20"/>
                <w:szCs w:val="20"/>
                <w:color w:val="auto"/>
              </w:rPr>
            </w:pPr>
            <w:r>
              <w:rPr>
                <w:rFonts w:ascii="Arial" w:cs="Arial" w:eastAsia="Arial" w:hAnsi="Arial"/>
                <w:sz w:val="18"/>
                <w:szCs w:val="18"/>
                <w:color w:val="auto"/>
              </w:rPr>
              <w:t>577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253.08</w:t>
            </w:r>
          </w:p>
        </w:tc>
        <w:tc>
          <w:tcPr>
            <w:tcW w:w="0" w:type="dxa"/>
            <w:vAlign w:val="bottom"/>
          </w:tcPr>
          <w:p>
            <w:pPr>
              <w:spacing w:after="0"/>
              <w:rPr>
                <w:sz w:val="1"/>
                <w:szCs w:val="1"/>
                <w:color w:val="auto"/>
              </w:rPr>
            </w:pPr>
          </w:p>
        </w:tc>
      </w:tr>
      <w:tr>
        <w:trPr>
          <w:trHeight w:val="263"/>
        </w:trPr>
        <w:tc>
          <w:tcPr>
            <w:tcW w:w="9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RSUs vested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84.52</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RSUs forfeited</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36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151.56</w:t>
            </w:r>
          </w:p>
        </w:tc>
        <w:tc>
          <w:tcPr>
            <w:tcW w:w="0" w:type="dxa"/>
            <w:vAlign w:val="bottom"/>
          </w:tcPr>
          <w:p>
            <w:pPr>
              <w:spacing w:after="0"/>
              <w:rPr>
                <w:sz w:val="1"/>
                <w:szCs w:val="1"/>
                <w:color w:val="auto"/>
              </w:rPr>
            </w:pPr>
          </w:p>
        </w:tc>
      </w:tr>
      <w:tr>
        <w:trPr>
          <w:trHeight w:val="276"/>
        </w:trPr>
        <w:tc>
          <w:tcPr>
            <w:tcW w:w="9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RSU balance at December 31, 2021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1,352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At December 31, 2021, there was $134,813 of total unrecognized compensation cost, net of estimated forfeitures, related to unvested restricted stock units granted. That cost is expected to be recognized over a weighted average period of 2.0 years.</w:t>
      </w:r>
    </w:p>
    <w:p>
      <w:pPr>
        <w:spacing w:after="0" w:line="14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Company also grants MSUs under the 2014 Plan with terms determined at the discretion of the Committee. The actual number of MSUs that will be eligible to vest is based on the achievement of a relative total shareholder return (“TSR”) target as compared to the TSR realized by each of the companies comprising the Russell 3000 Index over an approximately three-year period. The MSUs cliff-vest at the end of the TSR measurement period, and up to 200% of the target number of shares subject to each MSU are eligible to be earned.</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market share unit activity during the six months ended December 31, 2021: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99"/>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8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79"/>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8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79"/>
              <w:spacing w:after="0"/>
              <w:rPr>
                <w:sz w:val="20"/>
                <w:szCs w:val="20"/>
                <w:color w:val="auto"/>
              </w:rPr>
            </w:pPr>
            <w:r>
              <w:rPr>
                <w:rFonts w:ascii="Arial" w:cs="Arial" w:eastAsia="Arial" w:hAnsi="Arial"/>
                <w:sz w:val="14"/>
                <w:szCs w:val="14"/>
                <w:b w:val="1"/>
                <w:bCs w:val="1"/>
                <w:color w:val="auto"/>
                <w:w w:val="94"/>
              </w:rPr>
              <w:t>grant date</w:t>
            </w:r>
          </w:p>
        </w:tc>
      </w:tr>
      <w:tr>
        <w:trPr>
          <w:trHeight w:val="186"/>
        </w:trPr>
        <w:tc>
          <w:tcPr>
            <w:tcW w:w="8180" w:type="dxa"/>
            <w:vAlign w:val="bottom"/>
          </w:tcPr>
          <w:p>
            <w:pPr>
              <w:spacing w:after="0"/>
              <w:rPr>
                <w:sz w:val="16"/>
                <w:szCs w:val="16"/>
                <w:color w:val="auto"/>
              </w:rPr>
            </w:pPr>
          </w:p>
        </w:tc>
        <w:tc>
          <w:tcPr>
            <w:tcW w:w="1040" w:type="dxa"/>
            <w:vAlign w:val="bottom"/>
          </w:tcPr>
          <w:p>
            <w:pPr>
              <w:ind w:left="580"/>
              <w:spacing w:after="0"/>
              <w:rPr>
                <w:sz w:val="20"/>
                <w:szCs w:val="20"/>
                <w:color w:val="auto"/>
              </w:rPr>
            </w:pPr>
            <w:r>
              <w:rPr>
                <w:rFonts w:ascii="Arial" w:cs="Arial" w:eastAsia="Arial" w:hAnsi="Arial"/>
                <w:sz w:val="14"/>
                <w:szCs w:val="14"/>
                <w:b w:val="1"/>
                <w:bCs w:val="1"/>
                <w:color w:val="auto"/>
              </w:rPr>
              <w:t>Units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9"/>
              <w:spacing w:after="0"/>
              <w:rPr>
                <w:sz w:val="20"/>
                <w:szCs w:val="20"/>
                <w:color w:val="auto"/>
              </w:rPr>
            </w:pPr>
            <w:r>
              <w:rPr>
                <w:rFonts w:ascii="Arial" w:cs="Arial" w:eastAsia="Arial" w:hAnsi="Arial"/>
                <w:sz w:val="14"/>
                <w:szCs w:val="14"/>
                <w:b w:val="1"/>
                <w:bCs w:val="1"/>
                <w:color w:val="auto"/>
                <w:w w:val="97"/>
              </w:rPr>
              <w:t>fair value</w:t>
            </w:r>
          </w:p>
        </w:tc>
      </w:tr>
      <w:tr>
        <w:trPr>
          <w:trHeight w:val="25"/>
        </w:trPr>
        <w:tc>
          <w:tcPr>
            <w:tcW w:w="81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MSU balance at July 1, 2021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178.04</w:t>
            </w:r>
          </w:p>
        </w:tc>
      </w:tr>
      <w:tr>
        <w:trPr>
          <w:trHeight w:val="250"/>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MSUs granted</w:t>
            </w:r>
          </w:p>
        </w:tc>
        <w:tc>
          <w:tcPr>
            <w:tcW w:w="440" w:type="dxa"/>
            <w:vAlign w:val="bottom"/>
          </w:tcPr>
          <w:p>
            <w:pPr>
              <w:jc w:val="right"/>
              <w:spacing w:after="0"/>
              <w:rPr>
                <w:sz w:val="20"/>
                <w:szCs w:val="20"/>
                <w:color w:val="auto"/>
              </w:rPr>
            </w:pPr>
            <w:r>
              <w:rPr>
                <w:rFonts w:ascii="Arial" w:cs="Arial" w:eastAsia="Arial" w:hAnsi="Arial"/>
                <w:sz w:val="18"/>
                <w:szCs w:val="18"/>
                <w:color w:val="auto"/>
              </w:rPr>
              <w:t>48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361.02</w:t>
            </w: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MSUs forfeited</w:t>
            </w:r>
          </w:p>
        </w:tc>
        <w:tc>
          <w:tcPr>
            <w:tcW w:w="104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178.04</w:t>
            </w:r>
          </w:p>
        </w:tc>
      </w:tr>
      <w:tr>
        <w:trPr>
          <w:trHeight w:val="256"/>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MSU balance at December 31, 2021</w:t>
            </w:r>
          </w:p>
        </w:tc>
        <w:tc>
          <w:tcPr>
            <w:tcW w:w="440" w:type="dxa"/>
            <w:vAlign w:val="bottom"/>
          </w:tcPr>
          <w:p>
            <w:pPr>
              <w:jc w:val="right"/>
              <w:spacing w:after="0"/>
              <w:rPr>
                <w:sz w:val="20"/>
                <w:szCs w:val="20"/>
                <w:color w:val="auto"/>
              </w:rPr>
            </w:pPr>
            <w:r>
              <w:rPr>
                <w:rFonts w:ascii="Arial" w:cs="Arial" w:eastAsia="Arial" w:hAnsi="Arial"/>
                <w:sz w:val="18"/>
                <w:szCs w:val="18"/>
                <w:color w:val="auto"/>
              </w:rPr>
              <w:t>101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263.83</w:t>
            </w:r>
          </w:p>
        </w:tc>
      </w:tr>
      <w:tr>
        <w:trPr>
          <w:trHeight w:val="20"/>
        </w:trPr>
        <w:tc>
          <w:tcPr>
            <w:tcW w:w="8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60"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estimated the grant date fair value of the MSUs using a Monte Carlo simulation model that included the following assumptions: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7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79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84"/>
        </w:trPr>
        <w:tc>
          <w:tcPr>
            <w:tcW w:w="8940" w:type="dxa"/>
            <w:vAlign w:val="bottom"/>
            <w:gridSpan w:val="2"/>
          </w:tcPr>
          <w:p>
            <w:pPr>
              <w:ind w:left="8620"/>
              <w:spacing w:after="0"/>
              <w:rPr>
                <w:sz w:val="20"/>
                <w:szCs w:val="20"/>
                <w:color w:val="auto"/>
              </w:rPr>
            </w:pPr>
            <w:r>
              <w:rPr>
                <w:rFonts w:ascii="Arial" w:cs="Arial" w:eastAsia="Arial" w:hAnsi="Arial"/>
                <w:sz w:val="14"/>
                <w:szCs w:val="14"/>
                <w:b w:val="1"/>
                <w:bCs w:val="1"/>
                <w:color w:val="auto"/>
                <w:w w:val="96"/>
              </w:rPr>
              <w:t>2020</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6"/>
        </w:trPr>
        <w:tc>
          <w:tcPr>
            <w:tcW w:w="79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37"/>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assumptions:</w:t>
            </w:r>
          </w:p>
        </w:tc>
        <w:tc>
          <w:tcPr>
            <w:tcW w:w="9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50"/>
        </w:trPr>
        <w:tc>
          <w:tcPr>
            <w:tcW w:w="8940" w:type="dxa"/>
            <w:vAlign w:val="bottom"/>
            <w:gridSpan w:val="2"/>
          </w:tcPr>
          <w:p>
            <w:pPr>
              <w:ind w:left="20"/>
              <w:spacing w:after="0"/>
              <w:rPr>
                <w:sz w:val="20"/>
                <w:szCs w:val="20"/>
                <w:color w:val="auto"/>
              </w:rPr>
            </w:pPr>
            <w:r>
              <w:rPr>
                <w:rFonts w:ascii="Arial" w:cs="Arial" w:eastAsia="Arial" w:hAnsi="Arial"/>
                <w:sz w:val="18"/>
                <w:szCs w:val="18"/>
                <w:color w:val="auto"/>
              </w:rPr>
              <w:t>Expected dividend yield</w:t>
            </w:r>
          </w:p>
        </w:tc>
        <w:tc>
          <w:tcPr>
            <w:tcW w:w="12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20"/>
              <w:spacing w:after="0"/>
              <w:rPr>
                <w:sz w:val="20"/>
                <w:szCs w:val="20"/>
                <w:color w:val="auto"/>
              </w:rPr>
            </w:pPr>
            <w:r>
              <w:rPr>
                <w:rFonts w:ascii="Arial" w:cs="Arial" w:eastAsia="Arial" w:hAnsi="Arial"/>
                <w:sz w:val="18"/>
                <w:szCs w:val="18"/>
                <w:color w:val="auto"/>
              </w:rPr>
              <w:t>—%</w:t>
            </w:r>
          </w:p>
        </w:tc>
      </w:tr>
      <w:tr>
        <w:trPr>
          <w:trHeight w:val="263"/>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52.0 %</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47.4 - 47.5%</w:t>
            </w:r>
          </w:p>
        </w:tc>
        <w:tc>
          <w:tcPr>
            <w:tcW w:w="100" w:type="dxa"/>
            <w:vAlign w:val="bottom"/>
            <w:shd w:val="clear" w:color="auto" w:fill="CCEEFF"/>
          </w:tcPr>
          <w:p>
            <w:pPr>
              <w:spacing w:after="0"/>
              <w:rPr>
                <w:sz w:val="22"/>
                <w:szCs w:val="22"/>
                <w:color w:val="auto"/>
              </w:rPr>
            </w:pPr>
          </w:p>
        </w:tc>
      </w:tr>
      <w:tr>
        <w:trPr>
          <w:trHeight w:val="250"/>
        </w:trPr>
        <w:tc>
          <w:tcPr>
            <w:tcW w:w="8940" w:type="dxa"/>
            <w:vAlign w:val="bottom"/>
            <w:gridSpan w:val="2"/>
          </w:tcPr>
          <w:p>
            <w:pPr>
              <w:ind w:left="20"/>
              <w:spacing w:after="0"/>
              <w:rPr>
                <w:sz w:val="20"/>
                <w:szCs w:val="20"/>
                <w:color w:val="auto"/>
              </w:rPr>
            </w:pPr>
            <w:r>
              <w:rPr>
                <w:rFonts w:ascii="Arial" w:cs="Arial" w:eastAsia="Arial" w:hAnsi="Arial"/>
                <w:sz w:val="18"/>
                <w:szCs w:val="18"/>
                <w:color w:val="auto"/>
              </w:rPr>
              <w:t>Expected term (years)</w:t>
            </w:r>
          </w:p>
        </w:tc>
        <w:tc>
          <w:tcPr>
            <w:tcW w:w="640" w:type="dxa"/>
            <w:vAlign w:val="bottom"/>
          </w:tcPr>
          <w:p>
            <w:pPr>
              <w:jc w:val="right"/>
              <w:ind w:right="56"/>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2.92 - 3.04</w:t>
            </w:r>
          </w:p>
        </w:tc>
        <w:tc>
          <w:tcPr>
            <w:tcW w:w="100" w:type="dxa"/>
            <w:vAlign w:val="bottom"/>
          </w:tcPr>
          <w:p>
            <w:pPr>
              <w:spacing w:after="0"/>
              <w:rPr>
                <w:sz w:val="21"/>
                <w:szCs w:val="21"/>
                <w:color w:val="auto"/>
              </w:rPr>
            </w:pPr>
          </w:p>
        </w:tc>
      </w:tr>
      <w:tr>
        <w:trPr>
          <w:trHeight w:val="263"/>
        </w:trPr>
        <w:tc>
          <w:tcPr>
            <w:tcW w:w="894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interest rate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0.43 - 0.47%</w:t>
            </w:r>
          </w:p>
        </w:tc>
        <w:tc>
          <w:tcPr>
            <w:tcW w:w="100" w:type="dxa"/>
            <w:vAlign w:val="bottom"/>
            <w:shd w:val="clear" w:color="auto" w:fill="CCEEFF"/>
          </w:tcPr>
          <w:p>
            <w:pPr>
              <w:spacing w:after="0"/>
              <w:rPr>
                <w:sz w:val="22"/>
                <w:szCs w:val="22"/>
                <w:color w:val="auto"/>
              </w:rPr>
            </w:pPr>
          </w:p>
        </w:tc>
      </w:tr>
    </w:tbl>
    <w:p>
      <w:pPr>
        <w:spacing w:after="0" w:line="25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At December 31, 2021, there was $17,832 of total unrecognized compensation cost, net of estimated forfeitures, related to unvested MSUs. That cost is expected to be recognized over a period of 2.4 years.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Litigation</w:t>
      </w:r>
    </w:p>
    <w:p>
      <w:pPr>
        <w:spacing w:after="0" w:line="189"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On November 16, 2020, a potential class action complaint was filed against the Company with the Circuit Court of Cook County alleging that the Company violated the Illinois Biometric Information Privacy Act. The complaint seeks statutory damages, attorney’s fees and other costs. The Company is unable to estimate any reasonably possible loss, or range of loss, with respect to this matter at this time. The Company intends to vigorously defend against this lawsuit.</w:t>
      </w:r>
    </w:p>
    <w:p>
      <w:pPr>
        <w:spacing w:after="0" w:line="146"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From time to time, the Company is subject to litigation arising in the ordinary course of business. Many of these matters are covered in whole or in part by insurance. In the opinion of the Company’s management, the ultimate disposition of any matters currently outstanding or threatened will not have a material adverse effect on the Company’s financial position, results of operations, or liquidity. However, these matters are subject to inherent uncertainties and could materially impact the Company’s financial position, results of operations, or liquidity based on the final disposition of these matters.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89"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The Company’s quarterly provision for income taxes is based on the annual effective rate method. The Company’s quarterly provision for income taxes also includes the tax impact of certain unusual or infrequently occurring items, if any, including changes in judgment about valuation allowances and effects of changes in tax laws or rates, and other discrete items in the interim period in which they occur.</w:t>
      </w:r>
    </w:p>
    <w:p>
      <w:pPr>
        <w:spacing w:after="0" w:line="125"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The Company’s effective tax rate was (61.5)% and (26.9)% for the three months ended December 31, 2020 and 2021, respectively. The Company’s effective tax rate for the three months ended December 31, 2020 was lower than the federal statutory rate of 21% primarily due to excess tax benefits from employee stock-based compensation and state and local income taxes, partially offset by an increase to the valuation allowance. The Company's effective tax rate for the three months ended December 31, 2021 was lower than the federal statutory rate of 21% primarily due to excess tax benefits from employee stock-based compensation.</w:t>
      </w:r>
    </w:p>
    <w:p>
      <w:pPr>
        <w:spacing w:after="0" w:line="161" w:lineRule="exact"/>
        <w:rPr>
          <w:sz w:val="20"/>
          <w:szCs w:val="20"/>
          <w:color w:val="auto"/>
        </w:rPr>
      </w:pPr>
    </w:p>
    <w:p>
      <w:pPr>
        <w:ind w:right="560" w:firstLine="648"/>
        <w:spacing w:after="0" w:line="259" w:lineRule="auto"/>
        <w:rPr>
          <w:sz w:val="20"/>
          <w:szCs w:val="20"/>
          <w:color w:val="auto"/>
        </w:rPr>
      </w:pPr>
      <w:r>
        <w:rPr>
          <w:rFonts w:ascii="Arial" w:cs="Arial" w:eastAsia="Arial" w:hAnsi="Arial"/>
          <w:sz w:val="18"/>
          <w:szCs w:val="18"/>
          <w:color w:val="auto"/>
        </w:rPr>
        <w:t>The Company's effective tax rate was (141.2)% and (127.8)% for the six months ended December 31, 2020 and 2021, respectively. The Company's effective tax rate for the six months ended December 31, 2020, and December 31, 2021 was lower than the federal statutory rate of 21% primarily due to excess tax benefits from employee stock-based compensation and state and local income taxes, partially offset by an increase to the valuation allowance.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Per Share</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Basic net income per common share is computed using the weighted-average number of common shares outstanding during the period. Diluted net income per share is computed using the weighted-average number of common shares outstanding during the period and, if dilutive, potential common shares outstanding during the period. The Company’s potential common shares consist of the incremental common shares issuable upon the exercise of stock options,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the release of restricted stock units and market share units, and the shares purchasable via the employee stock purchase plan as of the balance sheet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calculation of basic and diluted net income per share: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460" w:type="dxa"/>
            <w:vAlign w:val="bottom"/>
            <w:gridSpan w:val="4"/>
          </w:tcPr>
          <w:p>
            <w:pPr>
              <w:jc w:val="right"/>
              <w:ind w:right="195"/>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86"/>
        </w:trPr>
        <w:tc>
          <w:tcPr>
            <w:tcW w:w="5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60" w:type="dxa"/>
            <w:vAlign w:val="bottom"/>
            <w:gridSpan w:val="3"/>
          </w:tcPr>
          <w:p>
            <w:pPr>
              <w:jc w:val="right"/>
              <w:ind w:right="435"/>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Pr>
          <w:p>
            <w:pPr>
              <w:spacing w:after="0"/>
              <w:rPr>
                <w:sz w:val="16"/>
                <w:szCs w:val="16"/>
                <w:color w:val="auto"/>
              </w:rPr>
            </w:pPr>
          </w:p>
        </w:tc>
      </w:tr>
      <w:tr>
        <w:trPr>
          <w:trHeight w:val="26"/>
        </w:trPr>
        <w:tc>
          <w:tcPr>
            <w:tcW w:w="5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3"/>
              <w:spacing w:after="0"/>
              <w:rPr>
                <w:sz w:val="20"/>
                <w:szCs w:val="20"/>
                <w:color w:val="auto"/>
              </w:rPr>
            </w:pPr>
            <w:r>
              <w:rPr>
                <w:rFonts w:ascii="Arial" w:cs="Arial" w:eastAsia="Arial" w:hAnsi="Arial"/>
                <w:sz w:val="14"/>
                <w:szCs w:val="14"/>
                <w:b w:val="1"/>
                <w:bCs w:val="1"/>
                <w:color w:val="auto"/>
                <w:w w:val="96"/>
              </w:rPr>
              <w:t>2021</w:t>
            </w:r>
          </w:p>
        </w:tc>
      </w:tr>
      <w:tr>
        <w:trPr>
          <w:trHeight w:val="26"/>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50"/>
        </w:trPr>
        <w:tc>
          <w:tcPr>
            <w:tcW w:w="50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ind w:right="697"/>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9,642</w:t>
            </w:r>
          </w:p>
        </w:tc>
        <w:tc>
          <w:tcPr>
            <w:tcW w:w="80" w:type="dxa"/>
            <w:vAlign w:val="bottom"/>
          </w:tcPr>
          <w:p>
            <w:pPr>
              <w:spacing w:after="0"/>
              <w:rPr>
                <w:sz w:val="21"/>
                <w:szCs w:val="21"/>
                <w:color w:val="auto"/>
              </w:rPr>
            </w:pPr>
          </w:p>
        </w:tc>
        <w:tc>
          <w:tcPr>
            <w:tcW w:w="900" w:type="dxa"/>
            <w:vAlign w:val="bottom"/>
          </w:tcPr>
          <w:p>
            <w:pPr>
              <w:jc w:val="right"/>
              <w:ind w:right="695"/>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9,853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22,102</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40,785</w:t>
            </w:r>
          </w:p>
        </w:tc>
      </w:tr>
      <w:tr>
        <w:trPr>
          <w:trHeight w:val="277"/>
        </w:trPr>
        <w:tc>
          <w:tcPr>
            <w:tcW w:w="50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6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Weighted-average shares used in computing net income per share:</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0"/>
        </w:trPr>
        <w:tc>
          <w:tcPr>
            <w:tcW w:w="5040" w:type="dxa"/>
            <w:vAlign w:val="bottom"/>
          </w:tcPr>
          <w:p>
            <w:pPr>
              <w:ind w:left="240"/>
              <w:spacing w:after="0"/>
              <w:rPr>
                <w:sz w:val="20"/>
                <w:szCs w:val="20"/>
                <w:color w:val="auto"/>
              </w:rPr>
            </w:pPr>
            <w:r>
              <w:rPr>
                <w:rFonts w:ascii="Arial" w:cs="Arial" w:eastAsia="Arial" w:hAnsi="Arial"/>
                <w:sz w:val="18"/>
                <w:szCs w:val="18"/>
                <w:color w:val="auto"/>
              </w:rPr>
              <w:t>Basic</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54,305</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55,067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54,160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54,938</w:t>
            </w:r>
          </w:p>
        </w:tc>
      </w:tr>
      <w:tr>
        <w:trPr>
          <w:trHeight w:val="26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effect of potentially dilutive shares: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15"/>
        </w:trPr>
        <w:tc>
          <w:tcPr>
            <w:tcW w:w="5040" w:type="dxa"/>
            <w:vAlign w:val="bottom"/>
          </w:tcPr>
          <w:p>
            <w:pPr>
              <w:ind w:left="240"/>
              <w:spacing w:after="0"/>
              <w:rPr>
                <w:sz w:val="20"/>
                <w:szCs w:val="20"/>
                <w:color w:val="auto"/>
              </w:rPr>
            </w:pPr>
            <w:r>
              <w:rPr>
                <w:rFonts w:ascii="Arial" w:cs="Arial" w:eastAsia="Arial" w:hAnsi="Arial"/>
                <w:sz w:val="18"/>
                <w:szCs w:val="18"/>
                <w:color w:val="auto"/>
                <w:w w:val="91"/>
              </w:rPr>
              <w:t>Employee stock options, restricted stock units, market share units</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7"/>
        </w:trPr>
        <w:tc>
          <w:tcPr>
            <w:tcW w:w="50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and employee stock purchase plan shares</w:t>
            </w: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w:t>
            </w:r>
          </w:p>
        </w:tc>
        <w:tc>
          <w:tcPr>
            <w:tcW w:w="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w:t>
            </w:r>
          </w:p>
        </w:tc>
      </w:tr>
      <w:tr>
        <w:trPr>
          <w:trHeight w:val="257"/>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56,343</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56,468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56,122</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56,486</w:t>
            </w:r>
          </w:p>
        </w:tc>
      </w:tr>
      <w:tr>
        <w:trPr>
          <w:trHeight w:val="270"/>
        </w:trPr>
        <w:tc>
          <w:tcPr>
            <w:tcW w:w="50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0"/>
        </w:trPr>
        <w:tc>
          <w:tcPr>
            <w:tcW w:w="5040" w:type="dxa"/>
            <w:vAlign w:val="bottom"/>
          </w:tcPr>
          <w:p>
            <w:pPr>
              <w:ind w:left="240"/>
              <w:spacing w:after="0"/>
              <w:rPr>
                <w:sz w:val="20"/>
                <w:szCs w:val="20"/>
                <w:color w:val="auto"/>
              </w:rPr>
            </w:pPr>
            <w:r>
              <w:rPr>
                <w:rFonts w:ascii="Arial" w:cs="Arial" w:eastAsia="Arial" w:hAnsi="Arial"/>
                <w:sz w:val="18"/>
                <w:szCs w:val="18"/>
                <w:color w:val="auto"/>
              </w:rPr>
              <w:t>Basic</w:t>
            </w:r>
          </w:p>
        </w:tc>
        <w:tc>
          <w:tcPr>
            <w:tcW w:w="900" w:type="dxa"/>
            <w:vAlign w:val="bottom"/>
          </w:tcPr>
          <w:p>
            <w:pPr>
              <w:jc w:val="right"/>
              <w:ind w:right="697"/>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0.18</w:t>
            </w:r>
          </w:p>
        </w:tc>
        <w:tc>
          <w:tcPr>
            <w:tcW w:w="80" w:type="dxa"/>
            <w:vAlign w:val="bottom"/>
          </w:tcPr>
          <w:p>
            <w:pPr>
              <w:spacing w:after="0"/>
              <w:rPr>
                <w:sz w:val="21"/>
                <w:szCs w:val="21"/>
                <w:color w:val="auto"/>
              </w:rPr>
            </w:pPr>
          </w:p>
        </w:tc>
        <w:tc>
          <w:tcPr>
            <w:tcW w:w="900" w:type="dxa"/>
            <w:vAlign w:val="bottom"/>
          </w:tcPr>
          <w:p>
            <w:pPr>
              <w:jc w:val="right"/>
              <w:ind w:right="695"/>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0.74</w:t>
            </w:r>
          </w:p>
        </w:tc>
      </w:tr>
      <w:tr>
        <w:trPr>
          <w:trHeight w:val="263"/>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900" w:type="dxa"/>
            <w:vAlign w:val="bottom"/>
            <w:shd w:val="clear" w:color="auto" w:fill="CCEEFF"/>
          </w:tcPr>
          <w:p>
            <w:pPr>
              <w:jc w:val="right"/>
              <w:ind w:right="697"/>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r>
    </w:tbl>
    <w:p>
      <w:pPr>
        <w:spacing w:after="0" w:line="256"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The following table summarizes the outstanding restricted stock units and market share units as of December 31, 2020 and 2021 that were excluded from the diluted per share calculation for the periods presented because to include them would have been antidilutive: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2640" w:type="dxa"/>
            <w:vAlign w:val="bottom"/>
            <w:gridSpan w:val="4"/>
          </w:tcPr>
          <w:p>
            <w:pPr>
              <w:jc w:val="center"/>
              <w:ind w:left="328"/>
              <w:spacing w:after="0"/>
              <w:rPr>
                <w:sz w:val="20"/>
                <w:szCs w:val="20"/>
                <w:color w:val="auto"/>
              </w:rPr>
            </w:pPr>
            <w:r>
              <w:rPr>
                <w:rFonts w:ascii="Arial" w:cs="Arial" w:eastAsia="Arial" w:hAnsi="Arial"/>
                <w:sz w:val="14"/>
                <w:szCs w:val="14"/>
                <w:b w:val="1"/>
                <w:bCs w:val="1"/>
                <w:color w:val="auto"/>
                <w:w w:val="95"/>
              </w:rPr>
              <w:t>Three Months Ended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4"/>
                <w:szCs w:val="14"/>
                <w:color w:val="auto"/>
              </w:rPr>
            </w:pPr>
          </w:p>
        </w:tc>
      </w:tr>
      <w:tr>
        <w:trPr>
          <w:trHeight w:val="186"/>
        </w:trPr>
        <w:tc>
          <w:tcPr>
            <w:tcW w:w="5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2"/>
              </w:rPr>
              <w:t>December 31,</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tcPr>
          <w:p>
            <w:pPr>
              <w:spacing w:after="0"/>
              <w:rPr>
                <w:sz w:val="16"/>
                <w:szCs w:val="16"/>
                <w:color w:val="auto"/>
              </w:rPr>
            </w:pPr>
          </w:p>
        </w:tc>
      </w:tr>
      <w:tr>
        <w:trPr>
          <w:trHeight w:val="25"/>
        </w:trPr>
        <w:tc>
          <w:tcPr>
            <w:tcW w:w="50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60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16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2021</w:t>
            </w:r>
          </w:p>
        </w:tc>
        <w:tc>
          <w:tcPr>
            <w:tcW w:w="14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5"/>
              <w:spacing w:after="0"/>
              <w:rPr>
                <w:sz w:val="20"/>
                <w:szCs w:val="20"/>
                <w:color w:val="auto"/>
              </w:rPr>
            </w:pPr>
            <w:r>
              <w:rPr>
                <w:rFonts w:ascii="Arial" w:cs="Arial" w:eastAsia="Arial" w:hAnsi="Arial"/>
                <w:sz w:val="14"/>
                <w:szCs w:val="14"/>
                <w:b w:val="1"/>
                <w:bCs w:val="1"/>
                <w:color w:val="auto"/>
                <w:w w:val="96"/>
              </w:rPr>
              <w:t>2021</w:t>
            </w:r>
          </w:p>
        </w:tc>
      </w:tr>
      <w:tr>
        <w:trPr>
          <w:trHeight w:val="25"/>
        </w:trPr>
        <w:tc>
          <w:tcPr>
            <w:tcW w:w="50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Market share units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5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stock units</w:t>
            </w:r>
          </w:p>
        </w:tc>
        <w:tc>
          <w:tcPr>
            <w:tcW w:w="9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77"/>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89"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On January 18, 2022, the Company acquired all of the shares outstanding of Cloudsnap, Inc., ("Cloudsnap") through a merger for cash consideration of $50,000, subject to customary purchase price adjustments. Cloudsnap is a provider of a flexible, low-code solution for integrating disparate business applications. This transaction enables the Company to deliver modern integrations and seamless data sharing between critical systems more efficiently and effectively, while helping to unify and automate business processes across clients' HR, finance, benefits, and other systems. The Company will account for the acquisition as a business combination in accordance with ASC 805: Business Combinations using the acquisition method of accounting and recognize assets and liabilities at fair value as of the date of acquisition. The results from this acquisition will not have a material impact to the Company's consolidated financial statements.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January 2022, the Company borrowed $50,000 under its revolving credit facility in connection with its acquisition of Cloudsnap.</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those discussed below and under “Item 1A. Risk Factors” of our Annual Report on Form 10-K for the fiscal year ended June 30, 2021 filed with the SEC on August 6, 2021.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are a cloud-based provider of payroll and human capital management (“HCM”) software solutions. Our comprehensive product suite delivers a unified platform to create a modern workplace for our clients through automation, data-driven insights and engagement. Our product suite enables professionals to make strategic decisions in the areas of payroll, human capital management, workforce management, talent management, benefits, modern workforce solutions and analytics &amp; insights, all while promoting a modern workplace and improving employee engagement.</w:t>
      </w:r>
    </w:p>
    <w:p>
      <w:pPr>
        <w:spacing w:after="0" w:line="13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designed our cloud-based platform to provide a unified suite of modules using a multi-tenant architecture. Our solutions are highly flexible and configurable and feature a modern, intuitive user experience. Our platform offers automated data integration with over 400 related third-party systems, such as 401(k), benefits and insurance provider systems. We have invested in, and we intend to continue to invest in, research and development to expand our product offerings and advance our platform.</w:t>
      </w:r>
    </w:p>
    <w:p>
      <w:pPr>
        <w:spacing w:after="0" w:line="16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believe there is a significant opportunity to grow our business by increasing our number of clients and we intend to invest in our business to achieve this purpose. We market and sell our solutions through our direct sales force. We have increased our sales and marketing expenses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and quality of products that clients purchase from us. To do so, we must continue to enhance and grow the number of solutions we offer to advance our platform.</w:t>
      </w:r>
    </w:p>
    <w:p>
      <w:pPr>
        <w:spacing w:after="0" w:line="152" w:lineRule="exact"/>
        <w:rPr>
          <w:sz w:val="20"/>
          <w:szCs w:val="20"/>
          <w:color w:val="auto"/>
        </w:rPr>
      </w:pPr>
    </w:p>
    <w:p>
      <w:pPr>
        <w:jc w:val="both"/>
        <w:ind w:right="240" w:firstLine="648"/>
        <w:spacing w:after="0" w:line="311" w:lineRule="auto"/>
        <w:rPr>
          <w:sz w:val="20"/>
          <w:szCs w:val="20"/>
          <w:color w:val="auto"/>
        </w:rPr>
      </w:pPr>
      <w:r>
        <w:rPr>
          <w:rFonts w:ascii="Arial" w:cs="Arial" w:eastAsia="Arial" w:hAnsi="Arial"/>
          <w:sz w:val="16"/>
          <w:szCs w:val="16"/>
          <w:color w:val="auto"/>
        </w:rPr>
        <w:t>We also believe that delivering a positive service experience is an essential element of our ability to sell our solutions and retain our clients. We seek to develop deep relationships with our clients through our unified service model, which has been designed to meet the service needs of mid-market organizations. We expect to continue to invest in and grow our implementation and client service organization as our client base grows.</w:t>
      </w:r>
    </w:p>
    <w:p>
      <w:pPr>
        <w:spacing w:after="0" w:line="10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order to continue to grow our business over the long term, we will continue to invest, across our entire organization. These investments include increasing the number of personnel across all functional areas, along with improving our solutions and infrastructure to support our growth. The timing and amount of these investments vary based on the rate at which we add new clients, add new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5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Paylocity Holding Corporation is a Delaware corporation, which was formed in November 2013. Our business operations are conducted by our wholly owned subsidiaries.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8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novel coronavirus disease (“COVID-19”) continues to impact the global economy. The duration and severity of the COVID-19 pandemic, and the long-term effects the pandemic will have on our clients and general economic conditions, remain uncertain and difficult to predict. Many of our prospective and existing clients’ businesses have been impacted by business closures and other restrictive orders, which has resulted in reduced employee headcount, temporary and permanent business closures, and/or delayed sales/starts. Even though we have seen improvements in the overall macroeconomic conditions, our business and financial performance may continue to be unfavorably impacted in future periods by fluctuations in client employee counts, reduction in business confidence and activity, a decrease in payroll and HCM solutions spending by organizations, the pace of the macroeconomic recovery or a continued low interest rate environment, among other factors. Refer to “Part I. Item 1A. Risk Factors” in our Annual Report on Form 10-K filed with</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0"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Securities and Exchange Commission on August 6, 2021 for risks related to the COVID-19 pandemic and its impact on our business and financial performance.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0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Growth</w:t>
      </w:r>
    </w:p>
    <w:p>
      <w:pPr>
        <w:spacing w:after="0" w:line="18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Our recurring revenue model and high annual revenue retention rates provide significant visibility into our future operating results and cash flow from operations. This visibility enables us to better manage and invest in our business. Total revenues increased from $146.3 million for the three months ended December 31, 2020 to $196.0 million for the three months ended December 31, 2021, representing a 34% year-over-year increase. Total revenues increased from $282.1 million for the six months ended December 31, 2020 to $377.7 million for the six months ended December 31, 2021, representing a 34% year-over-year increase. The increase in year-over-year revenue growth was driven by the strong performance by our sales team and an overall improvement in macroeconomic conditions compared to the prior year. Our revenue growth in future periods may continue to be impacted by fluctuations in client employee counts, potential increases in client losses, a continued low interest rate environment and the pace of the macroeconomic recovery, among other factors.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 and Adjusted EBITDA</w:t>
      </w:r>
    </w:p>
    <w:p>
      <w:pPr>
        <w:spacing w:after="0" w:line="185"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We disclose Adjusted Gross Profit and Adjusted EBITDA because we use them to evaluate our performance, and we believe Adjusted Gross Profit and Adjusted EBITDA assist in the comparison of our performance across reporting periods by excluding certain items that we do not believe are indicative of our core operating performance. We believe these metrics are used in the financial community, and we present them to enhance investors’ understanding of our operating performance and cash flows.</w:t>
      </w:r>
    </w:p>
    <w:p>
      <w:pPr>
        <w:spacing w:after="0" w:line="146"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auto"/>
        </w:rPr>
        <w:t>Adjusted Gross Profit and Adjusted EBITDA are not measurements of financial performance under generally accepted accounting principles in the United States (“GAAP”), and you should not consider Adjusted Gross Profit as an alternative to gross profit or Adjusted EBITDA as an alternative to net income or cash provided by operating activities, in each case as determined in accordance with GAAP. In addition, our definition of Adjusted Gross Profit and Adjusted EBITDA may be different than the definition utilized for similarly-titled measures used by other companies.</w:t>
      </w:r>
    </w:p>
    <w:p>
      <w:pPr>
        <w:spacing w:after="0" w:line="13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define Adjusted Gross Profit as gross profit before amortization of capitalized internal-use software costs, stock-based compensation expense and employer payroll taxes related to stock releases and option exercises. We define Adjusted EBITDA as net income before interest expense, income tax expense, depreciation and amortization expense, stock-based compensation expense and employer payroll taxes related to stock releases and option exercises and other items as defined below.</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our Adjusted Gross Profit and Adjusted EBITDA for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1800" w:type="dxa"/>
            <w:vAlign w:val="bottom"/>
            <w:gridSpan w:val="3"/>
          </w:tcPr>
          <w:p>
            <w:pPr>
              <w:jc w:val="center"/>
              <w:ind w:left="502"/>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4"/>
                <w:szCs w:val="14"/>
                <w:color w:val="auto"/>
              </w:rPr>
            </w:pPr>
          </w:p>
        </w:tc>
      </w:tr>
      <w:tr>
        <w:trPr>
          <w:trHeight w:val="186"/>
        </w:trPr>
        <w:tc>
          <w:tcPr>
            <w:tcW w:w="5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3"/>
          </w:tcPr>
          <w:p>
            <w:pPr>
              <w:jc w:val="center"/>
              <w:ind w:left="600"/>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center"/>
              <w:ind w:left="482"/>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tcPr>
          <w:p>
            <w:pPr>
              <w:spacing w:after="0"/>
              <w:rPr>
                <w:sz w:val="16"/>
                <w:szCs w:val="16"/>
                <w:color w:val="auto"/>
              </w:rPr>
            </w:pPr>
          </w:p>
        </w:tc>
      </w:tr>
      <w:tr>
        <w:trPr>
          <w:trHeight w:val="25"/>
        </w:trPr>
        <w:tc>
          <w:tcPr>
            <w:tcW w:w="5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5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2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6"/>
              <w:spacing w:after="0"/>
              <w:rPr>
                <w:sz w:val="20"/>
                <w:szCs w:val="20"/>
                <w:color w:val="auto"/>
              </w:rPr>
            </w:pPr>
            <w:r>
              <w:rPr>
                <w:rFonts w:ascii="Arial" w:cs="Arial" w:eastAsia="Arial" w:hAnsi="Arial"/>
                <w:sz w:val="14"/>
                <w:szCs w:val="14"/>
                <w:b w:val="1"/>
                <w:bCs w:val="1"/>
                <w:color w:val="auto"/>
                <w:w w:val="96"/>
              </w:rPr>
              <w:t>2021</w:t>
            </w:r>
          </w:p>
        </w:tc>
      </w:tr>
      <w:tr>
        <w:trPr>
          <w:trHeight w:val="25"/>
        </w:trPr>
        <w:tc>
          <w:tcPr>
            <w:tcW w:w="5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5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3"/>
          </w:tcPr>
          <w:p>
            <w:pPr>
              <w:jc w:val="center"/>
              <w:ind w:left="600"/>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3"/>
          </w:tcPr>
          <w:p>
            <w:pPr>
              <w:jc w:val="center"/>
              <w:ind w:left="502"/>
              <w:spacing w:after="0"/>
              <w:rPr>
                <w:sz w:val="20"/>
                <w:szCs w:val="20"/>
                <w:color w:val="auto"/>
              </w:rPr>
            </w:pPr>
            <w:r>
              <w:rPr>
                <w:rFonts w:ascii="Arial" w:cs="Arial" w:eastAsia="Arial" w:hAnsi="Arial"/>
                <w:sz w:val="14"/>
                <w:szCs w:val="14"/>
                <w:b w:val="1"/>
                <w:bCs w:val="1"/>
                <w:color w:val="auto"/>
                <w:w w:val="89"/>
              </w:rPr>
              <w:t>(in thousands)</w:t>
            </w:r>
          </w:p>
        </w:tc>
        <w:tc>
          <w:tcPr>
            <w:tcW w:w="920" w:type="dxa"/>
            <w:vAlign w:val="bottom"/>
          </w:tcPr>
          <w:p>
            <w:pPr>
              <w:spacing w:after="0"/>
              <w:rPr>
                <w:sz w:val="18"/>
                <w:szCs w:val="18"/>
                <w:color w:val="auto"/>
              </w:rPr>
            </w:pPr>
          </w:p>
        </w:tc>
      </w:tr>
      <w:tr>
        <w:trPr>
          <w:trHeight w:val="235"/>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Gross Profit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100,671</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134,666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194,874</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262,781</w:t>
            </w:r>
          </w:p>
        </w:tc>
      </w:tr>
      <w:tr>
        <w:trPr>
          <w:trHeight w:val="257"/>
        </w:trPr>
        <w:tc>
          <w:tcPr>
            <w:tcW w:w="50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34,970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46,615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2"/>
              <w:spacing w:after="0"/>
              <w:rPr>
                <w:sz w:val="20"/>
                <w:szCs w:val="20"/>
                <w:color w:val="auto"/>
              </w:rPr>
            </w:pPr>
            <w:r>
              <w:rPr>
                <w:rFonts w:ascii="Arial" w:cs="Arial" w:eastAsia="Arial" w:hAnsi="Arial"/>
                <w:sz w:val="18"/>
                <w:szCs w:val="18"/>
                <w:color w:val="auto"/>
              </w:rPr>
              <w:t>65,834</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92,739</w:t>
            </w:r>
          </w:p>
        </w:tc>
      </w:tr>
      <w:tr>
        <w:trPr>
          <w:trHeight w:val="918"/>
        </w:trPr>
        <w:tc>
          <w:tcPr>
            <w:tcW w:w="5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7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01"/>
        </w:trPr>
        <w:tc>
          <w:tcPr>
            <w:tcW w:w="50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8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1780" w:type="dxa"/>
            <w:vAlign w:val="bottom"/>
            <w:gridSpan w:val="3"/>
          </w:tcPr>
          <w:p>
            <w:pPr>
              <w:jc w:val="center"/>
              <w:ind w:left="477"/>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4"/>
                <w:szCs w:val="14"/>
                <w:color w:val="auto"/>
              </w:rPr>
            </w:pPr>
          </w:p>
        </w:tc>
      </w:tr>
      <w:tr>
        <w:trPr>
          <w:trHeight w:val="186"/>
        </w:trPr>
        <w:tc>
          <w:tcPr>
            <w:tcW w:w="5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4"/>
          </w:tcPr>
          <w:p>
            <w:pPr>
              <w:jc w:val="center"/>
              <w:ind w:left="537"/>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center"/>
              <w:ind w:left="457"/>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tcPr>
          <w:p>
            <w:pPr>
              <w:spacing w:after="0"/>
              <w:rPr>
                <w:sz w:val="16"/>
                <w:szCs w:val="16"/>
                <w:color w:val="auto"/>
              </w:rPr>
            </w:pPr>
          </w:p>
        </w:tc>
      </w:tr>
      <w:tr>
        <w:trPr>
          <w:trHeight w:val="26"/>
        </w:trPr>
        <w:tc>
          <w:tcPr>
            <w:tcW w:w="5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5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2"/>
              <w:spacing w:after="0"/>
              <w:rPr>
                <w:sz w:val="20"/>
                <w:szCs w:val="20"/>
                <w:color w:val="auto"/>
              </w:rPr>
            </w:pPr>
            <w:r>
              <w:rPr>
                <w:rFonts w:ascii="Arial" w:cs="Arial" w:eastAsia="Arial" w:hAnsi="Arial"/>
                <w:sz w:val="14"/>
                <w:szCs w:val="14"/>
                <w:b w:val="1"/>
                <w:bCs w:val="1"/>
                <w:color w:val="auto"/>
                <w:w w:val="96"/>
              </w:rPr>
              <w:t>2021</w:t>
            </w:r>
          </w:p>
        </w:tc>
      </w:tr>
      <w:tr>
        <w:trPr>
          <w:trHeight w:val="26"/>
        </w:trPr>
        <w:tc>
          <w:tcPr>
            <w:tcW w:w="5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4"/>
        </w:trPr>
        <w:tc>
          <w:tcPr>
            <w:tcW w:w="5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gridSpan w:val="4"/>
          </w:tcPr>
          <w:p>
            <w:pPr>
              <w:jc w:val="center"/>
              <w:ind w:left="537"/>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gridSpan w:val="3"/>
          </w:tcPr>
          <w:p>
            <w:pPr>
              <w:jc w:val="center"/>
              <w:ind w:left="477"/>
              <w:spacing w:after="0"/>
              <w:rPr>
                <w:sz w:val="20"/>
                <w:szCs w:val="20"/>
                <w:color w:val="auto"/>
              </w:rPr>
            </w:pPr>
            <w:r>
              <w:rPr>
                <w:rFonts w:ascii="Arial" w:cs="Arial" w:eastAsia="Arial" w:hAnsi="Arial"/>
                <w:sz w:val="14"/>
                <w:szCs w:val="14"/>
                <w:b w:val="1"/>
                <w:bCs w:val="1"/>
                <w:color w:val="auto"/>
                <w:w w:val="89"/>
              </w:rPr>
              <w:t>(in thousands)</w:t>
            </w:r>
          </w:p>
        </w:tc>
        <w:tc>
          <w:tcPr>
            <w:tcW w:w="920" w:type="dxa"/>
            <w:vAlign w:val="bottom"/>
          </w:tcPr>
          <w:p>
            <w:pPr>
              <w:spacing w:after="0"/>
              <w:rPr>
                <w:sz w:val="19"/>
                <w:szCs w:val="19"/>
                <w:color w:val="auto"/>
              </w:rPr>
            </w:pPr>
          </w:p>
        </w:tc>
      </w:tr>
      <w:tr>
        <w:trPr>
          <w:trHeight w:val="26"/>
        </w:trPr>
        <w:tc>
          <w:tcPr>
            <w:tcW w:w="50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from Gross Profit to Adjusted Gross Profit</w:t>
            </w: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92,787</w:t>
            </w:r>
          </w:p>
        </w:tc>
        <w:tc>
          <w:tcPr>
            <w:tcW w:w="80" w:type="dxa"/>
            <w:vAlign w:val="bottom"/>
          </w:tcPr>
          <w:p>
            <w:pPr>
              <w:spacing w:after="0"/>
              <w:rPr>
                <w:sz w:val="21"/>
                <w:szCs w:val="21"/>
                <w:color w:val="auto"/>
              </w:rPr>
            </w:pPr>
          </w:p>
        </w:tc>
        <w:tc>
          <w:tcPr>
            <w:tcW w:w="5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125,216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179,201</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243,664</w:t>
            </w:r>
          </w:p>
        </w:tc>
      </w:tr>
      <w:tr>
        <w:trPr>
          <w:trHeight w:val="26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capitalized internal-use software costs</w:t>
            </w: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6,087</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11,268</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12,215</w:t>
            </w:r>
          </w:p>
        </w:tc>
      </w:tr>
      <w:tr>
        <w:trPr>
          <w:trHeight w:val="215"/>
        </w:trPr>
        <w:tc>
          <w:tcPr>
            <w:tcW w:w="5040" w:type="dxa"/>
            <w:vAlign w:val="bottom"/>
          </w:tcPr>
          <w:p>
            <w:pPr>
              <w:ind w:left="20"/>
              <w:spacing w:after="0"/>
              <w:rPr>
                <w:sz w:val="20"/>
                <w:szCs w:val="20"/>
                <w:color w:val="auto"/>
              </w:rPr>
            </w:pPr>
            <w:r>
              <w:rPr>
                <w:rFonts w:ascii="Arial" w:cs="Arial" w:eastAsia="Arial" w:hAnsi="Arial"/>
                <w:sz w:val="18"/>
                <w:szCs w:val="18"/>
                <w:color w:val="auto"/>
                <w:w w:val="97"/>
              </w:rPr>
              <w:t>Stock-based compensation expense and employer payroll taxes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related to stock releases and option exercises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3,327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4,405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6,854</w:t>
            </w:r>
          </w:p>
        </w:tc>
      </w:tr>
      <w:tr>
        <w:trPr>
          <w:trHeight w:val="257"/>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items (1)</w:t>
            </w: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56"/>
        </w:trPr>
        <w:tc>
          <w:tcPr>
            <w:tcW w:w="5040" w:type="dxa"/>
            <w:vAlign w:val="bottom"/>
          </w:tcPr>
          <w:p>
            <w:pPr>
              <w:ind w:left="240"/>
              <w:spacing w:after="0"/>
              <w:rPr>
                <w:sz w:val="20"/>
                <w:szCs w:val="20"/>
                <w:color w:val="auto"/>
              </w:rPr>
            </w:pPr>
            <w:r>
              <w:rPr>
                <w:rFonts w:ascii="Arial" w:cs="Arial" w:eastAsia="Arial" w:hAnsi="Arial"/>
                <w:sz w:val="18"/>
                <w:szCs w:val="18"/>
                <w:color w:val="auto"/>
              </w:rPr>
              <w:t>Adjusted Gross Profit</w:t>
            </w:r>
          </w:p>
        </w:tc>
        <w:tc>
          <w:tcPr>
            <w:tcW w:w="36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100,671</w:t>
            </w:r>
          </w:p>
        </w:tc>
        <w:tc>
          <w:tcPr>
            <w:tcW w:w="80" w:type="dxa"/>
            <w:vAlign w:val="bottom"/>
          </w:tcPr>
          <w:p>
            <w:pPr>
              <w:spacing w:after="0"/>
              <w:rPr>
                <w:sz w:val="22"/>
                <w:szCs w:val="22"/>
                <w:color w:val="auto"/>
              </w:rPr>
            </w:pPr>
          </w:p>
        </w:tc>
        <w:tc>
          <w:tcPr>
            <w:tcW w:w="500" w:type="dxa"/>
            <w:vAlign w:val="bottom"/>
            <w:tcBorders>
              <w:top w:val="single" w:sz="8" w:color="auto"/>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134,666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194,874</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262,781</w:t>
            </w:r>
          </w:p>
        </w:tc>
      </w:tr>
      <w:tr>
        <w:trPr>
          <w:trHeight w:val="21"/>
        </w:trPr>
        <w:tc>
          <w:tcPr>
            <w:tcW w:w="5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57"/>
        </w:trPr>
        <w:tc>
          <w:tcPr>
            <w:tcW w:w="5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24"/>
                <w:szCs w:val="24"/>
                <w:color w:val="auto"/>
              </w:rPr>
            </w:pPr>
          </w:p>
        </w:tc>
        <w:tc>
          <w:tcPr>
            <w:tcW w:w="1780" w:type="dxa"/>
            <w:vAlign w:val="bottom"/>
            <w:gridSpan w:val="3"/>
          </w:tcPr>
          <w:p>
            <w:pPr>
              <w:jc w:val="center"/>
              <w:ind w:left="477"/>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24"/>
                <w:szCs w:val="24"/>
                <w:color w:val="auto"/>
              </w:rPr>
            </w:pPr>
          </w:p>
        </w:tc>
      </w:tr>
      <w:tr>
        <w:trPr>
          <w:trHeight w:val="186"/>
        </w:trPr>
        <w:tc>
          <w:tcPr>
            <w:tcW w:w="5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4"/>
          </w:tcPr>
          <w:p>
            <w:pPr>
              <w:jc w:val="center"/>
              <w:ind w:left="577"/>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center"/>
              <w:ind w:left="497"/>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tcPr>
          <w:p>
            <w:pPr>
              <w:spacing w:after="0"/>
              <w:rPr>
                <w:sz w:val="16"/>
                <w:szCs w:val="16"/>
                <w:color w:val="auto"/>
              </w:rPr>
            </w:pPr>
          </w:p>
        </w:tc>
      </w:tr>
      <w:tr>
        <w:trPr>
          <w:trHeight w:val="26"/>
        </w:trPr>
        <w:tc>
          <w:tcPr>
            <w:tcW w:w="50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5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2"/>
              <w:spacing w:after="0"/>
              <w:rPr>
                <w:sz w:val="20"/>
                <w:szCs w:val="20"/>
                <w:color w:val="auto"/>
              </w:rPr>
            </w:pPr>
            <w:r>
              <w:rPr>
                <w:rFonts w:ascii="Arial" w:cs="Arial" w:eastAsia="Arial" w:hAnsi="Arial"/>
                <w:sz w:val="14"/>
                <w:szCs w:val="14"/>
                <w:b w:val="1"/>
                <w:bCs w:val="1"/>
                <w:color w:val="auto"/>
                <w:w w:val="96"/>
              </w:rPr>
              <w:t>2021</w:t>
            </w:r>
          </w:p>
        </w:tc>
      </w:tr>
      <w:tr>
        <w:trPr>
          <w:trHeight w:val="25"/>
        </w:trPr>
        <w:tc>
          <w:tcPr>
            <w:tcW w:w="50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4"/>
        </w:trPr>
        <w:tc>
          <w:tcPr>
            <w:tcW w:w="5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gridSpan w:val="4"/>
          </w:tcPr>
          <w:p>
            <w:pPr>
              <w:jc w:val="center"/>
              <w:ind w:left="577"/>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gridSpan w:val="3"/>
          </w:tcPr>
          <w:p>
            <w:pPr>
              <w:jc w:val="center"/>
              <w:ind w:left="497"/>
              <w:spacing w:after="0"/>
              <w:rPr>
                <w:sz w:val="20"/>
                <w:szCs w:val="20"/>
                <w:color w:val="auto"/>
              </w:rPr>
            </w:pPr>
            <w:r>
              <w:rPr>
                <w:rFonts w:ascii="Arial" w:cs="Arial" w:eastAsia="Arial" w:hAnsi="Arial"/>
                <w:sz w:val="14"/>
                <w:szCs w:val="14"/>
                <w:b w:val="1"/>
                <w:bCs w:val="1"/>
                <w:color w:val="auto"/>
                <w:w w:val="91"/>
              </w:rPr>
              <w:t>(in thousands)</w:t>
            </w:r>
          </w:p>
        </w:tc>
        <w:tc>
          <w:tcPr>
            <w:tcW w:w="920" w:type="dxa"/>
            <w:vAlign w:val="bottom"/>
          </w:tcPr>
          <w:p>
            <w:pPr>
              <w:spacing w:after="0"/>
              <w:rPr>
                <w:sz w:val="19"/>
                <w:szCs w:val="19"/>
                <w:color w:val="auto"/>
              </w:rPr>
            </w:pPr>
          </w:p>
        </w:tc>
      </w:tr>
      <w:tr>
        <w:trPr>
          <w:trHeight w:val="26"/>
        </w:trPr>
        <w:tc>
          <w:tcPr>
            <w:tcW w:w="50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from Net income to Adjusted EBITDA</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57"/>
        </w:trPr>
        <w:tc>
          <w:tcPr>
            <w:tcW w:w="50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9,642</w:t>
            </w:r>
          </w:p>
        </w:tc>
        <w:tc>
          <w:tcPr>
            <w:tcW w:w="80" w:type="dxa"/>
            <w:vAlign w:val="bottom"/>
          </w:tcPr>
          <w:p>
            <w:pPr>
              <w:spacing w:after="0"/>
              <w:rPr>
                <w:sz w:val="22"/>
                <w:szCs w:val="22"/>
                <w:color w:val="auto"/>
              </w:rPr>
            </w:pPr>
          </w:p>
        </w:tc>
        <w:tc>
          <w:tcPr>
            <w:tcW w:w="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9,853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22,102</w:t>
            </w:r>
          </w:p>
        </w:tc>
        <w:tc>
          <w:tcPr>
            <w:tcW w:w="100" w:type="dxa"/>
            <w:vAlign w:val="bottom"/>
          </w:tcPr>
          <w:p>
            <w:pPr>
              <w:spacing w:after="0"/>
              <w:rPr>
                <w:sz w:val="22"/>
                <w:szCs w:val="22"/>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40,785</w:t>
            </w:r>
          </w:p>
        </w:tc>
      </w:tr>
      <w:tr>
        <w:trPr>
          <w:trHeight w:val="25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(3,670)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(12,938)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(22,884)</w:t>
            </w:r>
          </w:p>
        </w:tc>
      </w:tr>
      <w:tr>
        <w:trPr>
          <w:trHeight w:val="25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10,836</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21,071</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23,383</w:t>
            </w:r>
          </w:p>
        </w:tc>
      </w:tr>
      <w:tr>
        <w:trPr>
          <w:trHeight w:val="250"/>
        </w:trPr>
        <w:tc>
          <w:tcPr>
            <w:tcW w:w="5040" w:type="dxa"/>
            <w:vAlign w:val="bottom"/>
          </w:tcPr>
          <w:p>
            <w:pPr>
              <w:ind w:left="240"/>
              <w:spacing w:after="0"/>
              <w:rPr>
                <w:sz w:val="20"/>
                <w:szCs w:val="20"/>
                <w:color w:val="auto"/>
              </w:rPr>
            </w:pPr>
            <w:r>
              <w:rPr>
                <w:rFonts w:ascii="Arial" w:cs="Arial" w:eastAsia="Arial" w:hAnsi="Arial"/>
                <w:sz w:val="18"/>
                <w:szCs w:val="18"/>
                <w:color w:val="auto"/>
              </w:rPr>
              <w:t>EBITDA</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17,159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19,937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30,926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41,502</w:t>
            </w:r>
          </w:p>
        </w:tc>
      </w:tr>
      <w:tr>
        <w:trPr>
          <w:trHeight w:val="222"/>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Stock-based compensation expense and employer payroll taxes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44"/>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to stock releases and option exercises</w:t>
            </w: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17,086</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33,823</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50,226</w:t>
            </w:r>
          </w:p>
        </w:tc>
      </w:tr>
      <w:tr>
        <w:trPr>
          <w:trHeight w:val="25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items (2)</w:t>
            </w:r>
          </w:p>
        </w:tc>
        <w:tc>
          <w:tcPr>
            <w:tcW w:w="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r>
      <w:tr>
        <w:trPr>
          <w:trHeight w:val="276"/>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Adjusted EBITDA</w:t>
            </w: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34,970</w:t>
            </w:r>
          </w:p>
        </w:tc>
        <w:tc>
          <w:tcPr>
            <w:tcW w:w="8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65,834</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92,739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nonrecurring acquisition-related costs.</w:t>
      </w:r>
    </w:p>
    <w:p>
      <w:pPr>
        <w:spacing w:after="0" w:line="23" w:lineRule="exact"/>
        <w:rPr>
          <w:rFonts w:ascii="Arial" w:cs="Arial" w:eastAsia="Arial" w:hAnsi="Arial"/>
          <w:sz w:val="18"/>
          <w:szCs w:val="18"/>
          <w:color w:val="auto"/>
        </w:rPr>
      </w:pPr>
    </w:p>
    <w:p>
      <w:pPr>
        <w:ind w:left="640" w:hanging="63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nonrecurring costs including acquisition-related costs and lease exit activity.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and other revenue</w:t>
      </w:r>
    </w:p>
    <w:p>
      <w:pPr>
        <w:spacing w:after="0" w:line="18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derive the majority of our revenues from recurring fees attributable to our cloud-based payroll and HCM software solutions.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We charge implementation fees for professional services provided to implement our payroll and HCM solutions. Implementations of our payroll solutions typically require only one to eight weeks, depending on the size and complexity of each client, at which point the new client’s payroll is first processed using our solution. We implement additional HCM products as requested by clients and leverage the data within our payroll solution to accelerate our implementation processes. Our average client size has continued to be over 100 employees.</w:t>
      </w:r>
    </w:p>
    <w:p>
      <w:pPr>
        <w:spacing w:after="0" w:line="168"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We derive revenue from a client based on the solutions purchased by the client, the number of client employees as well as the amount, type and timing of services provided with respect to those client employees. As such, the number of client employees on our system is not a good indicator of our financial results in any period. Recurring and other revenue accounted for 99% of our total revenues during both the three and six months ended December 31, 2020 and 2021.</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While the majority of our agreements with clients are generally cancellable by the client on 60 days’ notice or less, we also have term agreements which are generally two years in length. Our agreements do not include general rights of return and do not provide clients with the right to take possession of the software supporting the services being provided. We recognize recurring fees in the period in which services are provided and the related performance obligations have been satisfied. We defer implementation fees related to our proprietary products over a period generally up to 24 months.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19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demand deposit accounts with financial institutions with which we have automated clearing house, or ACH, arrangements. We also earn interest by investing a portion of funds held for clients in highly liquid, investment-grade marketable securities.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8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Cost of revenues includes costs to provide our payroll and other HCM solutions which primarily consists of employee-related expenses, including wages, stock-based compensation, bonuses and benefits, relating to the provision of ongoing client support and implementation activities, payroll tax filing, distribution of printed checks and other materials as well as delivery costs, computing costs, and bank fees associated with client fund transfers. Employee costs related to recurring support are generally expensed as incurred whereas such costs for implementation of our proprietary products are capitalized and amortized over a period of 7 years. Our cost of revenues is expected to increase in absolute dollars for the foreseeable future as we increase our client base. However, we expect to realize cost efficiencies over the long term as our business scales, resulting in improved operating leverage and increased margins.</w:t>
      </w:r>
    </w:p>
    <w:p>
      <w:pPr>
        <w:spacing w:after="0" w:line="137" w:lineRule="exact"/>
        <w:rPr>
          <w:sz w:val="20"/>
          <w:szCs w:val="20"/>
          <w:color w:val="auto"/>
        </w:rPr>
      </w:pPr>
    </w:p>
    <w:p>
      <w:pPr>
        <w:ind w:right="220" w:firstLine="648"/>
        <w:spacing w:after="0" w:line="311" w:lineRule="auto"/>
        <w:rPr>
          <w:sz w:val="20"/>
          <w:szCs w:val="20"/>
          <w:color w:val="auto"/>
        </w:rPr>
      </w:pPr>
      <w:r>
        <w:rPr>
          <w:rFonts w:ascii="Arial" w:cs="Arial" w:eastAsia="Arial" w:hAnsi="Arial"/>
          <w:sz w:val="16"/>
          <w:szCs w:val="16"/>
          <w:color w:val="auto"/>
        </w:rPr>
        <w:t>We also capitalize a portion of our internal-use software costs, which are then all amortized as Cost of revenues. We amortized $5.9 million and $6.1 million of capitalized internal-use software costs during the three months ended December 31, 2020 and 2021, respectively, and $11.3 million and $12.2 million of capitalized internal-used software costs during the six months ended December 31, 2020 and 2021,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9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Sales and marketing expenses consist primarily of employee-related expenses for our direct sales and marketing staff, including wages, commissions, stock-based compensation, bonuses, benefits, marketing expenses and other related costs. Our sales personnel earn commissions and bonuses for attainment of certain performance criteria based on new sales throughout the fiscal year. We capitalize certain selling and commission costs related to new contracts or purchases of additional services by our existing clients and amortize them over a period of 7 years.</w:t>
      </w:r>
    </w:p>
    <w:p>
      <w:pPr>
        <w:spacing w:after="0" w:line="13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98"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Research and development expenses consist primarily of employee-related expenses for our research and development and product management teams, including wages, stock-based compensation, bonuses and benefits.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13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capitalize a portion of our development costs related to internal-use software. The timing of our capitalized development projects may affect the amount of development costs expensed in any given period. The table below sets forth</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0"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the amounts of capitalized and expensed research and development expenses for the three and six months ended December 31, 2020 and 2021.</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460" w:type="dxa"/>
            <w:vAlign w:val="bottom"/>
            <w:gridSpan w:val="4"/>
          </w:tcPr>
          <w:p>
            <w:pPr>
              <w:jc w:val="center"/>
              <w:ind w:left="499"/>
              <w:spacing w:after="0"/>
              <w:rPr>
                <w:sz w:val="20"/>
                <w:szCs w:val="20"/>
                <w:color w:val="auto"/>
              </w:rPr>
            </w:pPr>
            <w:r>
              <w:rPr>
                <w:rFonts w:ascii="Arial" w:cs="Arial" w:eastAsia="Arial" w:hAnsi="Arial"/>
                <w:sz w:val="14"/>
                <w:szCs w:val="14"/>
                <w:b w:val="1"/>
                <w:bCs w:val="1"/>
                <w:color w:val="auto"/>
                <w:w w:val="95"/>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4"/>
                <w:szCs w:val="14"/>
                <w:color w:val="auto"/>
              </w:rPr>
            </w:pPr>
          </w:p>
        </w:tc>
      </w:tr>
      <w:tr>
        <w:trPr>
          <w:trHeight w:val="186"/>
        </w:trPr>
        <w:tc>
          <w:tcPr>
            <w:tcW w:w="5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60" w:type="dxa"/>
            <w:vAlign w:val="bottom"/>
            <w:gridSpan w:val="3"/>
          </w:tcPr>
          <w:p>
            <w:pPr>
              <w:jc w:val="center"/>
              <w:ind w:right="236"/>
              <w:spacing w:after="0"/>
              <w:rPr>
                <w:sz w:val="20"/>
                <w:szCs w:val="20"/>
                <w:color w:val="auto"/>
              </w:rPr>
            </w:pPr>
            <w:r>
              <w:rPr>
                <w:rFonts w:ascii="Arial" w:cs="Arial" w:eastAsia="Arial" w:hAnsi="Arial"/>
                <w:sz w:val="14"/>
                <w:szCs w:val="14"/>
                <w:b w:val="1"/>
                <w:bCs w:val="1"/>
                <w:color w:val="auto"/>
                <w:w w:val="92"/>
              </w:rPr>
              <w:t>December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tcPr>
          <w:p>
            <w:pPr>
              <w:spacing w:after="0"/>
              <w:rPr>
                <w:sz w:val="16"/>
                <w:szCs w:val="16"/>
                <w:color w:val="auto"/>
              </w:rPr>
            </w:pPr>
          </w:p>
        </w:tc>
      </w:tr>
      <w:tr>
        <w:trPr>
          <w:trHeight w:val="26"/>
        </w:trPr>
        <w:tc>
          <w:tcPr>
            <w:tcW w:w="5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1"/>
        </w:trPr>
        <w:tc>
          <w:tcPr>
            <w:tcW w:w="504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w w:val="96"/>
              </w:rPr>
              <w:t>2021</w:t>
            </w:r>
          </w:p>
        </w:tc>
      </w:tr>
      <w:tr>
        <w:trPr>
          <w:trHeight w:val="218"/>
        </w:trPr>
        <w:tc>
          <w:tcPr>
            <w:tcW w:w="5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gridSpan w:val="3"/>
          </w:tcPr>
          <w:p>
            <w:pPr>
              <w:jc w:val="center"/>
              <w:ind w:right="236"/>
              <w:spacing w:after="0"/>
              <w:rPr>
                <w:sz w:val="20"/>
                <w:szCs w:val="20"/>
                <w:color w:val="auto"/>
              </w:rPr>
            </w:pPr>
            <w:r>
              <w:rPr>
                <w:rFonts w:ascii="Arial" w:cs="Arial" w:eastAsia="Arial" w:hAnsi="Arial"/>
                <w:sz w:val="14"/>
                <w:szCs w:val="14"/>
                <w:b w:val="1"/>
                <w:bCs w:val="1"/>
                <w:color w:val="auto"/>
                <w:w w:val="91"/>
              </w:rPr>
              <w:t>(in thousands)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920" w:type="dxa"/>
            <w:vAlign w:val="bottom"/>
          </w:tcPr>
          <w:p>
            <w:pPr>
              <w:spacing w:after="0"/>
              <w:rPr>
                <w:sz w:val="18"/>
                <w:szCs w:val="18"/>
                <w:color w:val="auto"/>
              </w:rPr>
            </w:pPr>
          </w:p>
        </w:tc>
      </w:tr>
      <w:tr>
        <w:trPr>
          <w:trHeight w:val="23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portion of research and development</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7,274</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10,475</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15,390</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20,304</w:t>
            </w:r>
          </w:p>
        </w:tc>
      </w:tr>
      <w:tr>
        <w:trPr>
          <w:trHeight w:val="229"/>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Expensed portion of research and development</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19,338</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25,278</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37,985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48,354</w:t>
            </w: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research and development</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26,612</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35,753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53,375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68,658</w:t>
            </w:r>
          </w:p>
        </w:tc>
      </w:tr>
    </w:tbl>
    <w:p>
      <w:pPr>
        <w:spacing w:after="0" w:line="256"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8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General and administrative expenses consist primarily of employee-related costs, including wages, stock-based compensation, bonuses and benefits for our finance and accounting, legal, information systems, human resources and other administrative departments. Additional expenses include consulting and professional fees, occupancy costs, insurance and other corporate expenses. We expect our general and administrative expenses to continue to increase in absolute dollars as our company continues to grow.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98" w:lineRule="exact"/>
        <w:rPr>
          <w:sz w:val="20"/>
          <w:szCs w:val="20"/>
          <w:color w:val="auto"/>
        </w:rPr>
      </w:pPr>
    </w:p>
    <w:p>
      <w:pPr>
        <w:ind w:right="920" w:firstLine="648"/>
        <w:spacing w:after="0" w:line="308" w:lineRule="auto"/>
        <w:rPr>
          <w:sz w:val="20"/>
          <w:szCs w:val="20"/>
          <w:color w:val="auto"/>
        </w:rPr>
      </w:pPr>
      <w:r>
        <w:rPr>
          <w:rFonts w:ascii="Arial" w:cs="Arial" w:eastAsia="Arial" w:hAnsi="Arial"/>
          <w:sz w:val="17"/>
          <w:szCs w:val="17"/>
          <w:color w:val="auto"/>
        </w:rPr>
        <w:t>Other income (expense) generally consists of interest income related to interest earned on our cash and cash equivalents and corporate investments, net of losses on disposal of property and equipment and interest expense related to our revolving credit facility.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statements of operations data for each of the periods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4"/>
                <w:szCs w:val="14"/>
                <w:color w:val="auto"/>
              </w:rPr>
            </w:pPr>
          </w:p>
        </w:tc>
        <w:tc>
          <w:tcPr>
            <w:tcW w:w="1800" w:type="dxa"/>
            <w:vAlign w:val="bottom"/>
            <w:gridSpan w:val="3"/>
          </w:tcPr>
          <w:p>
            <w:pPr>
              <w:jc w:val="center"/>
              <w:ind w:left="494"/>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4"/>
                <w:szCs w:val="14"/>
                <w:color w:val="auto"/>
              </w:rPr>
            </w:pPr>
          </w:p>
        </w:tc>
      </w:tr>
      <w:tr>
        <w:trPr>
          <w:trHeight w:val="188"/>
        </w:trPr>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594"/>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left="474"/>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tcBorders>
              <w:bottom w:val="single" w:sz="8" w:color="auto"/>
            </w:tcBorders>
          </w:tcPr>
          <w:p>
            <w:pPr>
              <w:spacing w:after="0"/>
              <w:rPr>
                <w:sz w:val="16"/>
                <w:szCs w:val="16"/>
                <w:color w:val="auto"/>
              </w:rPr>
            </w:pPr>
          </w:p>
        </w:tc>
      </w:tr>
      <w:tr>
        <w:trPr>
          <w:trHeight w:val="183"/>
        </w:trPr>
        <w:tc>
          <w:tcPr>
            <w:tcW w:w="50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96"/>
              </w:rPr>
              <w:t>2021</w:t>
            </w:r>
          </w:p>
        </w:tc>
      </w:tr>
      <w:tr>
        <w:trPr>
          <w:trHeight w:val="218"/>
        </w:trPr>
        <w:tc>
          <w:tcPr>
            <w:tcW w:w="5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3"/>
          </w:tcPr>
          <w:p>
            <w:pPr>
              <w:jc w:val="center"/>
              <w:ind w:left="594"/>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3"/>
          </w:tcPr>
          <w:p>
            <w:pPr>
              <w:jc w:val="center"/>
              <w:ind w:left="494"/>
              <w:spacing w:after="0"/>
              <w:rPr>
                <w:sz w:val="20"/>
                <w:szCs w:val="20"/>
                <w:color w:val="auto"/>
              </w:rPr>
            </w:pPr>
            <w:r>
              <w:rPr>
                <w:rFonts w:ascii="Arial" w:cs="Arial" w:eastAsia="Arial" w:hAnsi="Arial"/>
                <w:sz w:val="14"/>
                <w:szCs w:val="14"/>
                <w:b w:val="1"/>
                <w:bCs w:val="1"/>
                <w:color w:val="auto"/>
                <w:w w:val="89"/>
              </w:rPr>
              <w:t>(in thousands)</w:t>
            </w:r>
          </w:p>
        </w:tc>
        <w:tc>
          <w:tcPr>
            <w:tcW w:w="920" w:type="dxa"/>
            <w:vAlign w:val="bottom"/>
          </w:tcPr>
          <w:p>
            <w:pPr>
              <w:spacing w:after="0"/>
              <w:rPr>
                <w:sz w:val="18"/>
                <w:szCs w:val="18"/>
                <w:color w:val="auto"/>
              </w:rPr>
            </w:pPr>
          </w:p>
        </w:tc>
      </w:tr>
      <w:tr>
        <w:trPr>
          <w:trHeight w:val="23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Recurring and other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145,393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280,268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375,865</w:t>
            </w:r>
          </w:p>
        </w:tc>
      </w:tr>
      <w:tr>
        <w:trPr>
          <w:trHeight w:val="229"/>
        </w:trPr>
        <w:tc>
          <w:tcPr>
            <w:tcW w:w="50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Interest income on funds held for clients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w:t>
            </w: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146,329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282,123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377,734</w:t>
            </w:r>
          </w:p>
        </w:tc>
      </w:tr>
      <w:tr>
        <w:trPr>
          <w:trHeight w:val="229"/>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53,542</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102,922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134,070</w:t>
            </w: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92,787</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179,201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243,664</w:t>
            </w:r>
          </w:p>
        </w:tc>
      </w:tr>
      <w:tr>
        <w:trPr>
          <w:trHeight w:val="209"/>
        </w:trPr>
        <w:tc>
          <w:tcPr>
            <w:tcW w:w="50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102,104</w:t>
            </w:r>
          </w:p>
        </w:tc>
      </w:tr>
      <w:tr>
        <w:trPr>
          <w:trHeight w:val="229"/>
        </w:trPr>
        <w:tc>
          <w:tcPr>
            <w:tcW w:w="50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19,338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25,278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37,985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48,354</w:t>
            </w:r>
          </w:p>
        </w:tc>
      </w:tr>
      <w:tr>
        <w:trPr>
          <w:trHeight w:val="229"/>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29,323</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55,967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74,816</w:t>
            </w:r>
          </w:p>
        </w:tc>
      </w:tr>
      <w:tr>
        <w:trPr>
          <w:trHeight w:val="223"/>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86,436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169,401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225,274</w:t>
            </w:r>
          </w:p>
        </w:tc>
      </w:tr>
      <w:tr>
        <w:trPr>
          <w:trHeight w:val="223"/>
        </w:trPr>
        <w:tc>
          <w:tcPr>
            <w:tcW w:w="5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18,390</w:t>
            </w:r>
          </w:p>
        </w:tc>
      </w:tr>
      <w:tr>
        <w:trPr>
          <w:trHeight w:val="229"/>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r>
      <w:tr>
        <w:trPr>
          <w:trHeight w:val="223"/>
        </w:trPr>
        <w:tc>
          <w:tcPr>
            <w:tcW w:w="5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17,901</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(22,884)</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9,642</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40,785</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714"/>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02"/>
        </w:trPr>
        <w:tc>
          <w:tcPr>
            <w:tcW w:w="50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statements of operations data as a percentage of total revenues for each of the periods indicated.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3"/>
          </w:tcPr>
          <w:p>
            <w:pPr>
              <w:jc w:val="center"/>
              <w:ind w:left="454"/>
              <w:spacing w:after="0"/>
              <w:rPr>
                <w:sz w:val="20"/>
                <w:szCs w:val="20"/>
                <w:color w:val="auto"/>
              </w:rPr>
            </w:pPr>
            <w:r>
              <w:rPr>
                <w:rFonts w:ascii="Arial" w:cs="Arial" w:eastAsia="Arial" w:hAnsi="Arial"/>
                <w:sz w:val="14"/>
                <w:szCs w:val="14"/>
                <w:b w:val="1"/>
                <w:bCs w:val="1"/>
                <w:color w:val="auto"/>
                <w:w w:val="92"/>
              </w:rPr>
              <w:t>Six Months Ended</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7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454"/>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7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Revenues:</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Recurring and other revenue</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Interest income on funds held for clients</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36 %</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10"/>
        </w:trPr>
        <w:tc>
          <w:tcPr>
            <w:tcW w:w="47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9"/>
        </w:trPr>
        <w:tc>
          <w:tcPr>
            <w:tcW w:w="476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14 %</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59 %</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61 %</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0 %</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0 %</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Income before income taxes</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220" w:type="dxa"/>
            <w:vAlign w:val="bottom"/>
            <w:gridSpan w:val="3"/>
          </w:tcPr>
          <w:p>
            <w:pPr>
              <w:spacing w:after="0"/>
              <w:rPr>
                <w:sz w:val="20"/>
                <w:szCs w:val="20"/>
                <w:color w:val="auto"/>
              </w:rPr>
            </w:pPr>
            <w:r>
              <w:rPr>
                <w:rFonts w:ascii="Arial" w:cs="Arial" w:eastAsia="Arial" w:hAnsi="Arial"/>
                <w:sz w:val="18"/>
                <w:szCs w:val="18"/>
                <w:b w:val="1"/>
                <w:bCs w:val="1"/>
                <w:color w:val="auto"/>
                <w:w w:val="92"/>
              </w:rPr>
              <w:t>Comparison of Three Months Ended December 31, 2020 and 2021</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4760" w:type="dxa"/>
            <w:vAlign w:val="bottom"/>
          </w:tcPr>
          <w:p>
            <w:pPr>
              <w:spacing w:after="0"/>
              <w:rPr>
                <w:sz w:val="20"/>
                <w:szCs w:val="20"/>
                <w:color w:val="auto"/>
              </w:rPr>
            </w:pPr>
            <w:r>
              <w:rPr>
                <w:rFonts w:ascii="Arial" w:cs="Arial" w:eastAsia="Arial" w:hAnsi="Arial"/>
                <w:sz w:val="18"/>
                <w:szCs w:val="18"/>
                <w:b w:val="1"/>
                <w:bCs w:val="1"/>
                <w:i w:val="1"/>
                <w:iCs w:val="1"/>
                <w:color w:val="auto"/>
              </w:rPr>
              <w:t>Revenues</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 in thousands)</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4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40" w:type="dxa"/>
            <w:vAlign w:val="bottom"/>
            <w:gridSpan w:val="9"/>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24"/>
                <w:szCs w:val="24"/>
                <w:color w:val="auto"/>
              </w:rPr>
            </w:pPr>
          </w:p>
        </w:tc>
        <w:tc>
          <w:tcPr>
            <w:tcW w:w="1780" w:type="dxa"/>
            <w:vAlign w:val="bottom"/>
            <w:gridSpan w:val="3"/>
            <w:vMerge w:val="restart"/>
          </w:tcPr>
          <w:p>
            <w:pPr>
              <w:ind w:left="980"/>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Recurring and other revenue</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145,393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195,041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49,648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30"/>
        </w:trPr>
        <w:tc>
          <w:tcPr>
            <w:tcW w:w="4760" w:type="dxa"/>
            <w:vAlign w:val="bottom"/>
          </w:tcPr>
          <w:p>
            <w:pPr>
              <w:ind w:left="240"/>
              <w:spacing w:after="0"/>
              <w:rPr>
                <w:sz w:val="20"/>
                <w:szCs w:val="20"/>
                <w:color w:val="auto"/>
              </w:rPr>
            </w:pPr>
            <w:r>
              <w:rPr>
                <w:rFonts w:ascii="Arial" w:cs="Arial" w:eastAsia="Arial" w:hAnsi="Arial"/>
                <w:sz w:val="18"/>
                <w:szCs w:val="18"/>
                <w:color w:val="auto"/>
              </w:rPr>
              <w:t>Percentage of total revenues</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99 %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99 %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on funds held for clients</w:t>
            </w:r>
          </w:p>
        </w:tc>
        <w:tc>
          <w:tcPr>
            <w:tcW w:w="4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0"/>
        </w:trPr>
        <w:tc>
          <w:tcPr>
            <w:tcW w:w="4760" w:type="dxa"/>
            <w:vAlign w:val="bottom"/>
          </w:tcPr>
          <w:p>
            <w:pPr>
              <w:ind w:left="240"/>
              <w:spacing w:after="0"/>
              <w:rPr>
                <w:sz w:val="20"/>
                <w:szCs w:val="20"/>
                <w:color w:val="auto"/>
              </w:rPr>
            </w:pPr>
            <w:r>
              <w:rPr>
                <w:rFonts w:ascii="Arial" w:cs="Arial" w:eastAsia="Arial" w:hAnsi="Arial"/>
                <w:sz w:val="18"/>
                <w:szCs w:val="18"/>
                <w:color w:val="auto"/>
              </w:rPr>
              <w:t>Percentage of total revenues</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and other revenue</w:t>
      </w:r>
    </w:p>
    <w:p>
      <w:pPr>
        <w:spacing w:after="0" w:line="198"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Recurring and other revenue for the three months ended December 31, 2021 increased by $49.6 million, or 34%, to $195.0 million from $145.4 million for three months ended December 31, 2020. Recurring and other revenue increased primarily as a result of incremental revenues from new and existing clients due to the strong performance by our sales team and improved macroeconomic conditions as compared to the prior fiscal year.</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18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Interest income on funds held for clients for the three months ended December 31, 2021 increased by 6% from the three months ended December 31, 2020. Interest income on funds held for clients continues to be impacted by the low interest rate environment due to the interest rate cuts by the Federal Reserve in response to the COVID-19 pandemic. The impact from the lower interest rates was partially offset by higher average daily balances for funds held due to the addition of new clients to our client base and increases in client employee counts on our platform.</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60" w:type="dxa"/>
            <w:vAlign w:val="bottom"/>
            <w:gridSpan w:val="3"/>
          </w:tcPr>
          <w:p>
            <w:pPr>
              <w:jc w:val="center"/>
              <w:ind w:left="199"/>
              <w:spacing w:after="0"/>
              <w:rPr>
                <w:sz w:val="20"/>
                <w:szCs w:val="20"/>
                <w:color w:val="auto"/>
              </w:rPr>
            </w:pPr>
            <w:r>
              <w:rPr>
                <w:rFonts w:ascii="Arial" w:cs="Arial" w:eastAsia="Arial" w:hAnsi="Arial"/>
                <w:sz w:val="14"/>
                <w:szCs w:val="14"/>
                <w:b w:val="1"/>
                <w:bCs w:val="1"/>
                <w:color w:val="auto"/>
                <w:w w:val="95"/>
              </w:rPr>
              <w:t>Three Months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gridSpan w:val="3"/>
            <w:vMerge w:val="restart"/>
          </w:tcPr>
          <w:p>
            <w:pPr>
              <w:ind w:left="92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9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center"/>
              <w:ind w:left="199"/>
              <w:spacing w:after="0"/>
              <w:rPr>
                <w:sz w:val="20"/>
                <w:szCs w:val="20"/>
                <w:color w:val="auto"/>
              </w:rPr>
            </w:pPr>
            <w:r>
              <w:rPr>
                <w:rFonts w:ascii="Arial" w:cs="Arial" w:eastAsia="Arial" w:hAnsi="Arial"/>
                <w:sz w:val="14"/>
                <w:szCs w:val="14"/>
                <w:b w:val="1"/>
                <w:bCs w:val="1"/>
                <w:color w:val="auto"/>
                <w:w w:val="92"/>
              </w:rPr>
              <w:t>December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53,542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70,821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29"/>
        </w:trPr>
        <w:tc>
          <w:tcPr>
            <w:tcW w:w="4900" w:type="dxa"/>
            <w:vAlign w:val="bottom"/>
          </w:tcPr>
          <w:p>
            <w:pPr>
              <w:ind w:left="240"/>
              <w:spacing w:after="0"/>
              <w:rPr>
                <w:sz w:val="20"/>
                <w:szCs w:val="20"/>
                <w:color w:val="auto"/>
              </w:rPr>
            </w:pPr>
            <w:r>
              <w:rPr>
                <w:rFonts w:ascii="Arial" w:cs="Arial" w:eastAsia="Arial" w:hAnsi="Arial"/>
                <w:sz w:val="18"/>
                <w:szCs w:val="18"/>
                <w:color w:val="auto"/>
              </w:rPr>
              <w:t>Percentage of total revenues</w:t>
            </w:r>
          </w:p>
        </w:tc>
        <w:tc>
          <w:tcPr>
            <w:tcW w:w="3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185"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auto"/>
        </w:rPr>
        <w:t>Cost of revenues for the three months ended December 31, 2021 increased by $17.3 million, or 32%, to $70.8 million from $53.5 million for the three months ended December 31, 2020. Cost of revenues increased primarily as a result of the continued growth of our business, in particular, $10.9 million in additional employee-related costs resulting from additional personnel necessary to provide services to new and existing clients, $4.8 million in additional delivery and other processing costs and $1.3 million of stock-based compensation associated with our equity incentive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8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gridSpan w:val="3"/>
            <w:vMerge w:val="restart"/>
          </w:tcPr>
          <w:p>
            <w:pPr>
              <w:ind w:left="92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8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37,775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52,219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14,444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Sales and marketing expenses for the three months ended December 31, 2021 increased by $14.4 million, or 38%, to $52.2 million from $37.8 million for the three months ended December 31, 2020. The increase in sales and marketing expense was primarily due to $9.4 million of additional employee-related costs, including those incurred to expand our sales team, and an increase in overall spending on travel and entertainment as COVID-19 pandemic restrictions eased within the United States. The increase was also driven by $2.4 million in additional marketing lead generation costs and $1.8 million of additional stock-based compensation costs associated with our equity incentive plan.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8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8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19,338</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25,278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5,940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13 %</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right="300" w:firstLine="648"/>
        <w:spacing w:after="0" w:line="301" w:lineRule="auto"/>
        <w:rPr>
          <w:sz w:val="20"/>
          <w:szCs w:val="20"/>
          <w:color w:val="auto"/>
        </w:rPr>
      </w:pPr>
      <w:r>
        <w:rPr>
          <w:rFonts w:ascii="Arial" w:cs="Arial" w:eastAsia="Arial" w:hAnsi="Arial"/>
          <w:sz w:val="16"/>
          <w:szCs w:val="16"/>
          <w:color w:val="auto"/>
        </w:rPr>
        <w:t>Research and development expenses for the three months ended December 31, 2021 increased by $5.9 million, or 31%, to $25.3 million from $19.3 million for the three months ended December 31, 2020. The increase in research and development expenses was primarily due to $4.4 million of additional employee-related costs related to additional development personnel and $2.7 million of additional stock-based compensation costs associated with our equity incentive plan, partially offset by higher period-over-period capitalized internal-use software costs of $1.6 million.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8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8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29,323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39,581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10,258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20 %</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General and administrative expenses for the three months ended December 31, 2021 increased by $10.3 million, or 35%, to $39.6 million from $29.3 million for the three months ended December 31, 2020. The increase in general and administrative expense was primarily the result of $3.8 million of additional stock-based compensation associated with our equity incentive plan, $2.6 million in additional 401(k) expense and $2.4 million in additional employee-related costs.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20" w:type="dxa"/>
            <w:vAlign w:val="bottom"/>
            <w:gridSpan w:val="3"/>
          </w:tcPr>
          <w:p>
            <w:pPr>
              <w:jc w:val="center"/>
              <w:ind w:right="299"/>
              <w:spacing w:after="0"/>
              <w:rPr>
                <w:sz w:val="20"/>
                <w:szCs w:val="20"/>
                <w:color w:val="auto"/>
              </w:rPr>
            </w:pPr>
            <w:r>
              <w:rPr>
                <w:rFonts w:ascii="Arial" w:cs="Arial" w:eastAsia="Arial" w:hAnsi="Arial"/>
                <w:sz w:val="14"/>
                <w:szCs w:val="14"/>
                <w:b w:val="1"/>
                <w:bCs w:val="1"/>
                <w:color w:val="auto"/>
                <w:w w:val="93"/>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gridSpan w:val="3"/>
            <w:vMerge w:val="restart"/>
          </w:tcPr>
          <w:p>
            <w:pPr>
              <w:ind w:left="92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8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right="279"/>
              <w:spacing w:after="0"/>
              <w:rPr>
                <w:sz w:val="20"/>
                <w:szCs w:val="20"/>
                <w:color w:val="auto"/>
              </w:rPr>
            </w:pPr>
            <w:r>
              <w:rPr>
                <w:rFonts w:ascii="Arial" w:cs="Arial" w:eastAsia="Arial" w:hAnsi="Arial"/>
                <w:sz w:val="14"/>
                <w:szCs w:val="14"/>
                <w:b w:val="1"/>
                <w:bCs w:val="1"/>
                <w:color w:val="auto"/>
                <w:w w:val="92"/>
              </w:rPr>
              <w:t>December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expense did not materially change for the three months ended December 31, 2021 as compared to the three months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Our effective tax rate was (61.5)% and (26.9)% for the three months ended December 31, 2020 and 2021, respectively. Our effective tax rate for the three months ended December 31, 2020 was lower than the federal statutory rate of 21% primarily due to excess tax benefits from employee stock-based compensation, and state and local income taxes, partially offset by an increase to the valuation allowance. Our effective tax rate for the three months ended December 31, 2021 was lower than the federal statutory rate of 21% primarily due to excess tax benefits from employee stock-based compensation.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Six Months Ended December 31, 2020 and 2021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7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Recurring and other revenue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280,268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375,865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95,597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Percentage of total revenues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on funds held for clients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1,855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Percentage of total revenues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and other revenue</w:t>
      </w:r>
    </w:p>
    <w:p>
      <w:pPr>
        <w:spacing w:after="0" w:line="198" w:lineRule="exact"/>
        <w:rPr>
          <w:sz w:val="20"/>
          <w:szCs w:val="20"/>
          <w:color w:val="auto"/>
        </w:rPr>
      </w:pPr>
    </w:p>
    <w:p>
      <w:pPr>
        <w:ind w:right="400" w:firstLine="648"/>
        <w:spacing w:after="0" w:line="311" w:lineRule="auto"/>
        <w:rPr>
          <w:sz w:val="20"/>
          <w:szCs w:val="20"/>
          <w:color w:val="auto"/>
        </w:rPr>
      </w:pPr>
      <w:r>
        <w:rPr>
          <w:rFonts w:ascii="Arial" w:cs="Arial" w:eastAsia="Arial" w:hAnsi="Arial"/>
          <w:sz w:val="16"/>
          <w:szCs w:val="16"/>
          <w:color w:val="auto"/>
        </w:rPr>
        <w:t>Recurring and other revenue for the six months ended December 31, 2021 increased by $95.6 million, or 34%, to $375.9 million from $280.3 million for six months ended December 31, 2020. Recurring and other revenue increased primarily as a result of incremental revenues from new and existing clients due to the strong performance by our sales team and improved macroeconomic conditions compared to the prior fiscal year.</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18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Interest income on funds held for clients for the six months ended December 31, 2021 increased by 1% from the six months ended December 31, 2020. Interest income on funds held for clients continues to be impacted by the low interest rate environment due to the interest rate cuts by the Federal Reserve in response to the COVID-19 pandemic. The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impact from the lower interest rates was partially offset by higher average daily balances for funds held due to the addition of new clients to our client base and increases in client employee counts on our platform.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center"/>
              <w:ind w:left="559"/>
              <w:spacing w:after="0"/>
              <w:rPr>
                <w:sz w:val="20"/>
                <w:szCs w:val="20"/>
                <w:color w:val="auto"/>
              </w:rPr>
            </w:pPr>
            <w:r>
              <w:rPr>
                <w:rFonts w:ascii="Arial" w:cs="Arial" w:eastAsia="Arial" w:hAnsi="Arial"/>
                <w:sz w:val="14"/>
                <w:szCs w:val="14"/>
                <w:b w:val="1"/>
                <w:bCs w:val="1"/>
                <w:color w:val="auto"/>
                <w:w w:val="93"/>
              </w:rPr>
              <w:t>Six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gridSpan w:val="3"/>
            <w:vMerge w:val="restart"/>
          </w:tcPr>
          <w:p>
            <w:pPr>
              <w:ind w:left="92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102,922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134,070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30"/>
        </w:trPr>
        <w:tc>
          <w:tcPr>
            <w:tcW w:w="4860" w:type="dxa"/>
            <w:vAlign w:val="bottom"/>
          </w:tcPr>
          <w:p>
            <w:pPr>
              <w:ind w:left="240"/>
              <w:spacing w:after="0"/>
              <w:rPr>
                <w:sz w:val="20"/>
                <w:szCs w:val="20"/>
                <w:color w:val="auto"/>
              </w:rPr>
            </w:pPr>
            <w:r>
              <w:rPr>
                <w:rFonts w:ascii="Arial" w:cs="Arial" w:eastAsia="Arial" w:hAnsi="Arial"/>
                <w:sz w:val="18"/>
                <w:szCs w:val="18"/>
                <w:color w:val="auto"/>
              </w:rPr>
              <w:t>Percentage of total revenues</w:t>
            </w:r>
          </w:p>
        </w:tc>
        <w:tc>
          <w:tcPr>
            <w:tcW w:w="36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185"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Cost of revenues for the six months ended December 31, 2021 increased by $31.1 million, or 30%, to $134.1 million from $102.9 million for the six months ended December 31, 2020. Cost of revenues increased primarily as a result of the continued growth of our business, in particular, $19.2 million in additional employee-related costs resulting from additional personnel necessary to provide services to new and existing clients, $8.8 million related to delivery and other processing costs and $2.1 million of additional stock-based compensation costs associated with our equity incentive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80" w:type="dxa"/>
            <w:vAlign w:val="bottom"/>
            <w:gridSpan w:val="3"/>
          </w:tcPr>
          <w:p>
            <w:pPr>
              <w:jc w:val="center"/>
              <w:ind w:left="541"/>
              <w:spacing w:after="0"/>
              <w:rPr>
                <w:sz w:val="20"/>
                <w:szCs w:val="20"/>
                <w:color w:val="auto"/>
              </w:rPr>
            </w:pPr>
            <w:r>
              <w:rPr>
                <w:rFonts w:ascii="Arial" w:cs="Arial" w:eastAsia="Arial" w:hAnsi="Arial"/>
                <w:sz w:val="14"/>
                <w:szCs w:val="14"/>
                <w:b w:val="1"/>
                <w:bCs w:val="1"/>
                <w:color w:val="auto"/>
                <w:w w:val="93"/>
              </w:rPr>
              <w:t>Six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8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561"/>
              <w:spacing w:after="0"/>
              <w:rPr>
                <w:sz w:val="20"/>
                <w:szCs w:val="20"/>
                <w:color w:val="auto"/>
              </w:rPr>
            </w:pPr>
            <w:r>
              <w:rPr>
                <w:rFonts w:ascii="Arial" w:cs="Arial" w:eastAsia="Arial" w:hAnsi="Arial"/>
                <w:sz w:val="14"/>
                <w:szCs w:val="14"/>
                <w:b w:val="1"/>
                <w:bCs w:val="1"/>
                <w:color w:val="auto"/>
                <w:w w:val="92"/>
              </w:rPr>
              <w:t>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75,449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102,104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26,655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Sales and marketing expenses for the six months ended December 31, 2021 increased by $26.7 million, or 35%, to $102.1 million from $75.4 million for the six months ended December 31, 2020. The increase in sales and marketing expense was primarily attributable to $17.4 million in additional employee-related costs, including those incurred to expand our sales team, and an increase in overall spending on travel and entertainment as COVID-19 pandemic restrictions eased within the United States. The increase was also driven by $3.3 million in additional marketing lead generation costs and $3.0 million of additional stock-based compensation costs associated with our equity incentive plan.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80" w:type="dxa"/>
            <w:vAlign w:val="bottom"/>
            <w:gridSpan w:val="3"/>
          </w:tcPr>
          <w:p>
            <w:pPr>
              <w:jc w:val="center"/>
              <w:ind w:left="521"/>
              <w:spacing w:after="0"/>
              <w:rPr>
                <w:sz w:val="20"/>
                <w:szCs w:val="20"/>
                <w:color w:val="auto"/>
              </w:rPr>
            </w:pPr>
            <w:r>
              <w:rPr>
                <w:rFonts w:ascii="Arial" w:cs="Arial" w:eastAsia="Arial" w:hAnsi="Arial"/>
                <w:sz w:val="14"/>
                <w:szCs w:val="14"/>
                <w:b w:val="1"/>
                <w:bCs w:val="1"/>
                <w:color w:val="auto"/>
                <w:w w:val="92"/>
              </w:rPr>
              <w:t>Six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521"/>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37,985</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48,354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10,369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14 %</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Research and development expenses for the six months ended December 31, 2021 increased by $10.4 million, or 27%, to $48.4 million from $38.0 million for the six months ended December 31, 2020. The increase in research and development expenses was primarily the result of $8.2 million of additional employee-related costs related to additional development personnel and $4.1 million of additional stock-based compensation costs associated with our equity incentive plan, partially offset by higher period-over-period capitalized internal-use software costs of $2.3 million.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80" w:type="dxa"/>
            <w:vAlign w:val="bottom"/>
            <w:gridSpan w:val="3"/>
          </w:tcPr>
          <w:p>
            <w:pPr>
              <w:jc w:val="center"/>
              <w:ind w:left="521"/>
              <w:spacing w:after="0"/>
              <w:rPr>
                <w:sz w:val="20"/>
                <w:szCs w:val="20"/>
                <w:color w:val="auto"/>
              </w:rPr>
            </w:pPr>
            <w:r>
              <w:rPr>
                <w:rFonts w:ascii="Arial" w:cs="Arial" w:eastAsia="Arial" w:hAnsi="Arial"/>
                <w:sz w:val="14"/>
                <w:szCs w:val="14"/>
                <w:b w:val="1"/>
                <w:bCs w:val="1"/>
                <w:color w:val="auto"/>
                <w:w w:val="92"/>
              </w:rPr>
              <w:t>Six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521"/>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55,967</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74,816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18,849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20 %</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General and administrative expenses for the six months ended December 31, 2021 increased by $18.8 million, or 34%, to $74.8 million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$56.0 million for the six months ended December 31, 2020. The increase in general and administrative expense was primarily of $5.8 million in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401(k) expense, $5.6 million of additional stock-based compensation associated with our equity incentive plan and $4.9 million in additional employee-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related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60" w:type="dxa"/>
            <w:vAlign w:val="bottom"/>
            <w:gridSpan w:val="3"/>
          </w:tcPr>
          <w:p>
            <w:pPr>
              <w:ind w:left="60"/>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8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(636)</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0 %</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180" w:firstLine="648"/>
        <w:spacing w:after="0" w:line="453" w:lineRule="auto"/>
        <w:rPr>
          <w:sz w:val="20"/>
          <w:szCs w:val="20"/>
          <w:color w:val="auto"/>
        </w:rPr>
      </w:pPr>
      <w:r>
        <w:rPr>
          <w:rFonts w:ascii="Arial" w:cs="Arial" w:eastAsia="Arial" w:hAnsi="Arial"/>
          <w:sz w:val="18"/>
          <w:szCs w:val="18"/>
          <w:color w:val="auto"/>
        </w:rPr>
        <w:t xml:space="preserve">Other expense for the six months ended December 31, 2021 did not materially change as compared to the six months ended December 31, 2020. </w:t>
      </w:r>
      <w:r>
        <w:rPr>
          <w:rFonts w:ascii="Arial" w:cs="Arial" w:eastAsia="Arial" w:hAnsi="Arial"/>
          <w:sz w:val="18"/>
          <w:szCs w:val="18"/>
          <w:i w:val="1"/>
          <w:iCs w:val="1"/>
          <w:color w:val="auto"/>
        </w:rPr>
        <w:t>Income Taxes</w:t>
      </w:r>
    </w:p>
    <w:p>
      <w:pPr>
        <w:spacing w:after="0" w:line="2"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Our effective tax rate was (141.2)% and (127.8)% for the six months ended December 31, 2020 and 2021, respectively. Our effective tax rate for the six months ended December 31, 2020 and December 31, 2021 was lower than the federal statutory rate of 21% primarily due to excess tax benefits from employee stock-based compensation and state and local income taxes, partially offset by an increase to the valuation allowance.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Trends and Seasonality</w:t>
      </w:r>
    </w:p>
    <w:p>
      <w:pPr>
        <w:spacing w:after="0" w:line="18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Our overall operating results fluctuate from quarter to quarter as a result of a variety of factors, some of which are outside of our control. Our historical results should not be considered a reliable indicator of our future results of operations.</w:t>
      </w:r>
    </w:p>
    <w:p>
      <w:pPr>
        <w:spacing w:after="0" w:line="13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experience fluctuations in revenues and related costs on a seasonal basis, which are primarily seen in our fiscal third quarter, which ends on March 31 of each year. Specifically, our recurring revenue is positively impacted in our fiscal third quarter as a result of our preparation of W-2 documents for our clients’ employees in advance of tax filing requirements. The seasonal fluctuations in revenues also positively impact gross profits during our fiscal third quarter. Our historical results for our fiscal third quarter should not be considered a reliable indicator of our future results of operations. Our interest income earned on funds held for clients is also positively impacted during our fiscal third quarter as a result of our increased collection of funds held for clients. Certain payroll taxes are primarily collected during our fiscal third quarter and subsequently remitted.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revenue and expenses. In accordance with GAAP, we base our estimates on historical experience and on various other assumptions that we believe are reasonable under the circumstances. Actual results may differ from our estimates under different assumptions or conditions and, to the extent that there are differences between our estimates and actual results, our future financial statement presentation, financial condition, results of operations and cash flows will be affected.</w:t>
      </w:r>
    </w:p>
    <w:p>
      <w:pPr>
        <w:spacing w:after="0" w:line="137"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Accounting estimates used in the preparation of these consolidated financial statements change as new events occur, as more experience is acquired, as additional information is obtained and as the operating environment changes.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Our critical accounting policies and use of estimates are disclosed in our audited consolidated financial statements for the year ended June 30, 2021 included in our Annual Report on Form 10-K filed with the SEC on August 6,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Our primary liquidity needs are related to the funding of general business requirements, including working capital requirements, research and development, and capital expenditures. As of December 31, 2021, our principal source of liquidity was $84.1 million of cash and cash equivalents. In July 2019, we entered into and currently maintain a five-year revolving credit agreement. This credit agreement provides for a $250.0 million senior revolving credit facility which may be increased up to $375.0 million. No amounts were drawn on the revolving credit facility as of December 31, 2021, but, in January 2022, we borrowed $50.0 million in connection with our acquisition of Cloudsnap, Inc. Refer to Note 13 of the Notes to the Unaudited Consolidated Financial Statements for additional detail on this acquisition.</w:t>
      </w:r>
    </w:p>
    <w:p>
      <w:pPr>
        <w:spacing w:after="0" w:line="1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invest portions of our excess cash and cash equivalents in highly liquid, investment-grade marketable securities. These investments consist of commercial paper, corporate debt issuances, asset-backed debt securities, certificates of deposit, U.S. treasury securities, U.S. government agency securities and other securities with credit quality ratings of A-1 or higher. As of December 31, 2021, we had not recognized any credit impairment losses related to our investment portfolio.</w:t>
      </w:r>
    </w:p>
    <w:p>
      <w:pPr>
        <w:spacing w:after="0" w:line="146"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In order to grow our business, we intend to increase our personnel and related expenses and to make significant investments in our platform, data centers and general infrastructure. The timing and amount of these investments will vary based on our financial condition, the rate at which we add new clients and new personnel and the scale of our module development, data centers and other activities.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or utilize the borrowing capacity under our credit facility to satisfy those needs.</w:t>
      </w:r>
    </w:p>
    <w:p>
      <w:pPr>
        <w:spacing w:after="0" w:line="15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Funds held for clients and client fund obligations will vary substantially from period to period as a result of the timing of payroll and tax obligations due. Our payroll processing activities involve the movement of significant funds from accounts of employers to employees and relevant taxing authorities. Though we debit a client’s account prior to any disbursement on its behalf, there is a delay between our payment of amounts due to employees and taxing and other regulatory authorities and when the incoming funds from the client to cover these amounts payable actually clear into our operating accounts. We currently have agreements with eleven major U.S. banks to execute ACH and wire transfers to support our client payroll and tax services. We believe we have sufficient capacity under these ACH arrangements to handle all transaction volumes for the foreseeable future. We primarily collect fees for our services via ACH transactions at the same time we debit the client’s account for payroll and tax obligations and thus are able to reduce collectability and accounts receivable risks.</w:t>
      </w:r>
    </w:p>
    <w:p>
      <w:pPr>
        <w:spacing w:after="0" w:line="151"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We believe our current cash and cash equivalents, future cash flow from operations, and access to our credit facility will be sufficient to meet our ongoing working capital, capital expenditure and other liquidity requirements for at least the next 12 months, and thereafter, for the foreseeable future.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0"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data regarding cash flows for the periods indicated:</w:t>
      </w:r>
    </w:p>
    <w:p>
      <w:pPr>
        <w:spacing w:after="0" w:line="207"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Six Months Ended</w:t>
      </w:r>
    </w:p>
    <w:p>
      <w:pPr>
        <w:jc w:val="center"/>
        <w:ind w:left="816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8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26,858</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available-for-sale securities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(190,000)</w:t>
            </w: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Proceeds from sales and maturities of available-for-sale securities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58,996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60,391</w:t>
            </w: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Capitalized internal-use software costs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(17,966)</w:t>
            </w: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(10,528)</w:t>
            </w:r>
          </w:p>
        </w:tc>
      </w:tr>
      <w:tr>
        <w:trPr>
          <w:trHeight w:val="229"/>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business, net of cash acquired</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(60,234)</w:t>
            </w:r>
          </w:p>
        </w:tc>
      </w:tr>
      <w:tr>
        <w:trPr>
          <w:trHeight w:val="223"/>
        </w:trPr>
        <w:tc>
          <w:tcPr>
            <w:tcW w:w="8180" w:type="dxa"/>
            <w:vAlign w:val="bottom"/>
          </w:tcPr>
          <w:p>
            <w:pPr>
              <w:ind w:left="46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23,127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(218,337)</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Net change in client fund obligations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876,982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160,325</w:t>
            </w:r>
          </w:p>
        </w:tc>
      </w:tr>
      <w:tr>
        <w:trPr>
          <w:trHeight w:val="229"/>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employee stock purchase plan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7,216</w:t>
            </w: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Taxes paid related to net share settlement of equity awards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(44,749)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(67,109)</w:t>
            </w: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debt issuance costs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81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838,316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100,391</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funds held for clients' cash and cash equivalents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881,115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(91,088)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9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Net cash provided by operating activities was $19.7 million and $26.9 million for the six months ended December 31, 2020 and 2021, respectively. The increase in net cash provided by operating activities from the six months ended December 31, 2020 to the six months ended December 31, 2021 was primarily due to improved operating results after adjusting for non-cash items including stock-based compensation expense, depreciation and amortization expense and deferred income tax benefit, partially offset by net changes in operating assets and liabilities during the six months ended December 31, 2021 as compared to the six months ended December 31, 2020.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8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Net cash provided by (used in) investing activities was $23.1 million and $(218.3) million for the six months ended December 31, 2020 and 2021, respectively. The net cash provided by (used in) investing activities is significantly impacted by the timing of purchases and sales and maturities of investments as we invest portions of excess corporate cash and funds held for clients in highly liquid, investment-grade marketable securities. The amount of funds held for clients invested will vary based on timing of client funds collected and payments due to client employees and taxing and other regulatory authorities.</w:t>
      </w:r>
    </w:p>
    <w:p>
      <w:pPr>
        <w:spacing w:after="0" w:line="161"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The decrease in net cash provided by (used in) investing activities was primarily due to purchases of available-for-sale securities of $190.0 million and a $45.2 million increase in amounts paid for acquisitions, net of cash acquired during the six months ended December 31, 2021 as compared to the six months ended December 31,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Net cash provided by financing activities was $838.3 million and $100.4 million for the six months ended December 31, 2020 and 2021,</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respectively. The decrease in net cash provided by financing activities was primarily the result of a decrease in the change in client fund obligations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$716.7 million due to the timing of client funds collected and related remittance of those funds to client employees and taxing authorities and $22.4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increased taxes paid related to net share settlement of equity awards during the six months ended December 31, 2021 as compared to the six months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ended December 31, 2020.</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principal commitments consist of operating lease obligations. The following table summarizes our contractual obligations at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Payment Due By Fiscal Period</w:t>
            </w: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3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Less than 1</w:t>
            </w:r>
          </w:p>
        </w:tc>
        <w:tc>
          <w:tcPr>
            <w:tcW w:w="280" w:type="dxa"/>
            <w:vAlign w:val="bottom"/>
          </w:tcPr>
          <w:p>
            <w:pPr>
              <w:spacing w:after="0"/>
              <w:rPr>
                <w:sz w:val="11"/>
                <w:szCs w:val="11"/>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1-3 Years</w:t>
            </w:r>
          </w:p>
        </w:tc>
        <w:tc>
          <w:tcPr>
            <w:tcW w:w="280" w:type="dxa"/>
            <w:vAlign w:val="bottom"/>
          </w:tcPr>
          <w:p>
            <w:pPr>
              <w:spacing w:after="0"/>
              <w:rPr>
                <w:sz w:val="11"/>
                <w:szCs w:val="11"/>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3-5 Years</w:t>
            </w:r>
          </w:p>
        </w:tc>
        <w:tc>
          <w:tcPr>
            <w:tcW w:w="260" w:type="dxa"/>
            <w:vAlign w:val="bottom"/>
          </w:tcPr>
          <w:p>
            <w:pPr>
              <w:spacing w:after="0"/>
              <w:rPr>
                <w:sz w:val="11"/>
                <w:szCs w:val="11"/>
                <w:color w:val="auto"/>
              </w:rPr>
            </w:pPr>
          </w:p>
        </w:tc>
        <w:tc>
          <w:tcPr>
            <w:tcW w:w="1220" w:type="dxa"/>
            <w:vAlign w:val="bottom"/>
          </w:tcPr>
          <w:p>
            <w:pPr>
              <w:jc w:val="right"/>
              <w:ind w:right="337"/>
              <w:spacing w:after="0" w:line="135"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88"/>
        </w:trPr>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Year</w:t>
            </w: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417"/>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24"/>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92,985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19,063</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46,164</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 obligations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46,164</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89"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We expect to continue to invest in capital spending as we continue to grow our business and expand and enhance our operating facilities,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 $6.0 million and $10.5 million for the six months ended December 31, 2020 and 2021, respectively, exclusive of capitalized internal-use software costs of $14.8 million and $18.0 million for the same periods,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may be material to investors.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Refer to Note 2 of the Notes to the Unaudited Consolidated Financial Statements for a discussion of recently issued accounting standards.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We have operations primarily in the United States and are exposed to market risks in the ordinary course of our business. These risks primarily include interest rate and certain other exposures as well as risks relating to changes in the general economic conditions in the United States. As discussed in Item 2. Management’s Discussion and Analysis of Financial Condition and Results of operations, the novel coronavirus disease (“COVID-19”) pandemic has disrupted the global economy and financial markets and may unfavorably impact our future business and financial performance. Refer to “Part I. Item 1A. Risk Factors” on our Annual Report on Form 10-K filed with the SEC on August 6, 2021 for risks related to the COVID-19 pandemic.</w:t>
      </w:r>
    </w:p>
    <w:p>
      <w:pPr>
        <w:spacing w:after="0" w:line="134"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We have not used, nor do we intend to use, derivatives to mitigate the impact of interest rate or other exposure or for trading or speculative purposes.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8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As of December 31, 2021, we had cash and cash equivalents of $84.1 million and funds held for clients of $1,920 million. We did not hold corporate investments on our balance sheet as of December 31, 2021. We deposit our cash and cash equivalents and significant portions of our funds held for clients in demand deposit accounts with various financial institutions. We invest portions of our excess cash and cash equivalents and funds held for clients in marketable securities including commercial paper, corporate debt issuances, asset-backed debt securities, certificates of deposit, U.S. government agency securities and other which were classified as available-for-sale securities as of December 31, 2021. Our investment policy is focused on generating higher yields from these investments while preserving liquidity and capital. However, as a result of our investing activities, we are exposed to changes in interest rates that may materially affect our financial statements.</w:t>
      </w:r>
    </w:p>
    <w:p>
      <w:pPr>
        <w:spacing w:after="0" w:line="150"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In a falling rate environment, a decline in interest rates would decrease our interest income earned on both cash and cash equivalents and funds held for clients. An increase in the overall interest rate environment may cause the market value of our investments in fixed rate available-for-sale securities to decline. If we are forced to sell some or all of these securities at lower market values, we may incur investment losses. However, because we classify all marketable securities as available-for-sale, no gains or losses are recognized due to changes in interest rates until such securities are sold or decreases in fair value are deemed due to expected credit losses. We have not recorded any credit impairment losses on our portfolio to date.</w:t>
      </w:r>
    </w:p>
    <w:p>
      <w:pPr>
        <w:spacing w:after="0" w:line="12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Based upon a sensitivity model that measures market value changes caused by interest rate fluctuations, an immediate 100-basis point change in interest rates would have had an immaterial effect on the market value of our available-for-sale securities as of December 31, 2021. Fluctuations in the value of our available-for-sale securities caused by changes in interest rates are recorded in other comprehensive income and are only realized if we sell the underlying securities.</w:t>
      </w:r>
    </w:p>
    <w:p>
      <w:pPr>
        <w:spacing w:after="0" w:line="146"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212529"/>
        </w:rPr>
        <w:t xml:space="preserve">Additionally, as described in </w:t>
      </w:r>
      <w:r>
        <w:rPr>
          <w:rFonts w:ascii="Arial" w:cs="Arial" w:eastAsia="Arial" w:hAnsi="Arial"/>
          <w:sz w:val="17"/>
          <w:szCs w:val="17"/>
          <w:color w:val="000000"/>
        </w:rPr>
        <w:t>Note 8 of the Notes to the Unaudited Consolidated Financial Statements</w:t>
      </w:r>
      <w:r>
        <w:rPr>
          <w:rFonts w:ascii="Arial" w:cs="Arial" w:eastAsia="Arial" w:hAnsi="Arial"/>
          <w:sz w:val="17"/>
          <w:szCs w:val="17"/>
          <w:color w:val="212529"/>
        </w:rPr>
        <w:t xml:space="preserve"> we entered into a credit agreement that provides for a revolving credit facility (“credit facility”) in the aggregate amount of $250.0 million, which may be increased up to $375.0 million. Borrowings under the credit facility generally bear interest at a rate based upon the London Interbank Offered Rate (“LIBOR”) (or a replacement rate for LIBOR) or, at our sole option, an adjusted base rate plus an applicable margin based on our then-applicable net senior secured leverage ratio. As of </w:t>
      </w:r>
      <w:r>
        <w:rPr>
          <w:rFonts w:ascii="Arial" w:cs="Arial" w:eastAsia="Arial" w:hAnsi="Arial"/>
          <w:sz w:val="17"/>
          <w:szCs w:val="17"/>
          <w:color w:val="000000"/>
        </w:rPr>
        <w:t>December 31, 2021</w:t>
      </w:r>
      <w:r>
        <w:rPr>
          <w:rFonts w:ascii="Arial" w:cs="Arial" w:eastAsia="Arial" w:hAnsi="Arial"/>
          <w:sz w:val="17"/>
          <w:szCs w:val="17"/>
          <w:color w:val="212529"/>
        </w:rPr>
        <w:t>, there were no amounts drawn on the credit facility. To the extent that we draw additional amounts under the credit facility, we may be</w:t>
      </w:r>
      <w:r>
        <w:rPr>
          <w:rFonts w:ascii="Arial" w:cs="Arial" w:eastAsia="Arial" w:hAnsi="Arial"/>
          <w:sz w:val="17"/>
          <w:szCs w:val="17"/>
          <w:color w:val="000000"/>
        </w:rPr>
        <w:t xml:space="preserve"> </w:t>
      </w:r>
      <w:r>
        <w:rPr>
          <w:rFonts w:ascii="Arial" w:cs="Arial" w:eastAsia="Arial" w:hAnsi="Arial"/>
          <w:sz w:val="17"/>
          <w:szCs w:val="17"/>
          <w:color w:val="212529"/>
        </w:rPr>
        <w:t>exposed to increased market risk from changes in the underlying index rates, which affects our interest expense.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189"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2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of December 31, 2021, the end of the period covered by this Quarterly Report on Form 10-Q. Based upon such evaluation, our Chief Executive Officer and Chief Financial Officer have concluded that our disclosure controls and procedures were effective as of such date.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There were no changes to our internal control over financial reporting during the three-month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60" w:right="39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From time to time, we may become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There have been no material changes in our risk factors disclosed in “Item 1A. Risk Factors” of our Annual Report on Form 10-K for the fiscal year ended June 30, 2021 filed with the SEC on August 6,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 Sales of Unregistered Securities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(b)Use of Proceeds</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March 24, 2014, we completed our initial public offering or IPO, of 8,101,750 shares of common stock, at a price of $17.00 per share, before underwriting discounts and commissions. The offer and sale of all of the shares in the IPO were registered under the Securities Act pursuant to a registration statement on Form S-1 (File No. 333-193661), which was declared effective by the SEC on March 18, 2014. With the proceeds of the IPO, we repaid amounts outstanding under a note issued by us to Commerce Bank &amp; Trust Company on March 9, 2011, which totaled $1.1 million, paid $9.4 million for the purchase of substantially all of the assets of BFKMS Inc. and paid $9.5 million for the purchase of substantially all of the assets of Synergy Payroll, LLC.</w:t>
      </w:r>
    </w:p>
    <w:p>
      <w:pPr>
        <w:spacing w:after="0" w:line="1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December 17, 2014, we completed a follow-on offering of 4,960,000 shares of common stock at a price of $26.25 per share, before underwriting discounts and commissions. The offer and sale of all of the shares in the follow-on offering were registered under the Securities Act pursuant to a registration statement on Form S-1 (File No. 333-200448) which was declared effective by the SEC on December 11, 2014. There have been no material changes in the planned use of proceeds from the follow-on as described in the final prospectus filed with the SEC pursuant to Rule 424(b) on December 12, 2014.</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required by this Item is set forth in the Index to Exhibits immediately following this page.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60" w:right="4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980" w:type="dxa"/>
            <w:vAlign w:val="bottom"/>
            <w:gridSpan w:val="11"/>
          </w:tcPr>
          <w:p>
            <w:pPr>
              <w:ind w:left="46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Arial" w:cs="Arial" w:eastAsia="Arial" w:hAnsi="Arial"/>
                <w:sz w:val="14"/>
                <w:szCs w:val="14"/>
                <w:b w:val="1"/>
                <w:bCs w:val="1"/>
                <w:color w:val="auto"/>
              </w:rPr>
              <w:t>Exhibit Nos.</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980" w:type="dxa"/>
            <w:vAlign w:val="bottom"/>
            <w:gridSpan w:val="11"/>
          </w:tcPr>
          <w:p>
            <w:pPr>
              <w:ind w:left="17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29"/>
        </w:trPr>
        <w:tc>
          <w:tcPr>
            <w:tcW w:w="340" w:type="dxa"/>
            <w:vAlign w:val="bottom"/>
            <w:tcBorders>
              <w:top w:val="single" w:sz="8" w:color="auto"/>
            </w:tcBorders>
            <w:gridSpan w:val="3"/>
          </w:tcPr>
          <w:p>
            <w:pPr>
              <w:ind w:left="20"/>
              <w:spacing w:after="0"/>
              <w:rPr>
                <w:rFonts w:ascii="Arial" w:cs="Arial" w:eastAsia="Arial" w:hAnsi="Arial"/>
                <w:sz w:val="18"/>
                <w:szCs w:val="18"/>
                <w:color w:val="0000FF"/>
              </w:rPr>
            </w:pPr>
            <w:hyperlink r:id="rId56">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60" w:type="dxa"/>
            <w:vAlign w:val="bottom"/>
            <w:tcBorders>
              <w:top w:val="single" w:sz="8" w:color="auto"/>
            </w:tcBorders>
            <w:gridSpan w:val="16"/>
          </w:tcPr>
          <w:p>
            <w:pPr>
              <w:spacing w:after="0"/>
              <w:rPr>
                <w:rFonts w:ascii="Arial" w:cs="Arial" w:eastAsia="Arial" w:hAnsi="Arial"/>
                <w:sz w:val="18"/>
                <w:szCs w:val="18"/>
                <w:color w:val="0000FF"/>
                <w:w w:val="93"/>
              </w:rPr>
            </w:pPr>
            <w:hyperlink r:id="rId56">
              <w:r>
                <w:rPr>
                  <w:rFonts w:ascii="Arial" w:cs="Arial" w:eastAsia="Arial" w:hAnsi="Arial"/>
                  <w:sz w:val="18"/>
                  <w:szCs w:val="18"/>
                  <w:color w:val="0000FF"/>
                  <w:w w:val="93"/>
                </w:rPr>
                <w:t>Second Amended and Restated Certificate of Incorporation (filed as Exhibit 3.1 of Paylocity Holding Corporation’s Current Report on</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56">
              <w:r>
                <w:rPr>
                  <w:rFonts w:ascii="Arial" w:cs="Arial" w:eastAsia="Arial" w:hAnsi="Arial"/>
                  <w:sz w:val="18"/>
                  <w:szCs w:val="18"/>
                  <w:color w:val="0000FF"/>
                </w:rPr>
                <w:t>Form 8-K on December 3, 2021 (Registration No. 001-36348)).</w:t>
              </w:r>
            </w:hyperlink>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0" w:type="dxa"/>
            <w:vAlign w:val="bottom"/>
            <w:gridSpan w:val="3"/>
          </w:tcPr>
          <w:p>
            <w:pPr>
              <w:ind w:left="20"/>
              <w:spacing w:after="0"/>
              <w:rPr>
                <w:rFonts w:ascii="Arial" w:cs="Arial" w:eastAsia="Arial" w:hAnsi="Arial"/>
                <w:sz w:val="18"/>
                <w:szCs w:val="18"/>
                <w:color w:val="0000FF"/>
              </w:rPr>
            </w:pPr>
            <w:hyperlink r:id="rId57">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16"/>
          </w:tcPr>
          <w:p>
            <w:pPr>
              <w:spacing w:after="0"/>
              <w:rPr>
                <w:rFonts w:ascii="Arial" w:cs="Arial" w:eastAsia="Arial" w:hAnsi="Arial"/>
                <w:sz w:val="18"/>
                <w:szCs w:val="18"/>
                <w:color w:val="0000FF"/>
                <w:w w:val="97"/>
              </w:rPr>
            </w:pPr>
            <w:hyperlink r:id="rId57">
              <w:r>
                <w:rPr>
                  <w:rFonts w:ascii="Arial" w:cs="Arial" w:eastAsia="Arial" w:hAnsi="Arial"/>
                  <w:sz w:val="18"/>
                  <w:szCs w:val="18"/>
                  <w:color w:val="0000FF"/>
                  <w:w w:val="97"/>
                </w:rPr>
                <w:t>Second Amended and Restated Bylaws of Paylocity Holding Corporation (filed as Exhibit 3.2 of Paylocity Holding Corporation’s</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3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Current Report on Form 8-K on December 3, 2021 (File No. 001-36348)).</w:t>
              </w:r>
            </w:hyperlink>
          </w:p>
        </w:tc>
        <w:tc>
          <w:tcPr>
            <w:tcW w:w="400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00" w:type="dxa"/>
            <w:vAlign w:val="bottom"/>
            <w:gridSpan w:val="3"/>
          </w:tcPr>
          <w:p>
            <w:pPr>
              <w:spacing w:after="0"/>
              <w:rPr>
                <w:rFonts w:ascii="Arial" w:cs="Arial" w:eastAsia="Arial" w:hAnsi="Arial"/>
                <w:sz w:val="18"/>
                <w:szCs w:val="18"/>
                <w:color w:val="0000FF"/>
              </w:rPr>
            </w:pPr>
            <w:hyperlink r:id="rId58">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16"/>
          </w:tcPr>
          <w:p>
            <w:pPr>
              <w:spacing w:after="0"/>
              <w:rPr>
                <w:rFonts w:ascii="Arial" w:cs="Arial" w:eastAsia="Arial" w:hAnsi="Arial"/>
                <w:sz w:val="18"/>
                <w:szCs w:val="18"/>
                <w:color w:val="0000FF"/>
              </w:rPr>
            </w:pPr>
            <w:hyperlink r:id="rId58">
              <w:r>
                <w:rPr>
                  <w:rFonts w:ascii="Arial" w:cs="Arial" w:eastAsia="Arial" w:hAnsi="Arial"/>
                  <w:sz w:val="18"/>
                  <w:szCs w:val="18"/>
                  <w:color w:val="0000FF"/>
                </w:rPr>
                <w:t>Equity Purchase Agreement, dated as of August 31, 2021, among Paylocity Corporation, Blue Marble Payroll, LLC and the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4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9840" w:type="dxa"/>
            <w:vAlign w:val="bottom"/>
            <w:gridSpan w:val="15"/>
          </w:tcPr>
          <w:p>
            <w:pPr>
              <w:spacing w:after="0" w:line="156" w:lineRule="exact"/>
              <w:rPr>
                <w:rFonts w:ascii="Arial" w:cs="Arial" w:eastAsia="Arial" w:hAnsi="Arial"/>
                <w:sz w:val="18"/>
                <w:szCs w:val="18"/>
                <w:color w:val="0000FF"/>
                <w:w w:val="95"/>
              </w:rPr>
            </w:pPr>
            <w:hyperlink r:id="rId58">
              <w:r>
                <w:rPr>
                  <w:rFonts w:ascii="Arial" w:cs="Arial" w:eastAsia="Arial" w:hAnsi="Arial"/>
                  <w:sz w:val="18"/>
                  <w:szCs w:val="18"/>
                  <w:color w:val="0000FF"/>
                  <w:w w:val="95"/>
                </w:rPr>
                <w:t>Equityholders party thereto (filed as Exhibit 10.1 of Paylocity Holding Corporation’s Current Report on Form 8-K on September 1,</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6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58">
              <w:r>
                <w:rPr>
                  <w:rFonts w:ascii="Arial" w:cs="Arial" w:eastAsia="Arial" w:hAnsi="Arial"/>
                  <w:sz w:val="18"/>
                  <w:szCs w:val="18"/>
                  <w:color w:val="0000FF"/>
                </w:rPr>
                <w:t>2021 (File No. 001-36348)).*</w:t>
              </w:r>
            </w:hyperlink>
          </w:p>
        </w:tc>
        <w:tc>
          <w:tcPr>
            <w:tcW w:w="10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20" w:type="dxa"/>
            <w:vAlign w:val="bottom"/>
            <w:gridSpan w:val="5"/>
          </w:tcPr>
          <w:p>
            <w:pPr>
              <w:ind w:left="20"/>
              <w:spacing w:after="0"/>
              <w:rPr>
                <w:rFonts w:ascii="Arial" w:cs="Arial" w:eastAsia="Arial" w:hAnsi="Arial"/>
                <w:sz w:val="18"/>
                <w:szCs w:val="18"/>
                <w:color w:val="0000FF"/>
              </w:rPr>
            </w:pPr>
            <w:hyperlink w:anchor="page39">
              <w:r>
                <w:rPr>
                  <w:rFonts w:ascii="Arial" w:cs="Arial" w:eastAsia="Arial" w:hAnsi="Arial"/>
                  <w:sz w:val="18"/>
                  <w:szCs w:val="18"/>
                  <w:color w:val="0000FF"/>
                </w:rPr>
                <w:t>31.</w:t>
              </w:r>
            </w:hyperlink>
            <w:r>
              <w:rPr>
                <w:rFonts w:ascii="Arial" w:cs="Arial" w:eastAsia="Arial" w:hAnsi="Arial"/>
                <w:sz w:val="18"/>
                <w:szCs w:val="18"/>
                <w:u w:val="single" w:color="auto"/>
                <w:color w:val="0000FF"/>
              </w:rPr>
              <w:t>1**</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16"/>
          </w:tcPr>
          <w:p>
            <w:pPr>
              <w:spacing w:after="0"/>
              <w:rPr>
                <w:rFonts w:ascii="Arial" w:cs="Arial" w:eastAsia="Arial" w:hAnsi="Arial"/>
                <w:sz w:val="18"/>
                <w:szCs w:val="18"/>
                <w:color w:val="0000FF"/>
                <w:w w:val="93"/>
              </w:rPr>
            </w:pPr>
            <w:hyperlink w:anchor="page39">
              <w:r>
                <w:rPr>
                  <w:rFonts w:ascii="Arial" w:cs="Arial" w:eastAsia="Arial" w:hAnsi="Arial"/>
                  <w:sz w:val="18"/>
                  <w:szCs w:val="18"/>
                  <w:color w:val="0000FF"/>
                  <w:w w:val="93"/>
                </w:rPr>
                <w:t>Certification of Chief Executive Officer pursuant to Securities Exchange Act Rules 13a-4 and 15d-14 as adopted pursuant to Section</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w:anchor="page39">
              <w:r>
                <w:rPr>
                  <w:rFonts w:ascii="Arial" w:cs="Arial" w:eastAsia="Arial" w:hAnsi="Arial"/>
                  <w:sz w:val="18"/>
                  <w:szCs w:val="18"/>
                  <w:color w:val="0000FF"/>
                </w:rPr>
                <w:t>302 of the Sarbanes-Oxley Act of 2002.</w:t>
              </w:r>
            </w:hyperlink>
          </w:p>
        </w:tc>
        <w:tc>
          <w:tcPr>
            <w:tcW w:w="2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20" w:type="dxa"/>
            <w:vAlign w:val="bottom"/>
            <w:gridSpan w:val="5"/>
          </w:tcPr>
          <w:p>
            <w:pPr>
              <w:ind w:left="20"/>
              <w:spacing w:after="0"/>
              <w:rPr>
                <w:rFonts w:ascii="Arial" w:cs="Arial" w:eastAsia="Arial" w:hAnsi="Arial"/>
                <w:sz w:val="18"/>
                <w:szCs w:val="18"/>
                <w:color w:val="0000FF"/>
              </w:rPr>
            </w:pPr>
            <w:hyperlink w:anchor="page40">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16"/>
          </w:tcPr>
          <w:p>
            <w:pPr>
              <w:spacing w:after="0"/>
              <w:rPr>
                <w:rFonts w:ascii="Arial" w:cs="Arial" w:eastAsia="Arial" w:hAnsi="Arial"/>
                <w:sz w:val="18"/>
                <w:szCs w:val="18"/>
                <w:color w:val="0000FF"/>
                <w:w w:val="91"/>
              </w:rPr>
            </w:pPr>
            <w:hyperlink w:anchor="page40">
              <w:r>
                <w:rPr>
                  <w:rFonts w:ascii="Arial" w:cs="Arial" w:eastAsia="Arial" w:hAnsi="Arial"/>
                  <w:sz w:val="18"/>
                  <w:szCs w:val="18"/>
                  <w:color w:val="0000FF"/>
                  <w:w w:val="91"/>
                </w:rPr>
                <w:t>Certification of Chief Financial Officer pursuant to Securities Exchange Act Rules 13a-4 and 15d-14 as adopted pursuant to Section 302</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2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w:anchor="page40">
              <w:r>
                <w:rPr>
                  <w:rFonts w:ascii="Arial" w:cs="Arial" w:eastAsia="Arial" w:hAnsi="Arial"/>
                  <w:sz w:val="18"/>
                  <w:szCs w:val="18"/>
                  <w:color w:val="0000FF"/>
                </w:rPr>
                <w:t>of the Sarbanes-Oxley Act of 2002.</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67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80" w:type="dxa"/>
            <w:vAlign w:val="bottom"/>
            <w:gridSpan w:val="6"/>
          </w:tcPr>
          <w:p>
            <w:pPr>
              <w:ind w:left="20"/>
              <w:spacing w:after="0"/>
              <w:rPr>
                <w:rFonts w:ascii="Arial" w:cs="Arial" w:eastAsia="Arial" w:hAnsi="Arial"/>
                <w:sz w:val="18"/>
                <w:szCs w:val="18"/>
                <w:color w:val="0000FF"/>
              </w:rPr>
            </w:pPr>
            <w:hyperlink w:anchor="page41">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100" w:type="dxa"/>
            <w:vAlign w:val="bottom"/>
          </w:tcPr>
          <w:p>
            <w:pPr>
              <w:spacing w:after="0"/>
              <w:rPr>
                <w:sz w:val="22"/>
                <w:szCs w:val="22"/>
                <w:color w:val="auto"/>
              </w:rPr>
            </w:pPr>
          </w:p>
        </w:tc>
        <w:tc>
          <w:tcPr>
            <w:tcW w:w="9860" w:type="dxa"/>
            <w:vAlign w:val="bottom"/>
            <w:gridSpan w:val="16"/>
          </w:tcPr>
          <w:p>
            <w:pPr>
              <w:spacing w:after="0"/>
              <w:rPr>
                <w:rFonts w:ascii="Arial" w:cs="Arial" w:eastAsia="Arial" w:hAnsi="Arial"/>
                <w:sz w:val="18"/>
                <w:szCs w:val="18"/>
                <w:color w:val="0000FF"/>
                <w:w w:val="95"/>
              </w:rPr>
            </w:pPr>
            <w:hyperlink w:anchor="page41">
              <w:r>
                <w:rPr>
                  <w:rFonts w:ascii="Arial" w:cs="Arial" w:eastAsia="Arial" w:hAnsi="Arial"/>
                  <w:sz w:val="18"/>
                  <w:szCs w:val="18"/>
                  <w:color w:val="0000FF"/>
                  <w:w w:val="95"/>
                </w:rPr>
                <w:t>Certification pursuant to 18 U.S.C. 1350, adopted pursuant to Section 906 of the Sarbanes-Oxley Act of 2002, by Chief Executive</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41">
              <w:r>
                <w:rPr>
                  <w:rFonts w:ascii="Arial" w:cs="Arial" w:eastAsia="Arial" w:hAnsi="Arial"/>
                  <w:sz w:val="18"/>
                  <w:szCs w:val="18"/>
                  <w:color w:val="0000FF"/>
                </w:rPr>
                <w:t>Officer.</w:t>
              </w:r>
            </w:hyperlink>
          </w:p>
        </w:tc>
        <w:tc>
          <w:tcPr>
            <w:tcW w:w="48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760" w:type="dxa"/>
            <w:vAlign w:val="bottom"/>
            <w:gridSpan w:val="7"/>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80" w:type="dxa"/>
            <w:vAlign w:val="bottom"/>
            <w:gridSpan w:val="6"/>
          </w:tcPr>
          <w:p>
            <w:pPr>
              <w:ind w:left="20"/>
              <w:spacing w:after="0"/>
              <w:rPr>
                <w:rFonts w:ascii="Arial" w:cs="Arial" w:eastAsia="Arial" w:hAnsi="Arial"/>
                <w:sz w:val="18"/>
                <w:szCs w:val="18"/>
                <w:color w:val="0000FF"/>
              </w:rPr>
            </w:pPr>
            <w:hyperlink w:anchor="page42">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100" w:type="dxa"/>
            <w:vAlign w:val="bottom"/>
          </w:tcPr>
          <w:p>
            <w:pPr>
              <w:spacing w:after="0"/>
              <w:rPr>
                <w:sz w:val="22"/>
                <w:szCs w:val="22"/>
                <w:color w:val="auto"/>
              </w:rPr>
            </w:pPr>
          </w:p>
        </w:tc>
        <w:tc>
          <w:tcPr>
            <w:tcW w:w="9860" w:type="dxa"/>
            <w:vAlign w:val="bottom"/>
            <w:gridSpan w:val="16"/>
          </w:tcPr>
          <w:p>
            <w:pPr>
              <w:spacing w:after="0"/>
              <w:rPr>
                <w:rFonts w:ascii="Arial" w:cs="Arial" w:eastAsia="Arial" w:hAnsi="Arial"/>
                <w:sz w:val="18"/>
                <w:szCs w:val="18"/>
                <w:color w:val="0000FF"/>
                <w:w w:val="96"/>
              </w:rPr>
            </w:pPr>
            <w:hyperlink w:anchor="page42">
              <w:r>
                <w:rPr>
                  <w:rFonts w:ascii="Arial" w:cs="Arial" w:eastAsia="Arial" w:hAnsi="Arial"/>
                  <w:sz w:val="18"/>
                  <w:szCs w:val="18"/>
                  <w:color w:val="0000FF"/>
                  <w:w w:val="96"/>
                </w:rPr>
                <w:t>Certification pursuant to 18 U.S.C. 1350, adopted pursuant to Section 906 of the Sarbanes-Oxley Act of 2002, by Chief Financial</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42">
              <w:r>
                <w:rPr>
                  <w:rFonts w:ascii="Arial" w:cs="Arial" w:eastAsia="Arial" w:hAnsi="Arial"/>
                  <w:sz w:val="18"/>
                  <w:szCs w:val="18"/>
                  <w:color w:val="0000FF"/>
                </w:rPr>
                <w:t>Officer.</w:t>
              </w:r>
            </w:hyperlink>
          </w:p>
        </w:tc>
        <w:tc>
          <w:tcPr>
            <w:tcW w:w="5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30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360" w:type="dxa"/>
            <w:vAlign w:val="bottom"/>
            <w:gridSpan w:val="6"/>
          </w:tcPr>
          <w:p>
            <w:pPr>
              <w:spacing w:after="0"/>
              <w:rPr>
                <w:sz w:val="20"/>
                <w:szCs w:val="20"/>
                <w:color w:val="auto"/>
              </w:rPr>
            </w:pPr>
            <w:r>
              <w:rPr>
                <w:rFonts w:ascii="Arial" w:cs="Arial" w:eastAsia="Arial" w:hAnsi="Arial"/>
                <w:sz w:val="18"/>
                <w:szCs w:val="18"/>
                <w:color w:val="auto"/>
              </w:rPr>
              <w:t>101.INS**</w:t>
            </w:r>
          </w:p>
        </w:tc>
        <w:tc>
          <w:tcPr>
            <w:tcW w:w="9860" w:type="dxa"/>
            <w:vAlign w:val="bottom"/>
            <w:gridSpan w:val="16"/>
          </w:tcPr>
          <w:p>
            <w:pPr>
              <w:spacing w:after="0"/>
              <w:rPr>
                <w:sz w:val="20"/>
                <w:szCs w:val="20"/>
                <w:color w:val="auto"/>
              </w:rPr>
            </w:pPr>
            <w:r>
              <w:rPr>
                <w:rFonts w:ascii="Arial" w:cs="Arial" w:eastAsia="Arial" w:hAnsi="Arial"/>
                <w:sz w:val="18"/>
                <w:szCs w:val="18"/>
                <w:color w:val="auto"/>
                <w:w w:val="93"/>
              </w:rPr>
              <w:t>XBRL Instance Document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60" w:type="dxa"/>
            <w:vAlign w:val="bottom"/>
            <w:gridSpan w:val="16"/>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Arial" w:cs="Arial" w:eastAsia="Arial" w:hAnsi="Arial"/>
                <w:sz w:val="18"/>
                <w:szCs w:val="18"/>
                <w:color w:val="auto"/>
              </w:rPr>
              <w:t>101.SCH**</w:t>
            </w:r>
          </w:p>
        </w:tc>
        <w:tc>
          <w:tcPr>
            <w:tcW w:w="9860" w:type="dxa"/>
            <w:vAlign w:val="bottom"/>
            <w:gridSpan w:val="16"/>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Arial" w:cs="Arial" w:eastAsia="Arial" w:hAnsi="Arial"/>
                <w:sz w:val="18"/>
                <w:szCs w:val="18"/>
                <w:color w:val="auto"/>
              </w:rPr>
              <w:t>101.CAL**</w:t>
            </w:r>
          </w:p>
        </w:tc>
        <w:tc>
          <w:tcPr>
            <w:tcW w:w="9860" w:type="dxa"/>
            <w:vAlign w:val="bottom"/>
            <w:gridSpan w:val="1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Arial" w:cs="Arial" w:eastAsia="Arial" w:hAnsi="Arial"/>
                <w:sz w:val="18"/>
                <w:szCs w:val="18"/>
                <w:color w:val="auto"/>
              </w:rPr>
              <w:t>101.DEF**</w:t>
            </w:r>
          </w:p>
        </w:tc>
        <w:tc>
          <w:tcPr>
            <w:tcW w:w="9860" w:type="dxa"/>
            <w:vAlign w:val="bottom"/>
            <w:gridSpan w:val="1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Arial" w:cs="Arial" w:eastAsia="Arial" w:hAnsi="Arial"/>
                <w:sz w:val="18"/>
                <w:szCs w:val="18"/>
                <w:color w:val="auto"/>
              </w:rPr>
              <w:t>101.LAB**</w:t>
            </w:r>
          </w:p>
        </w:tc>
        <w:tc>
          <w:tcPr>
            <w:tcW w:w="9860" w:type="dxa"/>
            <w:vAlign w:val="bottom"/>
            <w:gridSpan w:val="16"/>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Arial" w:cs="Arial" w:eastAsia="Arial" w:hAnsi="Arial"/>
                <w:sz w:val="18"/>
                <w:szCs w:val="18"/>
                <w:color w:val="auto"/>
              </w:rPr>
              <w:t>101.PRE**</w:t>
            </w:r>
          </w:p>
        </w:tc>
        <w:tc>
          <w:tcPr>
            <w:tcW w:w="9860" w:type="dxa"/>
            <w:vAlign w:val="bottom"/>
            <w:gridSpan w:val="16"/>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83"/>
        </w:trPr>
        <w:tc>
          <w:tcPr>
            <w:tcW w:w="520" w:type="dxa"/>
            <w:vAlign w:val="bottom"/>
            <w:gridSpan w:val="4"/>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60" w:type="dxa"/>
            <w:vAlign w:val="bottom"/>
            <w:gridSpan w:val="16"/>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9970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660" w:right="20" w:hanging="652"/>
        <w:spacing w:after="0" w:line="258" w:lineRule="auto"/>
        <w:tabs>
          <w:tab w:leader="none" w:pos="2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exhibits and schedules have been omitted in accordance with Regulation S-K Item 601(a)(5). The Company agrees to furnish to the SEC a copy of any omitted exhibits or schedules upon request of the SEC.</w:t>
      </w:r>
    </w:p>
    <w:p>
      <w:pPr>
        <w:spacing w:after="0" w:line="1"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7480" w:type="dxa"/>
            <w:vAlign w:val="bottom"/>
            <w:gridSpan w:val="2"/>
          </w:tcPr>
          <w:p>
            <w:pPr>
              <w:ind w:left="1840"/>
              <w:spacing w:after="0"/>
              <w:rPr>
                <w:sz w:val="20"/>
                <w:szCs w:val="20"/>
                <w:color w:val="auto"/>
              </w:rPr>
            </w:pPr>
            <w:r>
              <w:rPr>
                <w:rFonts w:ascii="Arial" w:cs="Arial" w:eastAsia="Arial" w:hAnsi="Arial"/>
                <w:sz w:val="18"/>
                <w:szCs w:val="18"/>
                <w:color w:val="auto"/>
              </w:rPr>
              <w:t>PAYLOCITY HOLDING CORPORATION</w:t>
            </w:r>
          </w:p>
        </w:tc>
      </w:tr>
      <w:tr>
        <w:trPr>
          <w:trHeight w:val="283"/>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180" w:type="dxa"/>
            <w:vAlign w:val="bottom"/>
          </w:tcPr>
          <w:p>
            <w:pPr>
              <w:ind w:left="140"/>
              <w:spacing w:after="0"/>
              <w:rPr>
                <w:sz w:val="20"/>
                <w:szCs w:val="20"/>
                <w:color w:val="auto"/>
              </w:rPr>
            </w:pPr>
            <w:r>
              <w:rPr>
                <w:rFonts w:ascii="Arial" w:cs="Arial" w:eastAsia="Arial" w:hAnsi="Arial"/>
                <w:sz w:val="18"/>
                <w:szCs w:val="18"/>
                <w:color w:val="auto"/>
              </w:rPr>
              <w:t>February 4, 2022</w:t>
            </w:r>
          </w:p>
        </w:tc>
        <w:tc>
          <w:tcPr>
            <w:tcW w:w="2580" w:type="dxa"/>
            <w:vAlign w:val="bottom"/>
          </w:tcPr>
          <w:p>
            <w:pPr>
              <w:ind w:left="184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Steven R. Beauchamp</w:t>
            </w:r>
          </w:p>
        </w:tc>
      </w:tr>
      <w:tr>
        <w:trPr>
          <w:trHeight w:val="218"/>
        </w:trPr>
        <w:tc>
          <w:tcPr>
            <w:tcW w:w="5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580" w:type="dxa"/>
            <w:vAlign w:val="bottom"/>
          </w:tcPr>
          <w:p>
            <w:pPr>
              <w:ind w:left="1840"/>
              <w:spacing w:after="0"/>
              <w:rPr>
                <w:sz w:val="20"/>
                <w:szCs w:val="20"/>
                <w:color w:val="auto"/>
              </w:rPr>
            </w:pPr>
            <w:r>
              <w:rPr>
                <w:rFonts w:ascii="Arial" w:cs="Arial" w:eastAsia="Arial" w:hAnsi="Arial"/>
                <w:sz w:val="18"/>
                <w:szCs w:val="18"/>
                <w:b w:val="1"/>
                <w:bCs w:val="1"/>
                <w:color w:val="auto"/>
              </w:rPr>
              <w:t>Name:</w:t>
            </w:r>
          </w:p>
        </w:tc>
        <w:tc>
          <w:tcPr>
            <w:tcW w:w="4900" w:type="dxa"/>
            <w:vAlign w:val="bottom"/>
          </w:tcPr>
          <w:p>
            <w:pPr>
              <w:jc w:val="center"/>
              <w:spacing w:after="0"/>
              <w:rPr>
                <w:sz w:val="20"/>
                <w:szCs w:val="20"/>
                <w:color w:val="auto"/>
              </w:rPr>
            </w:pPr>
            <w:r>
              <w:rPr>
                <w:rFonts w:ascii="Arial" w:cs="Arial" w:eastAsia="Arial" w:hAnsi="Arial"/>
                <w:sz w:val="18"/>
                <w:szCs w:val="18"/>
                <w:b w:val="1"/>
                <w:bCs w:val="1"/>
                <w:color w:val="auto"/>
                <w:w w:val="89"/>
              </w:rPr>
              <w:t>Steven R. Beauchamp</w:t>
            </w:r>
          </w:p>
        </w:tc>
      </w:tr>
      <w:tr>
        <w:trPr>
          <w:trHeight w:val="180"/>
        </w:trPr>
        <w:tc>
          <w:tcPr>
            <w:tcW w:w="5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580" w:type="dxa"/>
            <w:vAlign w:val="bottom"/>
          </w:tcPr>
          <w:p>
            <w:pPr>
              <w:ind w:left="1840"/>
              <w:spacing w:after="0" w:line="181" w:lineRule="exact"/>
              <w:rPr>
                <w:sz w:val="20"/>
                <w:szCs w:val="20"/>
                <w:color w:val="auto"/>
              </w:rPr>
            </w:pPr>
            <w:r>
              <w:rPr>
                <w:rFonts w:ascii="Arial" w:cs="Arial" w:eastAsia="Arial" w:hAnsi="Arial"/>
                <w:sz w:val="18"/>
                <w:szCs w:val="18"/>
                <w:b w:val="1"/>
                <w:bCs w:val="1"/>
                <w:color w:val="auto"/>
              </w:rPr>
              <w:t>Title:</w:t>
            </w:r>
          </w:p>
        </w:tc>
        <w:tc>
          <w:tcPr>
            <w:tcW w:w="490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2"/>
              </w:rPr>
              <w:t>Chief Executive Officer (Principal Executive Officer) and</w:t>
            </w:r>
          </w:p>
        </w:tc>
      </w:tr>
      <w:tr>
        <w:trPr>
          <w:trHeight w:val="234"/>
        </w:trPr>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b w:val="1"/>
                <w:bCs w:val="1"/>
                <w:color w:val="auto"/>
                <w:w w:val="95"/>
              </w:rPr>
              <w:t>Director</w:t>
            </w:r>
          </w:p>
        </w:tc>
      </w:tr>
      <w:tr>
        <w:trPr>
          <w:trHeight w:val="279"/>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180" w:type="dxa"/>
            <w:vAlign w:val="bottom"/>
          </w:tcPr>
          <w:p>
            <w:pPr>
              <w:ind w:left="140"/>
              <w:spacing w:after="0"/>
              <w:rPr>
                <w:sz w:val="20"/>
                <w:szCs w:val="20"/>
                <w:color w:val="auto"/>
              </w:rPr>
            </w:pPr>
            <w:r>
              <w:rPr>
                <w:rFonts w:ascii="Arial" w:cs="Arial" w:eastAsia="Arial" w:hAnsi="Arial"/>
                <w:sz w:val="18"/>
                <w:szCs w:val="18"/>
                <w:color w:val="auto"/>
              </w:rPr>
              <w:t>February 4, 2022</w:t>
            </w:r>
          </w:p>
        </w:tc>
        <w:tc>
          <w:tcPr>
            <w:tcW w:w="2580" w:type="dxa"/>
            <w:vAlign w:val="bottom"/>
          </w:tcPr>
          <w:p>
            <w:pPr>
              <w:ind w:left="184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Toby J. Williams</w:t>
            </w:r>
          </w:p>
        </w:tc>
      </w:tr>
      <w:tr>
        <w:trPr>
          <w:trHeight w:val="218"/>
        </w:trPr>
        <w:tc>
          <w:tcPr>
            <w:tcW w:w="5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580" w:type="dxa"/>
            <w:vAlign w:val="bottom"/>
          </w:tcPr>
          <w:p>
            <w:pPr>
              <w:ind w:left="1840"/>
              <w:spacing w:after="0"/>
              <w:rPr>
                <w:sz w:val="20"/>
                <w:szCs w:val="20"/>
                <w:color w:val="auto"/>
              </w:rPr>
            </w:pPr>
            <w:r>
              <w:rPr>
                <w:rFonts w:ascii="Arial" w:cs="Arial" w:eastAsia="Arial" w:hAnsi="Arial"/>
                <w:sz w:val="18"/>
                <w:szCs w:val="18"/>
                <w:b w:val="1"/>
                <w:bCs w:val="1"/>
                <w:color w:val="auto"/>
              </w:rPr>
              <w:t>Name:</w:t>
            </w:r>
          </w:p>
        </w:tc>
        <w:tc>
          <w:tcPr>
            <w:tcW w:w="4900" w:type="dxa"/>
            <w:vAlign w:val="bottom"/>
          </w:tcPr>
          <w:p>
            <w:pPr>
              <w:jc w:val="center"/>
              <w:spacing w:after="0"/>
              <w:rPr>
                <w:sz w:val="20"/>
                <w:szCs w:val="20"/>
                <w:color w:val="auto"/>
              </w:rPr>
            </w:pPr>
            <w:r>
              <w:rPr>
                <w:rFonts w:ascii="Arial" w:cs="Arial" w:eastAsia="Arial" w:hAnsi="Arial"/>
                <w:sz w:val="18"/>
                <w:szCs w:val="18"/>
                <w:b w:val="1"/>
                <w:bCs w:val="1"/>
                <w:color w:val="auto"/>
                <w:w w:val="92"/>
              </w:rPr>
              <w:t>Toby J. Williams</w:t>
            </w:r>
          </w:p>
        </w:tc>
      </w:tr>
      <w:tr>
        <w:trPr>
          <w:trHeight w:val="234"/>
        </w:trPr>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580" w:type="dxa"/>
            <w:vAlign w:val="bottom"/>
          </w:tcPr>
          <w:p>
            <w:pPr>
              <w:ind w:left="1840"/>
              <w:spacing w:after="0"/>
              <w:rPr>
                <w:sz w:val="20"/>
                <w:szCs w:val="20"/>
                <w:color w:val="auto"/>
              </w:rPr>
            </w:pPr>
            <w:r>
              <w:rPr>
                <w:rFonts w:ascii="Arial" w:cs="Arial" w:eastAsia="Arial" w:hAnsi="Arial"/>
                <w:sz w:val="18"/>
                <w:szCs w:val="18"/>
                <w:b w:val="1"/>
                <w:bCs w:val="1"/>
                <w:color w:val="auto"/>
              </w:rPr>
              <w:t>Title:</w:t>
            </w:r>
          </w:p>
        </w:tc>
        <w:tc>
          <w:tcPr>
            <w:tcW w:w="490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 (Principal Financial Officer)</w:t>
            </w:r>
          </w:p>
        </w:tc>
      </w:tr>
      <w:tr>
        <w:trPr>
          <w:trHeight w:val="904"/>
        </w:trPr>
        <w:tc>
          <w:tcPr>
            <w:tcW w:w="5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580" w:type="dxa"/>
            <w:vAlign w:val="bottom"/>
          </w:tcPr>
          <w:p>
            <w:pPr>
              <w:ind w:left="1800"/>
              <w:spacing w:after="0"/>
              <w:rPr>
                <w:sz w:val="20"/>
                <w:szCs w:val="20"/>
                <w:color w:val="auto"/>
              </w:rPr>
            </w:pPr>
            <w:r>
              <w:rPr>
                <w:rFonts w:ascii="Arial" w:cs="Arial" w:eastAsia="Arial" w:hAnsi="Arial"/>
                <w:sz w:val="18"/>
                <w:szCs w:val="18"/>
                <w:color w:val="auto"/>
              </w:rPr>
              <w:t>37</w:t>
            </w:r>
          </w:p>
        </w:tc>
        <w:tc>
          <w:tcPr>
            <w:tcW w:w="4900" w:type="dxa"/>
            <w:vAlign w:val="bottom"/>
          </w:tcPr>
          <w:p>
            <w:pPr>
              <w:spacing w:after="0"/>
              <w:rPr>
                <w:sz w:val="24"/>
                <w:szCs w:val="24"/>
                <w:color w:val="auto"/>
              </w:rPr>
            </w:pPr>
          </w:p>
        </w:tc>
      </w:tr>
    </w:tbl>
    <w:p>
      <w:pPr>
        <w:sectPr>
          <w:pgSz w:w="11900" w:h="16838" w:orient="portrait"/>
          <w:cols w:equalWidth="0" w:num="1">
            <w:col w:w="11220"/>
          </w:cols>
          <w:pgMar w:left="320" w:top="260" w:right="35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Steven R. Beauchamp, certify that:</w:t>
      </w:r>
    </w:p>
    <w:p>
      <w:pPr>
        <w:spacing w:after="0" w:line="185" w:lineRule="exact"/>
        <w:rPr>
          <w:sz w:val="20"/>
          <w:szCs w:val="20"/>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Paylocity Holding Corporation (the “Company”);</w:t>
      </w:r>
    </w:p>
    <w:p>
      <w:pPr>
        <w:spacing w:after="0" w:line="198" w:lineRule="exact"/>
        <w:rPr>
          <w:rFonts w:ascii="Arial" w:cs="Arial" w:eastAsia="Arial" w:hAnsi="Arial"/>
          <w:sz w:val="18"/>
          <w:szCs w:val="18"/>
          <w:color w:val="auto"/>
        </w:rPr>
      </w:pPr>
    </w:p>
    <w:p>
      <w:pPr>
        <w:ind w:left="340" w:right="80" w:firstLine="640"/>
        <w:spacing w:after="0" w:line="263" w:lineRule="auto"/>
        <w:tabs>
          <w:tab w:leader="none" w:pos="13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320" w:firstLine="640"/>
        <w:spacing w:after="0" w:line="342" w:lineRule="auto"/>
        <w:tabs>
          <w:tab w:leader="none" w:pos="1312"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340" w:right="40" w:firstLine="640"/>
        <w:spacing w:after="0" w:line="291" w:lineRule="auto"/>
        <w:tabs>
          <w:tab w:leader="none" w:pos="1312"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3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83" w:lineRule="exact"/>
        <w:rPr>
          <w:rFonts w:ascii="Arial" w:cs="Arial" w:eastAsia="Arial" w:hAnsi="Arial"/>
          <w:sz w:val="16"/>
          <w:szCs w:val="16"/>
          <w:color w:val="auto"/>
        </w:rPr>
      </w:pPr>
    </w:p>
    <w:p>
      <w:pPr>
        <w:ind w:left="980" w:right="200" w:firstLine="648"/>
        <w:spacing w:after="0" w:line="286" w:lineRule="auto"/>
        <w:tabs>
          <w:tab w:leader="none" w:pos="1942"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ind w:left="980" w:right="220" w:firstLine="648"/>
        <w:spacing w:after="0" w:line="263" w:lineRule="auto"/>
        <w:tabs>
          <w:tab w:leader="none" w:pos="1952"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980" w:right="140" w:firstLine="648"/>
        <w:spacing w:after="0" w:line="263" w:lineRule="auto"/>
        <w:tabs>
          <w:tab w:leader="none" w:pos="1942"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8"/>
          <w:szCs w:val="18"/>
          <w:color w:val="auto"/>
        </w:rPr>
      </w:pPr>
    </w:p>
    <w:p>
      <w:pPr>
        <w:ind w:left="980" w:right="300" w:firstLine="648"/>
        <w:spacing w:after="0" w:line="263" w:lineRule="auto"/>
        <w:tabs>
          <w:tab w:leader="none" w:pos="1952"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fiscal quarter ended December 31, 2021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right="280" w:firstLine="640"/>
        <w:spacing w:after="0" w:line="342" w:lineRule="auto"/>
        <w:tabs>
          <w:tab w:leader="none" w:pos="1312"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980" w:right="80" w:firstLine="648"/>
        <w:spacing w:after="0" w:line="342" w:lineRule="auto"/>
        <w:tabs>
          <w:tab w:leader="none" w:pos="1942"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980" w:right="80" w:firstLine="648"/>
        <w:spacing w:after="0" w:line="277" w:lineRule="auto"/>
        <w:tabs>
          <w:tab w:leader="none" w:pos="1952"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Date: February 4, 2022</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Steven R. Beauchamp</w:t>
            </w:r>
          </w:p>
        </w:tc>
      </w:tr>
      <w:tr>
        <w:trPr>
          <w:trHeight w:val="399"/>
        </w:trPr>
        <w:tc>
          <w:tcPr>
            <w:tcW w:w="5960" w:type="dxa"/>
            <w:vAlign w:val="bottom"/>
          </w:tcPr>
          <w:p>
            <w:pPr>
              <w:ind w:left="5220"/>
              <w:spacing w:after="0"/>
              <w:rPr>
                <w:sz w:val="20"/>
                <w:szCs w:val="20"/>
                <w:color w:val="auto"/>
              </w:rPr>
            </w:pPr>
            <w:r>
              <w:rPr>
                <w:rFonts w:ascii="Arial" w:cs="Arial" w:eastAsia="Arial" w:hAnsi="Arial"/>
                <w:sz w:val="18"/>
                <w:szCs w:val="18"/>
                <w:b w:val="1"/>
                <w:bCs w:val="1"/>
                <w:color w:val="auto"/>
              </w:rPr>
              <w:t>Name:</w:t>
            </w:r>
          </w:p>
        </w:tc>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88"/>
              </w:rPr>
              <w:t>Steven R. Beauchamp</w:t>
            </w:r>
          </w:p>
        </w:tc>
      </w:tr>
      <w:tr>
        <w:trPr>
          <w:trHeight w:val="405"/>
        </w:trPr>
        <w:tc>
          <w:tcPr>
            <w:tcW w:w="5960" w:type="dxa"/>
            <w:vAlign w:val="bottom"/>
          </w:tcPr>
          <w:p>
            <w:pPr>
              <w:ind w:left="5220"/>
              <w:spacing w:after="0"/>
              <w:rPr>
                <w:sz w:val="20"/>
                <w:szCs w:val="20"/>
                <w:color w:val="auto"/>
              </w:rPr>
            </w:pPr>
            <w:r>
              <w:rPr>
                <w:rFonts w:ascii="Arial" w:cs="Arial" w:eastAsia="Arial" w:hAnsi="Arial"/>
                <w:sz w:val="18"/>
                <w:szCs w:val="18"/>
                <w:b w:val="1"/>
                <w:bCs w:val="1"/>
                <w:color w:val="auto"/>
              </w:rPr>
              <w:t>Title:</w:t>
            </w:r>
          </w:p>
        </w:tc>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 (Principal Executive Officer) and Director</w:t>
            </w:r>
          </w:p>
        </w:tc>
      </w:tr>
    </w:tbl>
    <w:p>
      <w:pPr>
        <w:sectPr>
          <w:pgSz w:w="11900" w:h="16838" w:orient="portrait"/>
          <w:cols w:equalWidth="0" w:num="1">
            <w:col w:w="11240"/>
          </w:cols>
          <w:pgMar w:left="320" w:top="1107"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Toby J. Williams, certify that:</w:t>
      </w:r>
    </w:p>
    <w:p>
      <w:pPr>
        <w:spacing w:after="0" w:line="185"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Paylocity Holding Corporation (the “Company”);</w:t>
      </w:r>
    </w:p>
    <w:p>
      <w:pPr>
        <w:spacing w:after="0" w:line="198" w:lineRule="exact"/>
        <w:rPr>
          <w:rFonts w:ascii="Arial" w:cs="Arial" w:eastAsia="Arial" w:hAnsi="Arial"/>
          <w:sz w:val="18"/>
          <w:szCs w:val="18"/>
          <w:color w:val="auto"/>
        </w:rPr>
      </w:pPr>
    </w:p>
    <w:p>
      <w:pPr>
        <w:ind w:left="340" w:right="80" w:firstLine="640"/>
        <w:spacing w:after="0" w:line="263" w:lineRule="auto"/>
        <w:tabs>
          <w:tab w:leader="none" w:pos="1312"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320" w:firstLine="640"/>
        <w:spacing w:after="0" w:line="342" w:lineRule="auto"/>
        <w:tabs>
          <w:tab w:leader="none" w:pos="1312"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340" w:right="40" w:firstLine="640"/>
        <w:spacing w:after="0" w:line="291" w:lineRule="auto"/>
        <w:tabs>
          <w:tab w:leader="none" w:pos="1312"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3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83" w:lineRule="exact"/>
        <w:rPr>
          <w:rFonts w:ascii="Arial" w:cs="Arial" w:eastAsia="Arial" w:hAnsi="Arial"/>
          <w:sz w:val="16"/>
          <w:szCs w:val="16"/>
          <w:color w:val="auto"/>
        </w:rPr>
      </w:pPr>
    </w:p>
    <w:p>
      <w:pPr>
        <w:ind w:left="980" w:right="200" w:firstLine="648"/>
        <w:spacing w:after="0" w:line="286" w:lineRule="auto"/>
        <w:tabs>
          <w:tab w:leader="none" w:pos="1942"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ind w:left="980" w:right="220" w:firstLine="648"/>
        <w:spacing w:after="0" w:line="263" w:lineRule="auto"/>
        <w:tabs>
          <w:tab w:leader="none" w:pos="1952"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980" w:right="140" w:firstLine="648"/>
        <w:spacing w:after="0" w:line="263" w:lineRule="auto"/>
        <w:tabs>
          <w:tab w:leader="none" w:pos="1942"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8"/>
          <w:szCs w:val="18"/>
          <w:color w:val="auto"/>
        </w:rPr>
      </w:pPr>
    </w:p>
    <w:p>
      <w:pPr>
        <w:ind w:left="980" w:right="300" w:firstLine="648"/>
        <w:spacing w:after="0" w:line="263" w:lineRule="auto"/>
        <w:tabs>
          <w:tab w:leader="none" w:pos="1952"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fiscal quarter ended December 31, 2021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right="280" w:firstLine="640"/>
        <w:spacing w:after="0" w:line="342" w:lineRule="auto"/>
        <w:tabs>
          <w:tab w:leader="none" w:pos="1312"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980" w:right="80" w:firstLine="648"/>
        <w:spacing w:after="0" w:line="342" w:lineRule="auto"/>
        <w:tabs>
          <w:tab w:leader="none" w:pos="1942"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980" w:right="80" w:firstLine="648"/>
        <w:spacing w:after="0" w:line="277" w:lineRule="auto"/>
        <w:tabs>
          <w:tab w:leader="none" w:pos="1952"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Date: February 4, 2022</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Toby J. Williams</w:t>
            </w:r>
          </w:p>
        </w:tc>
      </w:tr>
      <w:tr>
        <w:trPr>
          <w:trHeight w:val="399"/>
        </w:trPr>
        <w:tc>
          <w:tcPr>
            <w:tcW w:w="5960" w:type="dxa"/>
            <w:vAlign w:val="bottom"/>
          </w:tcPr>
          <w:p>
            <w:pPr>
              <w:ind w:left="5220"/>
              <w:spacing w:after="0"/>
              <w:rPr>
                <w:sz w:val="20"/>
                <w:szCs w:val="20"/>
                <w:color w:val="auto"/>
              </w:rPr>
            </w:pPr>
            <w:r>
              <w:rPr>
                <w:rFonts w:ascii="Arial" w:cs="Arial" w:eastAsia="Arial" w:hAnsi="Arial"/>
                <w:sz w:val="18"/>
                <w:szCs w:val="18"/>
                <w:b w:val="1"/>
                <w:bCs w:val="1"/>
                <w:color w:val="auto"/>
              </w:rPr>
              <w:t>Name:</w:t>
            </w:r>
          </w:p>
        </w:tc>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90"/>
              </w:rPr>
              <w:t>Toby J. Williams</w:t>
            </w:r>
          </w:p>
        </w:tc>
      </w:tr>
      <w:tr>
        <w:trPr>
          <w:trHeight w:val="405"/>
        </w:trPr>
        <w:tc>
          <w:tcPr>
            <w:tcW w:w="5960" w:type="dxa"/>
            <w:vAlign w:val="bottom"/>
          </w:tcPr>
          <w:p>
            <w:pPr>
              <w:ind w:left="5220"/>
              <w:spacing w:after="0"/>
              <w:rPr>
                <w:sz w:val="20"/>
                <w:szCs w:val="20"/>
                <w:color w:val="auto"/>
              </w:rPr>
            </w:pPr>
            <w:r>
              <w:rPr>
                <w:rFonts w:ascii="Arial" w:cs="Arial" w:eastAsia="Arial" w:hAnsi="Arial"/>
                <w:sz w:val="18"/>
                <w:szCs w:val="18"/>
                <w:b w:val="1"/>
                <w:bCs w:val="1"/>
                <w:color w:val="auto"/>
              </w:rPr>
              <w:t>Title:</w:t>
            </w:r>
          </w:p>
        </w:tc>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92"/>
              </w:rPr>
              <w:t>Chief Financial Officer (Principal Financial Officer)</w:t>
            </w:r>
          </w:p>
        </w:tc>
      </w:tr>
    </w:tbl>
    <w:p>
      <w:pPr>
        <w:sectPr>
          <w:pgSz w:w="11900" w:h="16838" w:orient="portrait"/>
          <w:cols w:equalWidth="0" w:num="1">
            <w:col w:w="11240"/>
          </w:cols>
          <w:pgMar w:left="320" w:top="1107"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undersigned, the 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December 31, 2021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37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960" w:type="dxa"/>
            <w:vAlign w:val="bottom"/>
          </w:tcPr>
          <w:p>
            <w:pPr>
              <w:spacing w:after="0"/>
              <w:rPr>
                <w:sz w:val="20"/>
                <w:szCs w:val="20"/>
                <w:color w:val="auto"/>
              </w:rPr>
            </w:pPr>
            <w:r>
              <w:rPr>
                <w:rFonts w:ascii="Arial" w:cs="Arial" w:eastAsia="Arial" w:hAnsi="Arial"/>
                <w:sz w:val="18"/>
                <w:szCs w:val="18"/>
                <w:color w:val="auto"/>
              </w:rPr>
              <w:t>Date: February 4, 2022</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Steven R. Beauchamp</w:t>
            </w:r>
          </w:p>
        </w:tc>
      </w:tr>
      <w:tr>
        <w:trPr>
          <w:trHeight w:val="412"/>
        </w:trPr>
        <w:tc>
          <w:tcPr>
            <w:tcW w:w="5960" w:type="dxa"/>
            <w:vAlign w:val="bottom"/>
          </w:tcPr>
          <w:p>
            <w:pPr>
              <w:ind w:left="5220"/>
              <w:spacing w:after="0"/>
              <w:rPr>
                <w:sz w:val="20"/>
                <w:szCs w:val="20"/>
                <w:color w:val="auto"/>
              </w:rPr>
            </w:pPr>
            <w:r>
              <w:rPr>
                <w:rFonts w:ascii="Arial" w:cs="Arial" w:eastAsia="Arial" w:hAnsi="Arial"/>
                <w:sz w:val="18"/>
                <w:szCs w:val="18"/>
                <w:b w:val="1"/>
                <w:bCs w:val="1"/>
                <w:color w:val="auto"/>
              </w:rPr>
              <w:t>Name:</w:t>
            </w:r>
          </w:p>
        </w:tc>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88"/>
              </w:rPr>
              <w:t>Steven R. Beauchamp</w:t>
            </w:r>
          </w:p>
        </w:tc>
      </w:tr>
      <w:tr>
        <w:trPr>
          <w:trHeight w:val="405"/>
        </w:trPr>
        <w:tc>
          <w:tcPr>
            <w:tcW w:w="5960" w:type="dxa"/>
            <w:vAlign w:val="bottom"/>
          </w:tcPr>
          <w:p>
            <w:pPr>
              <w:ind w:left="5220"/>
              <w:spacing w:after="0"/>
              <w:rPr>
                <w:sz w:val="20"/>
                <w:szCs w:val="20"/>
                <w:color w:val="auto"/>
              </w:rPr>
            </w:pPr>
            <w:r>
              <w:rPr>
                <w:rFonts w:ascii="Arial" w:cs="Arial" w:eastAsia="Arial" w:hAnsi="Arial"/>
                <w:sz w:val="18"/>
                <w:szCs w:val="18"/>
                <w:b w:val="1"/>
                <w:bCs w:val="1"/>
                <w:color w:val="auto"/>
              </w:rPr>
              <w:t>Title:</w:t>
            </w:r>
          </w:p>
        </w:tc>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 (Principal Executive Officer) and Director</w:t>
            </w:r>
          </w:p>
        </w:tc>
      </w:tr>
    </w:tbl>
    <w:p>
      <w:pPr>
        <w:spacing w:after="0" w:line="24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07"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Quarterly Report on Form</w:t>
      </w:r>
    </w:p>
    <w:p>
      <w:pPr>
        <w:ind w:right="200"/>
        <w:spacing w:after="0" w:line="255" w:lineRule="auto"/>
        <w:rPr>
          <w:sz w:val="20"/>
          <w:szCs w:val="20"/>
          <w:color w:val="auto"/>
        </w:rPr>
      </w:pPr>
      <w:r>
        <w:rPr>
          <w:rFonts w:ascii="Arial" w:cs="Arial" w:eastAsia="Arial" w:hAnsi="Arial"/>
          <w:sz w:val="18"/>
          <w:szCs w:val="18"/>
          <w:color w:val="auto"/>
        </w:rPr>
        <w:t>10-Q of the Company for the period ended December 31, 2021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960" w:type="dxa"/>
            <w:vAlign w:val="bottom"/>
          </w:tcPr>
          <w:p>
            <w:pPr>
              <w:spacing w:after="0"/>
              <w:rPr>
                <w:sz w:val="20"/>
                <w:szCs w:val="20"/>
                <w:color w:val="auto"/>
              </w:rPr>
            </w:pPr>
            <w:r>
              <w:rPr>
                <w:rFonts w:ascii="Arial" w:cs="Arial" w:eastAsia="Arial" w:hAnsi="Arial"/>
                <w:sz w:val="18"/>
                <w:szCs w:val="18"/>
                <w:color w:val="auto"/>
              </w:rPr>
              <w:t>Date: February 4, 2022</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Toby J. Williams</w:t>
            </w:r>
          </w:p>
        </w:tc>
      </w:tr>
      <w:tr>
        <w:trPr>
          <w:trHeight w:val="412"/>
        </w:trPr>
        <w:tc>
          <w:tcPr>
            <w:tcW w:w="5960" w:type="dxa"/>
            <w:vAlign w:val="bottom"/>
          </w:tcPr>
          <w:p>
            <w:pPr>
              <w:ind w:left="5220"/>
              <w:spacing w:after="0"/>
              <w:rPr>
                <w:sz w:val="20"/>
                <w:szCs w:val="20"/>
                <w:color w:val="auto"/>
              </w:rPr>
            </w:pPr>
            <w:r>
              <w:rPr>
                <w:rFonts w:ascii="Arial" w:cs="Arial" w:eastAsia="Arial" w:hAnsi="Arial"/>
                <w:sz w:val="18"/>
                <w:szCs w:val="18"/>
                <w:b w:val="1"/>
                <w:bCs w:val="1"/>
                <w:color w:val="auto"/>
              </w:rPr>
              <w:t>Name:</w:t>
            </w:r>
          </w:p>
        </w:tc>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90"/>
              </w:rPr>
              <w:t>Toby J. Williams</w:t>
            </w:r>
          </w:p>
        </w:tc>
      </w:tr>
      <w:tr>
        <w:trPr>
          <w:trHeight w:val="405"/>
        </w:trPr>
        <w:tc>
          <w:tcPr>
            <w:tcW w:w="5960" w:type="dxa"/>
            <w:vAlign w:val="bottom"/>
          </w:tcPr>
          <w:p>
            <w:pPr>
              <w:ind w:left="5220"/>
              <w:spacing w:after="0"/>
              <w:rPr>
                <w:sz w:val="20"/>
                <w:szCs w:val="20"/>
                <w:color w:val="auto"/>
              </w:rPr>
            </w:pPr>
            <w:r>
              <w:rPr>
                <w:rFonts w:ascii="Arial" w:cs="Arial" w:eastAsia="Arial" w:hAnsi="Arial"/>
                <w:sz w:val="18"/>
                <w:szCs w:val="18"/>
                <w:b w:val="1"/>
                <w:bCs w:val="1"/>
                <w:color w:val="auto"/>
              </w:rPr>
              <w:t>Title:</w:t>
            </w:r>
          </w:p>
        </w:tc>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92"/>
              </w:rPr>
              <w:t>Chief Financial Officer (Principal Financial Officer)</w:t>
            </w:r>
          </w:p>
        </w:tc>
      </w:tr>
    </w:tbl>
    <w:p>
      <w:pPr>
        <w:spacing w:after="0" w:line="24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1)"/>
      <w:numFmt w:val="lowerLetter"/>
      <w:start w:val="2"/>
    </w:lvl>
  </w:abstractNum>
  <w:abstractNum w:abstractNumId="4">
    <w:nsid w:val="1F16E9E8"/>
    <w:multiLevelType w:val="hybridMultilevel"/>
    <w:lvl w:ilvl="0">
      <w:lvlJc w:val="left"/>
      <w:lvlText w:val="(%1)"/>
      <w:numFmt w:val="lowerLetter"/>
      <w:start w:val="3"/>
    </w:lvl>
  </w:abstractNum>
  <w:abstractNum w:abstractNumId="5">
    <w:nsid w:val="1190CDE7"/>
    <w:multiLevelType w:val="hybridMultilevel"/>
    <w:lvl w:ilvl="0">
      <w:lvlJc w:val="left"/>
      <w:lvlText w:val="(%1)"/>
      <w:numFmt w:val="lowerLetter"/>
      <w:start w:val="4"/>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2"/>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56" Type="http://schemas.openxmlformats.org/officeDocument/2006/relationships/hyperlink" Target="https://www.sec.gov/Archives/edgar/data/1591698/000159169821000013/pcty-20211201xexhibit31.htm" TargetMode="External"/><Relationship Id="rId57" Type="http://schemas.openxmlformats.org/officeDocument/2006/relationships/hyperlink" Target="https://www.sec.gov/Archives/edgar/data/1591698/000159169821000013/pcty-20211201xexhibit32.htm" TargetMode="External"/><Relationship Id="rId58" Type="http://schemas.openxmlformats.org/officeDocument/2006/relationships/hyperlink" Target="https://www.sec.gov/Archives/edgar/data/0001591698/000110465921111860/tm2126413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2022-02-04T09:05:02Z</dcterms:created>
  <dcterms:modified xsi:type="dcterms:W3CDTF">2022-02-04T09:05:02Z</dcterms:modified>
</cp:coreProperties>
</file>