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2022</w:t>
      </w:r>
    </w:p>
    <w:p>
      <w:pPr>
        <w:spacing w:after="0" w:line="179"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204"/>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0" w:lineRule="exact"/>
        <w:rPr>
          <w:sz w:val="24"/>
          <w:szCs w:val="24"/>
          <w:color w:val="auto"/>
        </w:rPr>
      </w:pPr>
    </w:p>
    <w:p>
      <w:pPr>
        <w:ind w:right="80" w:firstLine="324"/>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37" w:lineRule="exact"/>
        <w:rPr>
          <w:sz w:val="24"/>
          <w:szCs w:val="24"/>
          <w:color w:val="auto"/>
        </w:rPr>
      </w:pPr>
    </w:p>
    <w:p>
      <w:pPr>
        <w:ind w:right="220" w:firstLine="324"/>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24"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60" w:type="dxa"/>
            <w:vAlign w:val="bottom"/>
          </w:tcPr>
          <w:p>
            <w:pPr>
              <w:ind w:left="760"/>
              <w:spacing w:after="0"/>
              <w:rPr>
                <w:sz w:val="20"/>
                <w:szCs w:val="20"/>
                <w:color w:val="auto"/>
              </w:rPr>
            </w:pPr>
            <w:r>
              <w:rPr>
                <w:rFonts w:ascii="Arial" w:cs="Arial" w:eastAsia="Arial" w:hAnsi="Arial"/>
                <w:sz w:val="14"/>
                <w:szCs w:val="14"/>
                <w:color w:val="auto"/>
              </w:rPr>
              <w:t>x</w:t>
            </w:r>
          </w:p>
        </w:tc>
        <w:tc>
          <w:tcPr>
            <w:tcW w:w="424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Accelerated Filer</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r>
        <w:trPr>
          <w:trHeight w:val="336"/>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60" w:type="dxa"/>
            <w:vAlign w:val="bottom"/>
          </w:tcPr>
          <w:p>
            <w:pPr>
              <w:ind w:left="760"/>
              <w:spacing w:after="0"/>
              <w:rPr>
                <w:sz w:val="20"/>
                <w:szCs w:val="20"/>
                <w:color w:val="auto"/>
              </w:rPr>
            </w:pPr>
            <w:r>
              <w:rPr>
                <w:rFonts w:ascii="Arial" w:cs="Arial" w:eastAsia="Arial" w:hAnsi="Arial"/>
                <w:sz w:val="18"/>
                <w:szCs w:val="18"/>
                <w:color w:val="auto"/>
              </w:rPr>
              <w:t>o</w:t>
            </w:r>
          </w:p>
        </w:tc>
        <w:tc>
          <w:tcPr>
            <w:tcW w:w="424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r>
        <w:trPr>
          <w:trHeight w:val="299"/>
        </w:trPr>
        <w:tc>
          <w:tcPr>
            <w:tcW w:w="2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4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o</w:t>
            </w:r>
          </w:p>
        </w:tc>
      </w:tr>
    </w:tbl>
    <w:p>
      <w:pPr>
        <w:spacing w:after="0" w:line="188" w:lineRule="exact"/>
        <w:rPr>
          <w:sz w:val="24"/>
          <w:szCs w:val="24"/>
          <w:color w:val="auto"/>
        </w:rPr>
      </w:pPr>
    </w:p>
    <w:p>
      <w:pPr>
        <w:ind w:right="220" w:firstLine="324"/>
        <w:spacing w:after="0" w:line="30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41" w:lineRule="exact"/>
        <w:rPr>
          <w:sz w:val="24"/>
          <w:szCs w:val="24"/>
          <w:color w:val="auto"/>
        </w:rPr>
      </w:pPr>
    </w:p>
    <w:p>
      <w:pPr>
        <w:ind w:left="34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x</w:t>
      </w:r>
    </w:p>
    <w:p>
      <w:pPr>
        <w:spacing w:after="0" w:line="145" w:lineRule="exact"/>
        <w:rPr>
          <w:sz w:val="24"/>
          <w:szCs w:val="24"/>
          <w:color w:val="auto"/>
        </w:rPr>
      </w:pPr>
    </w:p>
    <w:p>
      <w:pPr>
        <w:ind w:right="40" w:firstLine="324"/>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55,673,889 shares of Common Stock, $0.001 par value per share, as of October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PAYLOCITY HOLDING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65,484</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21,519</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64,058</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29,122</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180,183</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3,987,776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2,299,437</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4,231,683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2,479,620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244,554</w:t>
            </w:r>
          </w:p>
        </w:tc>
      </w:tr>
      <w:tr>
        <w:trPr>
          <w:trHeight w:val="230"/>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43,303</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4,809,014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3,095,109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105,907</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112,142</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3,987,776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2,299,437</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2,411,579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4,195,551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2,484,263</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2022 and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30, 2022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2022 and September 30, 2022;</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4"/>
        </w:trPr>
        <w:tc>
          <w:tcPr>
            <w:tcW w:w="81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55,190 shares issued and outstanding at June 30, 2022 and 55,664 shares issued and outstanding at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34"/>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September 30, 2022</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259,245</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356,220</w:t>
            </w: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610,846</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4,809,014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3,095,109</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6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180,824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245,406</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253,280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84,543</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118,448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168,737</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71,063</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40,093</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161,648</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56,506</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56,664</w:t>
            </w:r>
          </w:p>
        </w:tc>
      </w:tr>
      <w:tr>
        <w:trPr>
          <w:trHeight w:val="21"/>
        </w:trPr>
        <w:tc>
          <w:tcPr>
            <w:tcW w:w="8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12"/>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2021</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6"/>
        </w:trPr>
        <w:tc>
          <w:tcPr>
            <w:tcW w:w="4140" w:type="dxa"/>
            <w:vAlign w:val="bottom"/>
          </w:tcPr>
          <w:p>
            <w:pPr>
              <w:spacing w:after="0"/>
              <w:rPr>
                <w:sz w:val="24"/>
                <w:szCs w:val="24"/>
                <w:color w:val="auto"/>
              </w:rPr>
            </w:pPr>
          </w:p>
        </w:tc>
        <w:tc>
          <w:tcPr>
            <w:tcW w:w="1920" w:type="dxa"/>
            <w:vAlign w:val="bottom"/>
            <w:gridSpan w:val="7"/>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24"/>
                <w:szCs w:val="24"/>
                <w:color w:val="auto"/>
              </w:rPr>
            </w:pPr>
          </w:p>
        </w:tc>
        <w:tc>
          <w:tcPr>
            <w:tcW w:w="10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192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1"/>
                <w:szCs w:val="11"/>
                <w:color w:val="auto"/>
              </w:rPr>
            </w:pPr>
          </w:p>
        </w:tc>
        <w:tc>
          <w:tcPr>
            <w:tcW w:w="920" w:type="dxa"/>
            <w:vAlign w:val="bottom"/>
            <w:gridSpan w:val="3"/>
            <w:vMerge w:val="restart"/>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1"/>
                <w:szCs w:val="11"/>
                <w:color w:val="auto"/>
              </w:rPr>
            </w:pPr>
          </w:p>
        </w:tc>
        <w:tc>
          <w:tcPr>
            <w:tcW w:w="1420" w:type="dxa"/>
            <w:vAlign w:val="bottom"/>
            <w:gridSpan w:val="3"/>
            <w:vMerge w:val="restart"/>
          </w:tcPr>
          <w:p>
            <w:pPr>
              <w:jc w:val="center"/>
              <w:ind w:right="260"/>
              <w:spacing w:after="0" w:line="14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1"/>
                <w:szCs w:val="11"/>
                <w:color w:val="auto"/>
              </w:rPr>
            </w:pPr>
          </w:p>
        </w:tc>
        <w:tc>
          <w:tcPr>
            <w:tcW w:w="122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20"/>
                <w:szCs w:val="20"/>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2021</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241,718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476,930</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settlement for taxes and/or exercise price related to equity</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losses on securities, net of tax</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201,504</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467,573</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1"/>
        </w:trPr>
        <w:tc>
          <w:tcPr>
            <w:tcW w:w="4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12"/>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6"/>
        </w:trPr>
        <w:tc>
          <w:tcPr>
            <w:tcW w:w="4140" w:type="dxa"/>
            <w:vAlign w:val="bottom"/>
          </w:tcPr>
          <w:p>
            <w:pPr>
              <w:spacing w:after="0"/>
              <w:rPr>
                <w:sz w:val="24"/>
                <w:szCs w:val="24"/>
                <w:color w:val="auto"/>
              </w:rPr>
            </w:pPr>
          </w:p>
        </w:tc>
        <w:tc>
          <w:tcPr>
            <w:tcW w:w="1920" w:type="dxa"/>
            <w:vAlign w:val="bottom"/>
            <w:gridSpan w:val="7"/>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24"/>
                <w:szCs w:val="24"/>
                <w:color w:val="auto"/>
              </w:rPr>
            </w:pPr>
          </w:p>
        </w:tc>
        <w:tc>
          <w:tcPr>
            <w:tcW w:w="10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192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1"/>
                <w:szCs w:val="11"/>
                <w:color w:val="auto"/>
              </w:rPr>
            </w:pPr>
          </w:p>
        </w:tc>
        <w:tc>
          <w:tcPr>
            <w:tcW w:w="920" w:type="dxa"/>
            <w:vAlign w:val="bottom"/>
            <w:gridSpan w:val="3"/>
            <w:vMerge w:val="restart"/>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580" w:type="dxa"/>
            <w:vAlign w:val="bottom"/>
            <w:gridSpan w:val="4"/>
            <w:vMerge w:val="restart"/>
          </w:tcPr>
          <w:p>
            <w:pPr>
              <w:jc w:val="right"/>
              <w:ind w:right="160"/>
              <w:spacing w:after="0" w:line="145"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1"/>
                <w:szCs w:val="11"/>
                <w:color w:val="auto"/>
              </w:rPr>
            </w:pPr>
          </w:p>
        </w:tc>
        <w:tc>
          <w:tcPr>
            <w:tcW w:w="1220" w:type="dxa"/>
            <w:vAlign w:val="bottom"/>
            <w:gridSpan w:val="2"/>
            <w:vMerge w:val="restart"/>
          </w:tcPr>
          <w:p>
            <w:pPr>
              <w:jc w:val="center"/>
              <w:ind w:right="180"/>
              <w:spacing w:after="0" w:line="14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58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40" w:type="dxa"/>
            <w:vAlign w:val="bottom"/>
          </w:tcPr>
          <w:p>
            <w:pPr>
              <w:spacing w:after="0"/>
              <w:rPr>
                <w:sz w:val="20"/>
                <w:szCs w:val="20"/>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2022</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settlement for taxes and/or exercise price related to equity</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losses on securities, net of tax</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55,664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259,245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356,220</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610,846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ind w:left="5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right"/>
              <w:ind w:right="719"/>
              <w:spacing w:after="0" w:line="18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30,932</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14,267</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accretion of discounts and amortization of premiums on available-for-sale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contract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(19,328)</w:t>
            </w:r>
          </w:p>
        </w:tc>
        <w:tc>
          <w:tcPr>
            <w:tcW w:w="0" w:type="dxa"/>
            <w:vAlign w:val="bottom"/>
          </w:tcPr>
          <w:p>
            <w:pPr>
              <w:spacing w:after="0"/>
              <w:rPr>
                <w:sz w:val="1"/>
                <w:szCs w:val="1"/>
                <w:color w:val="auto"/>
              </w:rPr>
            </w:pPr>
          </w:p>
        </w:tc>
      </w:tr>
      <w:tr>
        <w:trPr>
          <w:trHeight w:val="213"/>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(25,790)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(17,734)</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16,387</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(118,926)</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sales and maturities of available-for-sale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(9,953)</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(198,161)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(89,476)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client fund obligations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1,425,782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(1,688,339)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(74,071)</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1,364,964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(1,763,265)</w:t>
            </w:r>
          </w:p>
        </w:tc>
        <w:tc>
          <w:tcPr>
            <w:tcW w:w="0" w:type="dxa"/>
            <w:vAlign w:val="bottom"/>
          </w:tcPr>
          <w:p>
            <w:pPr>
              <w:spacing w:after="0"/>
              <w:rPr>
                <w:sz w:val="1"/>
                <w:szCs w:val="1"/>
                <w:color w:val="auto"/>
              </w:rPr>
            </w:pPr>
          </w:p>
        </w:tc>
      </w:tr>
      <w:tr>
        <w:trPr>
          <w:trHeight w:val="20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funds held for clients' cash and cash equivalents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1,162,671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(1,836,354)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funds held for clients' cash and cash equivalents—beginning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1,945,881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3,793,453</w:t>
            </w:r>
          </w:p>
        </w:tc>
        <w:tc>
          <w:tcPr>
            <w:tcW w:w="0" w:type="dxa"/>
            <w:vAlign w:val="bottom"/>
          </w:tcPr>
          <w:p>
            <w:pPr>
              <w:spacing w:after="0"/>
              <w:rPr>
                <w:sz w:val="1"/>
                <w:szCs w:val="1"/>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funds held for clients' cash and cash equivalents—end of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3,108,552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1,957,099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 accrued but not paid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Liabilities assumed for acquisitions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1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Sheets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held for clients' cash and cash equivalents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3,042,121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1,891,615</w:t>
            </w:r>
          </w:p>
        </w:tc>
        <w:tc>
          <w:tcPr>
            <w:tcW w:w="0" w:type="dxa"/>
            <w:vAlign w:val="bottom"/>
          </w:tcPr>
          <w:p>
            <w:pPr>
              <w:spacing w:after="0"/>
              <w:rPr>
                <w:sz w:val="1"/>
                <w:szCs w:val="1"/>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funds held for clients' cash and cash equivalents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3,108,552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1,957,099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and payroll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and payroll processes.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5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months ended September 30, 2022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2022 included in the Company’s Annual Report on Form 10-K.</w:t>
      </w:r>
    </w:p>
    <w:p>
      <w:pPr>
        <w:spacing w:after="0" w:line="14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0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its revenue from contracts predominantly from recurring and non-recurring service fees. While the majority of its agreements are generally cancellable by the client on 60 days’ notice or less, the Company also offers term agreements to its clients,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other HCM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revenue by Recurring fees and Implementation services and other, which the Company believes depicts the nature, amount and timing of its revenue:</w:t>
      </w:r>
    </w:p>
    <w:p>
      <w:pPr>
        <w:spacing w:after="0" w:line="16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236,819</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consistent with the timing of invoicing as they occur simultaneously based on the client payroll processing period or by month. As such, the Company does not recognize contract assets or liabilities related to recurring revenue.</w:t>
      </w:r>
    </w:p>
    <w:p>
      <w:pPr>
        <w:spacing w:after="0" w:line="12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9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14,195</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$10,462 in fiscal 2023, $3,518 in fiscal 2024 and $215 in fiscal 2025 and thereafter.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5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3"/>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149,222</w:t>
            </w:r>
          </w:p>
        </w:tc>
      </w:tr>
      <w:tr>
        <w:trPr>
          <w:trHeight w:val="25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76,785</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191,088</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117,524</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308,612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recorded in Cost of revenues, Sales and marketing, and General and administrative in the Unaudited Consolidated Statements of Operations and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9" w:lineRule="exact"/>
        <w:rPr>
          <w:sz w:val="20"/>
          <w:szCs w:val="20"/>
          <w:color w:val="auto"/>
        </w:rPr>
      </w:pPr>
    </w:p>
    <w:p>
      <w:pPr>
        <w:ind w:right="700" w:firstLine="648"/>
        <w:spacing w:after="0" w:line="261"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$52,591 as of September 30, 2022,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2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January 18, 2022, the Company acquired all of the shares outstanding of Cloudsnap, Inc., ("Cloudsnap") through a merger for cash consideration of $50,002, which was paid upon closing. Cloudsnap is a provider of a flexible, low-code solution for integrating disparate business applications. This transaction enables the Company to deliver modern integrations and seamless data sharing between critical systems more efficiently and effectively, while helping to unify and automate business processes across clients' HR, finance, benefits, and other systems.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allocation of the purchase price for Cloudsnap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January 18, 2022</w:t>
            </w:r>
          </w:p>
        </w:tc>
      </w:tr>
      <w:tr>
        <w:trPr>
          <w:trHeight w:val="23"/>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33,628</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record any material purchase accounting adjustments for Cloudsnap during the three months ended September 30, 2022. The Company accounts for business combinations in accordance with ASC 805, Business Combinations. The Company applied the acquisition method of accounting and recorded the assets acquired and liabilities assumed at their respective estimated fair values as of the date of the acquisition with the excess consideration paid recorded as goodwill.</w:t>
      </w:r>
    </w:p>
    <w:p>
      <w:pPr>
        <w:spacing w:after="0" w:line="15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results from this acquisition have been included in the Company’s consolidated financial statements since the closing of the acquisition and are not material to the Company. Pro forma information is not presented because the effects of the acquisition are not material to the Company’s consolidated financial statements. The goodwill related to this acquisition is primarily attributable to the assembled workforce and growth opportunities from the expansion and enhancement of the Company’s product offerings. The goodwill associated with this acquisition is not deductible for income tax purposes. Direct costs related to the acquisition were immaterial and were expensed as incurred as General and administrative.</w:t>
      </w:r>
    </w:p>
    <w:p>
      <w:pPr>
        <w:sectPr>
          <w:pgSz w:w="11900" w:h="16838" w:orient="portrait"/>
          <w:cols w:equalWidth="0" w:num="1">
            <w:col w:w="11240"/>
          </w:cols>
          <w:pgMar w:left="320" w:top="256" w:right="339" w:bottom="144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80" w:hanging="1167"/>
        <w:spacing w:after="0"/>
        <w:tabs>
          <w:tab w:leader="none" w:pos="2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841</w:t>
      </w:r>
    </w:p>
    <w:p>
      <w:pPr>
        <w:spacing w:after="0" w:line="49"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266</w:t>
      </w:r>
    </w:p>
    <w:p>
      <w:pPr>
        <w:spacing w:after="0" w:line="49"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43" w:lineRule="exact"/>
        <w:rPr>
          <w:sz w:val="20"/>
          <w:szCs w:val="20"/>
          <w:color w:val="auto"/>
        </w:rPr>
      </w:pPr>
    </w:p>
    <w:p>
      <w:pPr>
        <w:ind w:left="2140" w:hanging="1027"/>
        <w:spacing w:after="0"/>
        <w:tabs>
          <w:tab w:leader="none" w:pos="2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51435</wp:posOffset>
            </wp:positionV>
            <wp:extent cx="9429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September 30,</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193,156</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204,906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(138,213)</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primarily included in Cost of revenues and amounted to $6,128 and $7,042 for the three months ended September 30, 2021 and 2022,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(72,829)</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(75,659)</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60,943</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gridSpan w:val="3"/>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76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Depreciation expense amounted to $3,842 and $4,454 for the three months ended September 30, 2021 and 2022, respectively.</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three months ended September 30, 2022:</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101,949</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left="935"/>
              <w:spacing w:after="0"/>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81"/>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102,054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were as follows: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left="975"/>
              <w:spacing w:after="0"/>
              <w:rPr>
                <w:sz w:val="20"/>
                <w:szCs w:val="20"/>
                <w:color w:val="auto"/>
              </w:rPr>
            </w:pPr>
            <w:r>
              <w:rPr>
                <w:rFonts w:ascii="Times New Roman" w:cs="Times New Roman" w:eastAsia="Times New Roman" w:hAnsi="Times New Roman"/>
                <w:sz w:val="18"/>
                <w:szCs w:val="18"/>
                <w:color w:val="auto"/>
                <w:w w:val="97"/>
              </w:rPr>
              <w:t>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left="975"/>
              <w:spacing w:after="0"/>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center"/>
              <w:ind w:left="975"/>
              <w:spacing w:after="0"/>
              <w:rPr>
                <w:sz w:val="20"/>
                <w:szCs w:val="20"/>
                <w:color w:val="auto"/>
              </w:rPr>
            </w:pPr>
            <w:r>
              <w:rPr>
                <w:rFonts w:ascii="Times New Roman" w:cs="Times New Roman" w:eastAsia="Times New Roman" w:hAnsi="Times New Roman"/>
                <w:sz w:val="18"/>
                <w:szCs w:val="18"/>
                <w:color w:val="auto"/>
                <w:w w:val="97"/>
              </w:rPr>
              <w:t>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42,704</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was $1,352 and $2,771 for the three months ended September 30, 2021 and 2022, respectively, and is included in Cost of revenues and General and administrative.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as of September 30, 2022 is as follows: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2"/>
        </w:trPr>
        <w:tc>
          <w:tcPr>
            <w:tcW w:w="9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2023</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19,628</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Corporate Investments and Funds Held for Clients</w:t>
            </w: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Corporate investments and funds held for clients consisted of the following:</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337,203</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4,130,658</w:t>
            </w:r>
          </w:p>
        </w:tc>
        <w:tc>
          <w:tcPr>
            <w:tcW w:w="100" w:type="dxa"/>
            <w:vAlign w:val="bottom"/>
          </w:tcPr>
          <w:p>
            <w:pPr>
              <w:spacing w:after="0"/>
              <w:rPr>
                <w:sz w:val="22"/>
                <w:szCs w:val="22"/>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4,127,532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1,891,615</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236,590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414,103</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407,822</w:t>
            </w:r>
          </w:p>
        </w:tc>
        <w:tc>
          <w:tcPr>
            <w:tcW w:w="0" w:type="dxa"/>
            <w:vAlign w:val="bottom"/>
          </w:tcPr>
          <w:p>
            <w:pPr>
              <w:spacing w:after="0"/>
              <w:rPr>
                <w:sz w:val="1"/>
                <w:szCs w:val="1"/>
                <w:color w:val="auto"/>
              </w:rPr>
            </w:pPr>
          </w:p>
        </w:tc>
      </w:tr>
      <w:tr>
        <w:trPr>
          <w:trHeight w:val="25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2,371,202</w:t>
            </w:r>
          </w:p>
        </w:tc>
        <w:tc>
          <w:tcPr>
            <w:tcW w:w="100" w:type="dxa"/>
            <w:vAlign w:val="bottom"/>
          </w:tcPr>
          <w:p>
            <w:pPr>
              <w:spacing w:after="0"/>
              <w:rPr>
                <w:sz w:val="22"/>
                <w:szCs w:val="2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4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2,364,921</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2022 and September 30, 2022</w:t>
      </w:r>
    </w:p>
    <w:p>
      <w:pPr>
        <w:spacing w:after="0" w:line="18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money market funds, commercial paper and certificates of deposit at June 30, 2022 and September 30, 2022.</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3,987,776</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2,299,437</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4,127,532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securities that had been in an unrealized loss position for a period of less and greater than 12 months as of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had fair market value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75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53,756</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129,943</w:t>
            </w: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8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285,651</w:t>
            </w:r>
          </w:p>
        </w:tc>
        <w:tc>
          <w:tcPr>
            <w:tcW w:w="100" w:type="dxa"/>
            <w:vAlign w:val="bottom"/>
          </w:tcPr>
          <w:p>
            <w:pPr>
              <w:spacing w:after="0"/>
              <w:rPr>
                <w:sz w:val="16"/>
                <w:szCs w:val="16"/>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6"/>
                <w:szCs w:val="16"/>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285,651</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46,207</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65,268</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236,590</w:t>
            </w: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8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373,492</w:t>
            </w:r>
          </w:p>
        </w:tc>
        <w:tc>
          <w:tcPr>
            <w:tcW w:w="100" w:type="dxa"/>
            <w:vAlign w:val="bottom"/>
          </w:tcPr>
          <w:p>
            <w:pPr>
              <w:spacing w:after="0"/>
              <w:rPr>
                <w:sz w:val="16"/>
                <w:szCs w:val="16"/>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Pr>
          <w:p>
            <w:pPr>
              <w:spacing w:after="0"/>
              <w:rPr>
                <w:sz w:val="16"/>
                <w:szCs w:val="16"/>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21,760</w:t>
            </w: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395,252</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months ended September 30, 2021 or 2022. All securities in the Company’s portfolio held an A-1 rating or better as of September 30,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months ended September 30, 2021 or 2022. There were no realized gains or losses on the sale of available-for-sale securities for the three months ended September 30, 2021 or 2022.</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September 30, 2022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189"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7"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98"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2022 and September 30, 2022 based upon the short-term nature of these assets and liabilities.</w:t>
      </w:r>
    </w:p>
    <w:p>
      <w:pPr>
        <w:spacing w:after="0" w:line="14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certificates of deposit, U.S. treasury securities, U.S. government agency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2022 or September 30, 2022.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3,640,427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4,127,532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3,780,183</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347,349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83"/>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1,891,615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1,887,494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236,590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236,590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2,364,921</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1,952,978</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411,943</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July 2019, the Company entered into a revolving credit agreement with PNC Bank, National Association, and other lenders, which is secured by substantially all of the Company’s assets, subject to certain restrictions. In August 2022, the Company entered into a first amendment to the aforementioned credit agreement to increase the borrowing capacity of our revolving credit facility ("credit facility") to $550,000, which may be increased up to $825,000, subject to obtaining additional lender commitments and certain approvals and satisfying other requirements. The amended credit agreement extends the maturity date of the credit facility to August 2027 and replaces the interest rate based on London Interbank Offered Rate with an interest rate based on secured overnight financing rate ("SOFR"). The Company had no borrowings at June 30, 2022 or September 30, 2022.</w:t>
      </w:r>
    </w:p>
    <w:p>
      <w:pPr>
        <w:spacing w:after="0" w:line="14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permitted acquisitions, permitted investments, permitted distributions and share repurchases. The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Any borrowings under the credit facility will generally bear interest, at the Company’s option, at a rate per annum determined by reference to either the Term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5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September 30, 2022, the Company was in compliance with all of the aforementioned covenants.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6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13,827 shares allocated to the plans, of which 1,909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3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number of shares available for grant under the Company’s equity incentive plans during the three months ended September 30,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95"/>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for grant at July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in settlement of taxes and/or exercise price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removed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for grant at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firstLine="648"/>
        <w:spacing w:after="0" w:line="312" w:lineRule="auto"/>
        <w:rPr>
          <w:sz w:val="20"/>
          <w:szCs w:val="20"/>
          <w:color w:val="auto"/>
        </w:rPr>
      </w:pPr>
      <w:r>
        <w:rPr>
          <w:rFonts w:ascii="Times New Roman" w:cs="Times New Roman" w:eastAsia="Times New Roman" w:hAnsi="Times New Roman"/>
          <w:sz w:val="17"/>
          <w:szCs w:val="17"/>
          <w:color w:val="auto"/>
        </w:rPr>
        <w:t>Stock-based compensation expense related to restricted stock units (“RSUs”), market share units (“MSUs”) and the Employee Stock Purchase Plan is included in the following line items in the accompanying unaudited consolidated statements of operations and comprehensive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17,411</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19,559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$1,547 and $2,942 of stock-based compensation expense in its capitalized internal-use software costs in the three months ended September 30, 2021 and 2022.</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three months ended September 30, 2022. The table below presents stock option activity during the three months ended September 30,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4"/>
                <w:szCs w:val="14"/>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0"/>
        </w:trPr>
        <w:tc>
          <w:tcPr>
            <w:tcW w:w="5040" w:type="dxa"/>
            <w:vAlign w:val="bottom"/>
          </w:tcPr>
          <w:p>
            <w:pPr>
              <w:spacing w:after="0"/>
              <w:rPr>
                <w:sz w:val="16"/>
                <w:szCs w:val="16"/>
                <w:color w:val="auto"/>
              </w:rPr>
            </w:pPr>
          </w:p>
        </w:tc>
        <w:tc>
          <w:tcPr>
            <w:tcW w:w="14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6"/>
                <w:szCs w:val="16"/>
                <w:color w:val="auto"/>
              </w:rPr>
            </w:pPr>
          </w:p>
        </w:tc>
        <w:tc>
          <w:tcPr>
            <w:tcW w:w="13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2022</w:t>
            </w:r>
          </w:p>
        </w:tc>
        <w:tc>
          <w:tcPr>
            <w:tcW w:w="1480" w:type="dxa"/>
            <w:vAlign w:val="bottom"/>
            <w:shd w:val="clear" w:color="auto" w:fill="CCEEFF"/>
          </w:tcPr>
          <w:p>
            <w:pPr>
              <w:jc w:val="center"/>
              <w:ind w:left="974"/>
              <w:spacing w:after="0"/>
              <w:rPr>
                <w:sz w:val="20"/>
                <w:szCs w:val="20"/>
                <w:color w:val="auto"/>
              </w:rPr>
            </w:pPr>
            <w:r>
              <w:rPr>
                <w:rFonts w:ascii="Times New Roman" w:cs="Times New Roman" w:eastAsia="Times New Roman" w:hAnsi="Times New Roman"/>
                <w:sz w:val="18"/>
                <w:szCs w:val="18"/>
                <w:color w:val="auto"/>
                <w:w w:val="96"/>
              </w:rPr>
              <w:t>548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85,515</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Borders>
              <w:bottom w:val="single" w:sz="8" w:color="auto"/>
            </w:tcBorders>
          </w:tcPr>
          <w:p>
            <w:pPr>
              <w:jc w:val="center"/>
              <w:ind w:left="934"/>
              <w:spacing w:after="0"/>
              <w:rPr>
                <w:sz w:val="20"/>
                <w:szCs w:val="20"/>
                <w:color w:val="auto"/>
              </w:rPr>
            </w:pPr>
            <w:r>
              <w:rPr>
                <w:rFonts w:ascii="Times New Roman" w:cs="Times New Roman" w:eastAsia="Times New Roman" w:hAnsi="Times New Roman"/>
                <w:sz w:val="18"/>
                <w:szCs w:val="18"/>
                <w:color w:val="auto"/>
                <w:w w:val="97"/>
              </w:rPr>
              <w:t>(235)</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80" w:type="dxa"/>
            <w:vAlign w:val="bottom"/>
            <w:tcBorders>
              <w:bottom w:val="single" w:sz="8" w:color="auto"/>
            </w:tcBorders>
            <w:shd w:val="clear" w:color="auto" w:fill="CCEEFF"/>
          </w:tcPr>
          <w:p>
            <w:pPr>
              <w:jc w:val="center"/>
              <w:ind w:left="974"/>
              <w:spacing w:after="0"/>
              <w:rPr>
                <w:sz w:val="20"/>
                <w:szCs w:val="20"/>
                <w:color w:val="auto"/>
              </w:rPr>
            </w:pPr>
            <w:r>
              <w:rPr>
                <w:rFonts w:ascii="Times New Roman" w:cs="Times New Roman" w:eastAsia="Times New Roman" w:hAnsi="Times New Roman"/>
                <w:sz w:val="18"/>
                <w:szCs w:val="18"/>
                <w:color w:val="auto"/>
                <w:w w:val="96"/>
              </w:rPr>
              <w:t>313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September 30, 2022</w:t>
            </w:r>
          </w:p>
        </w:tc>
        <w:tc>
          <w:tcPr>
            <w:tcW w:w="1480" w:type="dxa"/>
            <w:vAlign w:val="bottom"/>
            <w:tcBorders>
              <w:bottom w:val="single" w:sz="8" w:color="auto"/>
            </w:tcBorders>
          </w:tcPr>
          <w:p>
            <w:pPr>
              <w:jc w:val="center"/>
              <w:ind w:left="974"/>
              <w:spacing w:after="0"/>
              <w:rPr>
                <w:sz w:val="20"/>
                <w:szCs w:val="20"/>
                <w:color w:val="auto"/>
              </w:rPr>
            </w:pPr>
            <w:r>
              <w:rPr>
                <w:rFonts w:ascii="Times New Roman" w:cs="Times New Roman" w:eastAsia="Times New Roman" w:hAnsi="Times New Roman"/>
                <w:sz w:val="18"/>
                <w:szCs w:val="18"/>
                <w:color w:val="auto"/>
                <w:w w:val="96"/>
              </w:rPr>
              <w:t>313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68,454</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intrinsic value of options exercised was $35,868 and $48,143 during the three months ended September 30, 2021 and 2022, respectively.</w:t>
      </w:r>
    </w:p>
    <w:p>
      <w:pPr>
        <w:spacing w:after="0" w:line="18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the 2014 Plan with terms determined at the discretion of the compensation committee of the Company’s board of directors. RSUs generally vest over four years following the grant date and have time-based vesting conditions.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restricted stock unit activity during the three months ended September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263.19</w:t>
            </w: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112.51</w:t>
            </w: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September 30, 2022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2022, there was $211,211 of total unrecognized compensation cost, net of estimated forfeitures, related to unvested restricted stock units granted. That cost is expected to be recognized over a weighted average period of 2.0 years.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the 2014 Plan with terms determined at the discretion of the compensation committee of the Company's board of directors.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market share unit activity during the three months ended September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263.83</w:t>
            </w:r>
          </w:p>
        </w:tc>
      </w:tr>
      <w:tr>
        <w:trPr>
          <w:trHeight w:val="25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355.60</w:t>
            </w:r>
          </w:p>
        </w:tc>
      </w:tr>
      <w:tr>
        <w:trPr>
          <w:trHeight w:val="256"/>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 balance at September 30, 2022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319.34</w:t>
            </w:r>
          </w:p>
        </w:tc>
      </w:tr>
      <w:tr>
        <w:trPr>
          <w:trHeight w:val="21"/>
        </w:trPr>
        <w:tc>
          <w:tcPr>
            <w:tcW w:w="8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46"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22225</wp:posOffset>
            </wp:positionV>
            <wp:extent cx="2091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60" w:type="dxa"/>
            <w:vAlign w:val="bottom"/>
            <w:gridSpan w:val="2"/>
          </w:tcPr>
          <w:p>
            <w:pPr>
              <w:ind w:left="8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shd w:val="clear" w:color="auto" w:fill="CCEEFF"/>
          </w:tcPr>
          <w:p>
            <w:pPr>
              <w:spacing w:after="0"/>
              <w:rPr>
                <w:sz w:val="22"/>
                <w:szCs w:val="22"/>
                <w:color w:val="auto"/>
              </w:rPr>
            </w:pPr>
          </w:p>
        </w:tc>
      </w:tr>
      <w:tr>
        <w:trPr>
          <w:trHeight w:val="25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r>
      <w:tr>
        <w:trPr>
          <w:trHeight w:val="263"/>
        </w:trPr>
        <w:tc>
          <w:tcPr>
            <w:tcW w:w="88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2"/>
                <w:szCs w:val="22"/>
                <w:color w:val="auto"/>
              </w:rPr>
            </w:pPr>
          </w:p>
        </w:tc>
      </w:tr>
    </w:tbl>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2022, there was $35,522 of total unrecognized compensation cost, net of estimated forfeitures, related to unvested MSUs. That cost is expected to be recognized over a period of 2.6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18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The Company is unable to estimate any reasonably possible loss, or range of loss, with respect to this matter at this time. The Company intends to vigorously defend against this lawsuit.</w:t>
      </w:r>
    </w:p>
    <w:p>
      <w:pPr>
        <w:spacing w:after="0" w:line="15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4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August 16, 2022, the Inflation Reduction Act (the "IRA") was signed into law and contains a number of tax related provisions. The Company is in the process of evaluating the IRA but does not expect it to have a material impact on the Company's consolidated financial statements.</w:t>
      </w:r>
    </w:p>
    <w:p>
      <w:pPr>
        <w:spacing w:after="0" w:line="108"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The Company’s effective tax rate was (205.2)% and (338.2)% for the three months ended September 30, 2021 and 2022, respectively. The Company’s effective tax rate for the three months ended September 30, 2021 was lower than the federal statutory rate of 21% primarily due to excess tax benefits from employee stock-based compensation and state and local income taxes, partially offset by an increase to the valuation allowance. The Company's effective tax rate for the three months ended September 30, 2022 was lower than the federal statutory rate of 21% primarily due to excess tax benefits from employee stock-based compensation, state and local income taxes, and a decrease to the valuation allowance.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as of the balance sheet date. The following table presents the calculation of basic and diluted net income per share:</w:t>
      </w:r>
    </w:p>
    <w:p>
      <w:pPr>
        <w:spacing w:after="0" w:line="20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30,932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30,352</w:t>
            </w:r>
          </w:p>
        </w:tc>
      </w:tr>
      <w:tr>
        <w:trPr>
          <w:trHeight w:val="277"/>
        </w:trPr>
        <w:tc>
          <w:tcPr>
            <w:tcW w:w="8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Employee stock options, restricted stock units and market share units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5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56,506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56,664</w:t>
            </w:r>
          </w:p>
        </w:tc>
      </w:tr>
      <w:tr>
        <w:trPr>
          <w:trHeight w:val="270"/>
        </w:trPr>
        <w:tc>
          <w:tcPr>
            <w:tcW w:w="8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bl>
    <w:p>
      <w:pPr>
        <w:spacing w:after="0" w:line="25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excluded 507 and 647 outstanding RSUs from the diluted per share calculations during the three months ended September 30, 2021 and September 30, 2022, respectively, because to include them would have been anti-dilutive.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impacts from the novel coronavirus disease (COVID-19) as discussed in “Item 1A. Risk Factors” of our Annual Report on Form 10-K for the fiscal year ended June 30, 2022 filed with the SEC on August 5,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or HCM, and payroll software solutions that deliver a comprehensive platform for the modern workforce. Our HCM and payroll platform offers an intuitive, easy-to-use product suite that helps businesses attract and retain talent, build culture and connection with their employees, and streamline and automate HR and payroll processes.</w:t>
      </w:r>
    </w:p>
    <w:p>
      <w:pPr>
        <w:spacing w:after="0" w:line="13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43"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prospects. We expect to continue to invest in and grow our implementation and client service organization as our client base grows.</w:t>
      </w:r>
    </w:p>
    <w:p>
      <w:pPr>
        <w:spacing w:after="0" w:line="11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8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$181.7 million for the three months ended September 30, 2021 to $253.3 million for the three months ended September 30, 2022, representing a 39% year-over-year increase. The increase in year-over-year revenue growth was driven by the strong performance by our sales team and also increases in client workforce levels and</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growth in interest income on funds held for clients attributable to rising interest rates and higher average daily balances for funds held for clients due to new clients and increases in client workforce levels as compared to the prior fiscal year. Our revenue growth in future periods may be impacted by fluctuations in client employee counts, potential increases in client losses, a changing interest rate environment, uncertainties around market and economic conditions including inflation risk, among other factors.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20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defined below. We define Adjusted EBITDA as net income before interest expense, income tax expense, depreciation and amortization expense, stock-based compensation expense and employer payroll taxes related to stock releases and option exercises and other items as defined below.</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our Adjusted Gross Profit and Adjusted EBITDA for the periods presented.</w:t>
      </w:r>
    </w:p>
    <w:p>
      <w:pPr>
        <w:spacing w:after="0" w:line="232"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22225</wp:posOffset>
            </wp:positionV>
            <wp:extent cx="19456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128,115</w:t>
            </w:r>
          </w:p>
        </w:tc>
        <w:tc>
          <w:tcPr>
            <w:tcW w:w="4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8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5"/>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5"/>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118,448</w:t>
            </w:r>
          </w:p>
        </w:tc>
        <w:tc>
          <w:tcPr>
            <w:tcW w:w="40" w:type="dxa"/>
            <w:vAlign w:val="bottom"/>
          </w:tcPr>
          <w:p>
            <w:pPr>
              <w:spacing w:after="0"/>
              <w:rPr>
                <w:sz w:val="21"/>
                <w:szCs w:val="21"/>
                <w:color w:val="auto"/>
              </w:rPr>
            </w:pPr>
          </w:p>
        </w:tc>
        <w:tc>
          <w:tcPr>
            <w:tcW w:w="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168,737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7,042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 and option exercises</w:t>
            </w: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5,045</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128,115</w:t>
            </w:r>
          </w:p>
        </w:tc>
        <w:tc>
          <w:tcPr>
            <w:tcW w:w="4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182,697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0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22225</wp:posOffset>
            </wp:positionV>
            <wp:extent cx="19456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0" w:type="dxa"/>
            <w:vAlign w:val="bottom"/>
          </w:tcPr>
          <w:p>
            <w:pPr>
              <w:spacing w:after="0"/>
              <w:rPr>
                <w:sz w:val="1"/>
                <w:szCs w:val="1"/>
                <w:color w:val="auto"/>
              </w:rPr>
            </w:pPr>
          </w:p>
        </w:tc>
      </w:tr>
      <w:tr>
        <w:trPr>
          <w:trHeight w:val="256"/>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0" w:type="dxa"/>
            <w:vAlign w:val="bottom"/>
          </w:tcPr>
          <w:p>
            <w:pPr>
              <w:spacing w:after="0"/>
              <w:rPr>
                <w:sz w:val="1"/>
                <w:szCs w:val="1"/>
                <w:color w:val="auto"/>
              </w:rPr>
            </w:pPr>
          </w:p>
        </w:tc>
      </w:tr>
      <w:tr>
        <w:trPr>
          <w:trHeight w:val="25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0" w:type="dxa"/>
            <w:vAlign w:val="bottom"/>
          </w:tcPr>
          <w:p>
            <w:pPr>
              <w:spacing w:after="0"/>
              <w:rPr>
                <w:sz w:val="1"/>
                <w:szCs w:val="1"/>
                <w:color w:val="auto"/>
              </w:rPr>
            </w:pPr>
          </w:p>
        </w:tc>
      </w:tr>
      <w:tr>
        <w:trPr>
          <w:trHeight w:val="263"/>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 and option exercises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82"/>
        </w:trPr>
        <w:tc>
          <w:tcPr>
            <w:tcW w:w="220" w:type="dxa"/>
            <w:vAlign w:val="bottom"/>
            <w:tcBorders>
              <w:bottom w:val="single" w:sz="8" w:color="CCEEFF"/>
            </w:tcBorders>
            <w:shd w:val="clear" w:color="auto" w:fill="CCEEFF"/>
          </w:tcPr>
          <w:p>
            <w:pPr>
              <w:spacing w:after="0"/>
              <w:rPr>
                <w:sz w:val="24"/>
                <w:szCs w:val="24"/>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66,623</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w w:val="95"/>
              </w:rPr>
              <w:t>(1)</w:t>
            </w:r>
          </w:p>
        </w:tc>
        <w:tc>
          <w:tcPr>
            <w:tcW w:w="790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Represents nonrecurring acquisition-related costs.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220" w:type="dxa"/>
            <w:vAlign w:val="bottom"/>
            <w:vMerge w:val="continue"/>
          </w:tcPr>
          <w:p>
            <w:pPr>
              <w:spacing w:after="0"/>
              <w:rPr>
                <w:sz w:val="24"/>
                <w:szCs w:val="24"/>
                <w:color w:val="auto"/>
              </w:rPr>
            </w:pPr>
          </w:p>
        </w:tc>
        <w:tc>
          <w:tcPr>
            <w:tcW w:w="7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(2)</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Represents nonrecurring costs including acquisition and other transaction-related costs.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HCM and payroll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HCM and payroll solutions. Implementations of our payroll solutions typically require one to eight weeks, depending on the size and complexity of each client,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a good indicator of our financial results in any given period. Recurring and other revenue accounted for substantially all of our total revenues during the three months ended September 30, 2021 and 97% of our total revenues for the three months ended September 30, 2022.</w:t>
      </w:r>
    </w:p>
    <w:p>
      <w:pPr>
        <w:spacing w:after="0" w:line="13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Cost of revenues includes costs to provide our HCM and payroll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amortized as Cost of revenues. We amortized $6.1 million and $7.0 million of capitalized internal-use software costs during the three months ended September 30, 2021 and 2022,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amortize them over a period of 7 years.</w:t>
      </w:r>
    </w:p>
    <w:p>
      <w:pPr>
        <w:spacing w:after="0" w:line="13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3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2021 and 2022.</w:t>
      </w:r>
    </w:p>
    <w:p>
      <w:pPr>
        <w:spacing w:after="0" w:line="18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8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23"/>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23,076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32,905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51,843</w:t>
            </w: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administrative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0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losses on disposals of property and equipment and interest expense related to our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2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45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4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245,406</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253,280</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84,543</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168,737</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71,063</w:t>
            </w: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40,093</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50,492</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161,648</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2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1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9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8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29"/>
        </w:trPr>
        <w:tc>
          <w:tcPr>
            <w:tcW w:w="8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0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8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8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8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3"/>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3"/>
        </w:trPr>
        <w:tc>
          <w:tcPr>
            <w:tcW w:w="79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2021 and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180,824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245,406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7,874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0" w:type="dxa"/>
            <w:vAlign w:val="bottom"/>
          </w:tcPr>
          <w:p>
            <w:pPr>
              <w:spacing w:after="0"/>
              <w:rPr>
                <w:sz w:val="1"/>
                <w:szCs w:val="1"/>
                <w:color w:val="auto"/>
              </w:rPr>
            </w:pPr>
          </w:p>
        </w:tc>
      </w:tr>
      <w:tr>
        <w:trPr>
          <w:trHeight w:val="234"/>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0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September 30, 2022 increased by $64.6 million, or 36%, to $245.4 million from $180.8 million for three months ended September 30, 2021. Recurring and other revenue increased primarily as a result of incremental revenues from new and existing clients due to the strong performance by our sales team and also increases in client workforce levels as compared to the prior fiscal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September 30, 2022 increased by $7.0 million, or 802%, to $7.9 million from $0.9 million for the three months ended September 30, 2021. Interest income on funds held for clients increased primarily due to higher interest rates and higher average daily balances for funds held due to the addition of new clients to our client base and also increases in client workforce levels as compared to the prior fiscal year.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63,249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84,543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21,294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19"/>
                <w:szCs w:val="19"/>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three months ended September 30, 2022 increased by $21.3 million, or 34%, to $84.5 million from $63.2 million for the three months ended September 30, 2021. Cost of revenues increased primarily as a result of the continued growth of our business, in particular, $11.5 million in additional employee-related costs resulting from additional personnel necessary to provide services to new and existing clients, $5.6 million in additional delivery and other processing costs and $1.9 million in amortization of certain acquired intangible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49,885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71,063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21,178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three months ended September 30, 2022 increased by $21.2 million, or 42%, to $71.1 million from $49.9 million for the three months ended September 30, 2021. The increase in sales and marketing expense was primarily due to $13.4 million of additional employee-related costs, including those incurred to expand our sales team. The increase was also driven by $4.4 million of additional stock-based compensation costs associated with our equity incentive plan and $2.7 million in additional marketing lead generation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23,076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40,093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17,017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2022 increased by $17.0 million, or 74%, to $40.1 million from $23.1 million for the three months ended September 30, 2021. The increase in research and development expenses was primarily due to $11.3 million of additional employee-related costs related to additional development personnel and $5.1 million of additional stock-based compensation costs associated with our equity incentive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35,235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50,492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15,257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2022 increased by $15.3 million, or 43%, to $50.5 million from $35.2 million for the three months ended September 30, 2021. The increase in general and</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administrative expense was primarily due to $9.3 million of additional stock-based compensation costs associated with our equity incentive plan and $5.1 million in additional employee-related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gridSpan w:val="3"/>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did not materially change for the three months ended September 30, 2022 as compared to the three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effective tax rate was (205.2)% and (338.2)% for the three months ended September 30, 2021 and 2022, respectively. Our effective tax rate for the three months ended September 30, 2021 was lower than the federal statutory rate of 21% primarily due to excess tax benefits from employee stock-based compensation and state and local income taxes, partially offset by an increase to the valuation allowance. Our effective tax rate for the three months ended September 30, 2022 was lower than the federal statutory rate of 21% primarily due to excess tax benefits from employee stock-based compensation, state and local income taxes, and a decrease to the valuation allowance.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4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Our critical accounting policies and use of estimates are disclosed in our audited consolidated financial statements for the year ended June 30, 2022 included in our Annual Report on Form 10-K filed with the SEC on August 5,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September 30, 2022, our principal source of liquidity was $65.5 million of cash and cash equivalents. In August 2022, we amended the credit agreement entered in July 2019 to increase the borrowing capacity under our revolving credit facility to $550.0 million, which may be increased up to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$825.0 million. No amounts were drawn on the revolving credit facility as of September 30, 2022. Refer to Note 8 of the Notes to the Unaudited Consolidated Financial Statements for additional detail on the amended credit agreement.</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debt issuances, asset-backed debt securities, certificates of deposit, U.S. treasury securities, U.S. government agency securities and other securities with credit quality ratings of A-1 or higher. As of September 30, 2022, we did not have any corporate investments.</w:t>
      </w:r>
    </w:p>
    <w:p>
      <w:pPr>
        <w:spacing w:after="0" w:line="14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and other investments principally with cash flows from operations, and to the extent that our liquidity needs exceed our cash from operations, we would look to our cash on hand or utilize the borrowing capacity under our credit facility to satisfy those needs.</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51"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(118,926)</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(1,688,339)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(1,763,265)</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1,162,671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(1,836,354)</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(used in) operating activities was $(4.1) million and $16.4 million for the three months ended September 30, 2021 and 2022, respectively. The change in net cash provided by (used in) operating activities from the three months ended September 30, 2021 to the three months ended September 30, 2022 was primarily due to improved operating results after adjusting for non-cash items including stock-based compensation expense, depreciation and amortization expense and deferred income tax benefit, accompanied by net changes in operating assets and liabilities during the three months ended September 30, 2022 as compared to the three months ended September 30,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$198.2 million and $89.5 million for the three months ended September 30, 2021 and 2022,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3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a $59.6 million decrease in amounts paid for acquisitions, net of cash acquired, $33.2 million in additional proceeds from the sales and maturities of available-for-sale securities and $16.9 million in fewer purchases of available-for-sale securities during the three months ended September 30, 2022 as compared to the three months ended September 30,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(used in) financing activities was $1,365.0 million and $(1,763.3) million for the three months ended September 30, 2021 and 2022, respectively. The change in net cash provided by (used in) financing activities was primarily the result of a decrease in the change in client fund obligations of $3,114.1 million due to the timing of client funds collected and related remittance of those funds to client employees and taxing authorities during the three months ended September 30, 2022 as compared to the three months ended September 30,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0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2022, our principal commitments consisted of $88.2 million in operating lease obligations, of which $10.7 million is due in the next twelve months. We also had $39.6 million in purchase obligations, of which $22.0 million is due in the next twelve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$3.2 million and $3.4 million for the three months ended September 30, 2021 and 2022, respectively, exclusive of capitalized internal-use software costs of $9.2 million and $10.0 million for the same periods,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on our Annual Report on Form 10-K filed with the SEC on August 5, 2022 for risks related to our business as well as risks related to the COVID-19 pandemic.</w:t>
      </w:r>
    </w:p>
    <w:p>
      <w:pPr>
        <w:spacing w:after="0" w:line="153"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2022, we had cash and cash equivalents of $65.5 million and funds held for clients of $2,299.4 million. We did not hold corporate investments on our balance sheet as of September 30, 2022.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commercial paper, corporate debt issuances, asset-backed debt securities, certificates of deposit, U.S. government agency securities and other which were classified as available-for-sale securities as of September 30, 2022.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4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$3.4 million as of September 30, 2022. An immediate 100-basis point decrease in interest rates would have resulted in an increase in the market value of our available-for-sale securities by</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$3.4 million as of September 30, 2022. Fluctuations in the value of our available-for-sale securities caused by changes in interest rates are recorded in other comprehensive income and are only realized if we sell the underlying securities.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entered into a first amendment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credit agreement that provides for a revolving credit facility (“credit facility”) in the 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$825.0 </w:t>
      </w:r>
      <w:r>
        <w:rPr>
          <w:rFonts w:ascii="Times New Roman" w:cs="Times New Roman" w:eastAsia="Times New Roman" w:hAnsi="Times New Roman"/>
          <w:sz w:val="18"/>
          <w:szCs w:val="18"/>
          <w:color w:val="212529"/>
        </w:rPr>
        <w:t>million. Borrowings under the credit facility generally bear interest at a rate based upon the Term Secured Overnight Financing Rate (“SOFR”)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12529"/>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there were no amounts drawn on the credit facility. To the extent that we draw additional amounts under the credit facility, we may be exposed to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market risk from changes in the underlying index rates, which affects our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Co-Chief Executive Officers and Chief Financial Officer, has evaluated the effectiveness of our disclosure controls and procedures as of September 30, 2022, the end of the period covered by this Quarterly Report on Form 10-Q. Based upon such evaluation, our Co-Chief Executive Officers and Chief Financial Officer have concluded that our disclosure controls and procedures were effective as of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2022, we implemented a new client billing module within our financial system to strengthen our ability to scale our business. In connection with the implementation, we modified certain existing internal controls within our revenue process which were previously determined to be effective. We will continue to monitor and ensure effectiveness of any changes in internal controls.</w:t>
      </w:r>
    </w:p>
    <w:p>
      <w:pPr>
        <w:spacing w:after="0" w:line="13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There were no other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2022 filed with the SEC on August 5,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set forth in the Index to Exhibits immediately following this page.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56"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80" w:type="dxa"/>
            <w:vAlign w:val="bottom"/>
            <w:gridSpan w:val="15"/>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382"/>
        </w:trPr>
        <w:tc>
          <w:tcPr>
            <w:tcW w:w="20" w:type="dxa"/>
            <w:vAlign w:val="bottom"/>
          </w:tcPr>
          <w:p>
            <w:pPr>
              <w:spacing w:after="0"/>
              <w:rPr>
                <w:sz w:val="24"/>
                <w:szCs w:val="24"/>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80" w:type="dxa"/>
            <w:vAlign w:val="bottom"/>
            <w:gridSpan w:val="14"/>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5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40" w:type="dxa"/>
            <w:vAlign w:val="bottom"/>
            <w:gridSpan w:val="19"/>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Second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Form 8-K on December 3, 2021 (Registration No. 001-36348)).</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5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40" w:type="dxa"/>
            <w:vAlign w:val="bottom"/>
            <w:gridSpan w:val="19"/>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Second Amended and Restated Bylaws of Paylocity Holding Corporation (filed as Exhibit 3.2 of Paylocity Holding Corporation’s</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Current Report on Form 8-K on December 3, 2021 (File No. 001-36348)).</w:t>
              </w:r>
            </w:hyperlink>
          </w:p>
        </w:tc>
        <w:tc>
          <w:tcPr>
            <w:tcW w:w="4020" w:type="dxa"/>
            <w:vAlign w:val="bottom"/>
            <w:tcBorders>
              <w:top w:val="single" w:sz="8" w:color="0000FF"/>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20" w:type="dxa"/>
            <w:vAlign w:val="bottom"/>
          </w:tcPr>
          <w:p>
            <w:pPr>
              <w:spacing w:after="0"/>
              <w:rPr>
                <w:sz w:val="22"/>
                <w:szCs w:val="22"/>
                <w:color w:val="auto"/>
              </w:rPr>
            </w:pPr>
          </w:p>
        </w:tc>
        <w:tc>
          <w:tcPr>
            <w:tcW w:w="420" w:type="dxa"/>
            <w:vAlign w:val="bottom"/>
            <w:gridSpan w:val="3"/>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40" w:type="dxa"/>
            <w:vAlign w:val="bottom"/>
            <w:gridSpan w:val="19"/>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 xml:space="preserve">Separation Agreement dated as of June 30, 2022 by and between Paylocity Corporation and Mark Kinsey.(filed as Exhibit 10.1 </w:t>
              </w:r>
            </w:hyperlink>
            <w:r>
              <w:rPr>
                <w:rFonts w:ascii="Times New Roman" w:cs="Times New Roman" w:eastAsia="Times New Roman" w:hAnsi="Times New Roman"/>
                <w:sz w:val="18"/>
                <w:szCs w:val="18"/>
                <w:color w:val="0000FF"/>
              </w:rPr>
              <w:t>of</w:t>
            </w:r>
          </w:p>
        </w:tc>
      </w:tr>
      <w:tr>
        <w:trPr>
          <w:trHeight w:val="27"/>
        </w:trPr>
        <w:tc>
          <w:tcPr>
            <w:tcW w:w="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3000" w:type="dxa"/>
            <w:vAlign w:val="bottom"/>
            <w:gridSpan w:val="3"/>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gridSpan w:val="19"/>
          </w:tcPr>
          <w:p>
            <w:pPr>
              <w:spacing w:after="0" w:line="20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Paylocity Holding Corporation's Current Report on Form 8-K on July 1, 2022 (File No. 001-36348)</w:t>
              </w:r>
              <w:r>
                <w:rPr>
                  <w:rFonts w:ascii="Times New Roman" w:cs="Times New Roman" w:eastAsia="Times New Roman" w:hAnsi="Times New Roman"/>
                  <w:sz w:val="18"/>
                  <w:szCs w:val="18"/>
                  <w:u w:val="single" w:color="auto"/>
                  <w:color w:val="0000FF"/>
                </w:rPr>
                <w:t>).</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40" w:type="dxa"/>
            <w:vAlign w:val="bottom"/>
            <w:gridSpan w:val="19"/>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First Amendment to Credit Agreement and Security Agreement, dated as of August 19, 2022, by and among Paylocity Holding</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Corporation, the Guarantor party thereto, the Lenders party thereto, PNC Bank, National Association, as Administrative Agent,</w:t>
              </w:r>
            </w:hyperlink>
          </w:p>
        </w:tc>
        <w:tc>
          <w:tcPr>
            <w:tcW w:w="700" w:type="dxa"/>
            <w:vAlign w:val="bottom"/>
            <w:gridSpan w:val="9"/>
          </w:tcPr>
          <w:p>
            <w:pPr>
              <w:ind w:left="60"/>
              <w:spacing w:after="0" w:line="16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and</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720" w:type="dxa"/>
            <w:vAlign w:val="bottom"/>
            <w:gridSpan w:val="5"/>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gridSpan w:val="19"/>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PNC Capital Markets, LLC and JPMorgan Chase Bank, N.A., as joint lead arrangers and joint bookrunners. (filed as Exhibit 10.1 of</w:t>
              </w:r>
            </w:hyperlink>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Paylocity Holding Corporation's Current Report on Form 8-K on August 22, 2022 (File No. 001-36348)).</w:t>
              </w:r>
            </w:hyperlink>
          </w:p>
        </w:tc>
        <w:tc>
          <w:tcPr>
            <w:tcW w:w="1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720" w:type="dxa"/>
            <w:vAlign w:val="bottom"/>
            <w:gridSpan w:val="5"/>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2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0" w:type="dxa"/>
            <w:vAlign w:val="bottom"/>
          </w:tcPr>
          <w:p>
            <w:pPr>
              <w:spacing w:after="0"/>
              <w:rPr>
                <w:sz w:val="14"/>
                <w:szCs w:val="14"/>
                <w:color w:val="auto"/>
              </w:rPr>
            </w:pPr>
          </w:p>
        </w:tc>
      </w:tr>
      <w:tr>
        <w:trPr>
          <w:trHeight w:val="20"/>
        </w:trPr>
        <w:tc>
          <w:tcPr>
            <w:tcW w:w="5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2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0" w:type="dxa"/>
            <w:vAlign w:val="bottom"/>
          </w:tcPr>
          <w:p>
            <w:pPr>
              <w:spacing w:after="0"/>
              <w:rPr>
                <w:sz w:val="14"/>
                <w:szCs w:val="14"/>
                <w:color w:val="auto"/>
              </w:rPr>
            </w:pPr>
          </w:p>
        </w:tc>
      </w:tr>
      <w:tr>
        <w:trPr>
          <w:trHeight w:val="20"/>
        </w:trPr>
        <w:tc>
          <w:tcPr>
            <w:tcW w:w="5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3*</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Securities Exchange Act Rules 13a-4 and 15d-14 as adopted pursuant to Section 302</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40" w:type="dxa"/>
            <w:vAlign w:val="bottom"/>
            <w:gridSpan w:val="2"/>
          </w:tcPr>
          <w:p>
            <w:pPr>
              <w:spacing w:after="0"/>
              <w:rPr>
                <w:sz w:val="14"/>
                <w:szCs w:val="14"/>
                <w:color w:val="auto"/>
              </w:rPr>
            </w:pPr>
          </w:p>
        </w:tc>
      </w:tr>
      <w:tr>
        <w:trPr>
          <w:trHeight w:val="20"/>
        </w:trPr>
        <w:tc>
          <w:tcPr>
            <w:tcW w:w="5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63"/>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20" w:type="dxa"/>
            <w:vAlign w:val="bottom"/>
          </w:tcPr>
          <w:p>
            <w:pPr>
              <w:spacing w:after="0"/>
              <w:rPr>
                <w:sz w:val="22"/>
                <w:szCs w:val="22"/>
                <w:color w:val="auto"/>
              </w:rPr>
            </w:pP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2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20" w:type="dxa"/>
            <w:vAlign w:val="bottom"/>
            <w:gridSpan w:val="4"/>
          </w:tcPr>
          <w:p>
            <w:pPr>
              <w:spacing w:after="0"/>
              <w:rPr>
                <w:sz w:val="14"/>
                <w:szCs w:val="14"/>
                <w:color w:val="auto"/>
              </w:rPr>
            </w:pPr>
          </w:p>
        </w:tc>
      </w:tr>
      <w:tr>
        <w:trPr>
          <w:trHeight w:val="20"/>
        </w:trPr>
        <w:tc>
          <w:tcPr>
            <w:tcW w:w="1280" w:type="dxa"/>
            <w:vAlign w:val="bottom"/>
            <w:gridSpan w:val="6"/>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gridSpan w:val="9"/>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263"/>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20" w:type="dxa"/>
            <w:vAlign w:val="bottom"/>
          </w:tcPr>
          <w:p>
            <w:pPr>
              <w:spacing w:after="0"/>
              <w:rPr>
                <w:sz w:val="22"/>
                <w:szCs w:val="22"/>
                <w:color w:val="auto"/>
              </w:rPr>
            </w:pP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2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20" w:type="dxa"/>
            <w:vAlign w:val="bottom"/>
            <w:gridSpan w:val="4"/>
          </w:tcPr>
          <w:p>
            <w:pPr>
              <w:spacing w:after="0"/>
              <w:rPr>
                <w:sz w:val="14"/>
                <w:szCs w:val="14"/>
                <w:color w:val="auto"/>
              </w:rPr>
            </w:pPr>
          </w:p>
        </w:tc>
      </w:tr>
      <w:tr>
        <w:trPr>
          <w:trHeight w:val="20"/>
        </w:trPr>
        <w:tc>
          <w:tcPr>
            <w:tcW w:w="1280" w:type="dxa"/>
            <w:vAlign w:val="bottom"/>
            <w:gridSpan w:val="6"/>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gridSpan w:val="9"/>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263"/>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3**</w:t>
            </w:r>
          </w:p>
        </w:tc>
        <w:tc>
          <w:tcPr>
            <w:tcW w:w="120" w:type="dxa"/>
            <w:vAlign w:val="bottom"/>
          </w:tcPr>
          <w:p>
            <w:pPr>
              <w:spacing w:after="0"/>
              <w:rPr>
                <w:sz w:val="22"/>
                <w:szCs w:val="22"/>
                <w:color w:val="auto"/>
              </w:rPr>
            </w:pP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4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00" w:type="dxa"/>
            <w:vAlign w:val="bottom"/>
            <w:gridSpan w:val="8"/>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right w:val="single" w:sz="8" w:color="0000FF"/>
            </w:tcBorders>
            <w:gridSpan w:val="6"/>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80" w:type="dxa"/>
            <w:vAlign w:val="bottom"/>
            <w:gridSpan w:val="17"/>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3"/>
        </w:trPr>
        <w:tc>
          <w:tcPr>
            <w:tcW w:w="20" w:type="dxa"/>
            <w:vAlign w:val="bottom"/>
          </w:tcPr>
          <w:p>
            <w:pPr>
              <w:spacing w:after="0"/>
              <w:rPr>
                <w:sz w:val="24"/>
                <w:szCs w:val="24"/>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20" w:type="dxa"/>
            <w:vAlign w:val="bottom"/>
          </w:tcPr>
          <w:p>
            <w:pPr>
              <w:spacing w:after="0"/>
              <w:rPr>
                <w:sz w:val="24"/>
                <w:szCs w:val="24"/>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20" w:type="dxa"/>
            <w:vAlign w:val="bottom"/>
          </w:tcPr>
          <w:p>
            <w:pPr>
              <w:spacing w:after="0"/>
              <w:rPr>
                <w:sz w:val="24"/>
                <w:szCs w:val="24"/>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20" w:type="dxa"/>
            <w:vAlign w:val="bottom"/>
          </w:tcPr>
          <w:p>
            <w:pPr>
              <w:spacing w:after="0"/>
              <w:rPr>
                <w:sz w:val="24"/>
                <w:szCs w:val="24"/>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20" w:type="dxa"/>
            <w:vAlign w:val="bottom"/>
          </w:tcPr>
          <w:p>
            <w:pPr>
              <w:spacing w:after="0"/>
              <w:rPr>
                <w:sz w:val="24"/>
                <w:szCs w:val="24"/>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0"/>
        </w:trPr>
        <w:tc>
          <w:tcPr>
            <w:tcW w:w="260" w:type="dxa"/>
            <w:vAlign w:val="bottom"/>
            <w:tcBorders>
              <w:bottom w:val="single" w:sz="8" w:color="auto"/>
            </w:tcBorders>
            <w:gridSpan w:val="2"/>
          </w:tcPr>
          <w:p>
            <w:pPr>
              <w:spacing w:after="0"/>
              <w:rPr>
                <w:sz w:val="23"/>
                <w:szCs w:val="23"/>
                <w:color w:val="auto"/>
              </w:rPr>
            </w:pPr>
          </w:p>
        </w:tc>
        <w:tc>
          <w:tcPr>
            <w:tcW w:w="1140" w:type="dxa"/>
            <w:vAlign w:val="bottom"/>
            <w:tcBorders>
              <w:bottom w:val="single" w:sz="8" w:color="auto"/>
            </w:tcBorders>
            <w:gridSpan w:val="5"/>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67"/>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9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82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6"/>
          </w:tcPr>
          <w:p>
            <w:pPr>
              <w:jc w:val="right"/>
              <w:ind w:right="188"/>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4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4, 2022</w:t>
            </w: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214"/>
        </w:trPr>
        <w:tc>
          <w:tcPr>
            <w:tcW w:w="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Steven R. Beauchamp</w:t>
            </w:r>
          </w:p>
        </w:tc>
      </w:tr>
      <w:tr>
        <w:trPr>
          <w:trHeight w:val="184"/>
        </w:trPr>
        <w:tc>
          <w:tcPr>
            <w:tcW w:w="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540" w:type="dxa"/>
            <w:vAlign w:val="bottom"/>
          </w:tcPr>
          <w:p>
            <w:pPr>
              <w:ind w:left="18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Co-Chief Executive Officer (Principal Executive Officer) and</w:t>
            </w:r>
          </w:p>
        </w:tc>
      </w:tr>
      <w:tr>
        <w:trPr>
          <w:trHeight w:val="238"/>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4, 2022</w:t>
            </w: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540" w:type="dxa"/>
            <w:vAlign w:val="bottom"/>
          </w:tcPr>
          <w:p>
            <w:pPr>
              <w:ind w:left="18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w:t>
            </w:r>
          </w:p>
        </w:tc>
      </w:tr>
      <w:tr>
        <w:trPr>
          <w:trHeight w:val="238"/>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4, 2022</w:t>
            </w: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184"/>
        </w:trPr>
        <w:tc>
          <w:tcPr>
            <w:tcW w:w="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540" w:type="dxa"/>
            <w:vAlign w:val="bottom"/>
          </w:tcPr>
          <w:p>
            <w:pPr>
              <w:ind w:left="18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w:t>
            </w:r>
          </w:p>
        </w:tc>
      </w:tr>
      <w:tr>
        <w:trPr>
          <w:trHeight w:val="238"/>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909"/>
        </w:trPr>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33</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185"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260" w:firstLine="648"/>
        <w:spacing w:after="0" w:line="266" w:lineRule="auto"/>
        <w:tabs>
          <w:tab w:leader="none" w:pos="19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September 30, 2022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ectPr>
          <w:pgSz w:w="11900" w:h="16838" w:orient="portrait"/>
          <w:cols w:equalWidth="0" w:num="1">
            <w:col w:w="11240"/>
          </w:cols>
          <w:pgMar w:left="320" w:top="110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260" w:firstLine="648"/>
        <w:spacing w:after="0" w:line="266" w:lineRule="auto"/>
        <w:tabs>
          <w:tab w:leader="none" w:pos="19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September 30, 2022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110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260" w:firstLine="648"/>
        <w:spacing w:after="0" w:line="266" w:lineRule="auto"/>
        <w:tabs>
          <w:tab w:leader="none" w:pos="19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September 30, 2022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ectPr>
          <w:pgSz w:w="11900" w:h="16838" w:orient="portrait"/>
          <w:cols w:equalWidth="0" w:num="1">
            <w:col w:w="11240"/>
          </w:cols>
          <w:pgMar w:left="320" w:top="110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2022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2022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September 30, 2022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2"/>
    </w:lvl>
  </w:abstractNum>
  <w:abstractNum w:abstractNumId="4">
    <w:nsid w:val="515F007C"/>
    <w:multiLevelType w:val="hybridMultilevel"/>
    <w:lvl w:ilvl="0">
      <w:lvlJc w:val="left"/>
      <w:lvlText w:val="(%1)"/>
      <w:numFmt w:val="lowerLetter"/>
      <w:start w:val="3"/>
    </w:lvl>
  </w:abstractNum>
  <w:abstractNum w:abstractNumId="5">
    <w:nsid w:val="5BD062C2"/>
    <w:multiLevelType w:val="hybridMultilevel"/>
    <w:lvl w:ilvl="0">
      <w:lvlJc w:val="left"/>
      <w:lvlText w:val="(%1)"/>
      <w:numFmt w:val="lowerLetter"/>
      <w:start w:val="4"/>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58" Type="http://schemas.openxmlformats.org/officeDocument/2006/relationships/hyperlink" Target="https://www.sec.gov/Archives/edgar/data/1591698/000159169821000013/pcty-20211201xexhibit31.htm" TargetMode="External"/><Relationship Id="rId59" Type="http://schemas.openxmlformats.org/officeDocument/2006/relationships/hyperlink" Target="https://www.sec.gov/Archives/edgar/data/1591698/000159169821000013/pcty-20211201xexhibit32.htm" TargetMode="External"/><Relationship Id="rId60" Type="http://schemas.openxmlformats.org/officeDocument/2006/relationships/hyperlink" Target="https://www.sec.gov/Archives/edgar/data/1591698/000159169822000045/pcty-202203118xkexhibit101.htm" TargetMode="External"/><Relationship Id="rId61" Type="http://schemas.openxmlformats.org/officeDocument/2006/relationships/hyperlink" Target="https://www.sec.gov/Archives/edgar/data/1591698/000159169822000079/pcty-202206308xkexhibit101.htm" TargetMode="External"/><Relationship Id="rId62" Type="http://schemas.openxmlformats.org/officeDocument/2006/relationships/hyperlink" Target="https://www.sec.gov/Archives/edgar/data/1591698/000159169822000045/pcty-202203118xkexhibit102.htm" TargetMode="External"/><Relationship Id="rId63" Type="http://schemas.openxmlformats.org/officeDocument/2006/relationships/hyperlink" Target="https://www.sec.gov/Archives/edgar/data/1591698/000159169822000144/pcty-202208198k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2022-11-04T09:04:12Z</dcterms:created>
  <dcterms:modified xsi:type="dcterms:W3CDTF">2022-11-04T09:04:12Z</dcterms:modified>
</cp:coreProperties>
</file>