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177800</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pacing w:after="0" w:line="3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-207645</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133350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160020</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660" w:hanging="31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December 31, 2019</w:t>
      </w:r>
    </w:p>
    <w:p>
      <w:pPr>
        <w:spacing w:after="0" w:line="141" w:lineRule="exact"/>
        <w:rPr>
          <w:sz w:val="24"/>
          <w:szCs w:val="24"/>
          <w:color w:val="auto"/>
        </w:rPr>
      </w:pPr>
    </w:p>
    <w:p>
      <w:pPr>
        <w:ind w:left="660" w:hanging="318"/>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4040"/>
        <w:spacing w:after="0"/>
        <w:tabs>
          <w:tab w:leader="none" w:pos="60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152400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47625</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6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2"/>
          </w:tcPr>
          <w:p>
            <w:pPr>
              <w:jc w:val="center"/>
              <w:ind w:left="1548"/>
              <w:spacing w:after="0"/>
              <w:rPr>
                <w:sz w:val="20"/>
                <w:szCs w:val="20"/>
                <w:color w:val="auto"/>
              </w:rPr>
            </w:pPr>
            <w:r>
              <w:rPr>
                <w:rFonts w:ascii="Arial" w:cs="Arial" w:eastAsia="Arial" w:hAnsi="Arial"/>
                <w:sz w:val="14"/>
                <w:szCs w:val="14"/>
                <w:b w:val="1"/>
                <w:bCs w:val="1"/>
                <w:color w:val="auto"/>
                <w:w w:val="94"/>
              </w:rPr>
              <w:t>Delaware</w:t>
            </w:r>
          </w:p>
        </w:tc>
        <w:tc>
          <w:tcPr>
            <w:tcW w:w="4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80" w:type="dxa"/>
            <w:vAlign w:val="bottom"/>
          </w:tcPr>
          <w:p>
            <w:pPr>
              <w:jc w:val="center"/>
              <w:ind w:right="1628"/>
              <w:spacing w:after="0"/>
              <w:rPr>
                <w:sz w:val="20"/>
                <w:szCs w:val="20"/>
                <w:color w:val="auto"/>
              </w:rPr>
            </w:pPr>
            <w:r>
              <w:rPr>
                <w:rFonts w:ascii="Arial" w:cs="Arial" w:eastAsia="Arial" w:hAnsi="Arial"/>
                <w:sz w:val="14"/>
                <w:szCs w:val="14"/>
                <w:b w:val="1"/>
                <w:bCs w:val="1"/>
                <w:color w:val="auto"/>
                <w:w w:val="90"/>
              </w:rPr>
              <w:t>46-4066644</w:t>
            </w:r>
          </w:p>
        </w:tc>
        <w:tc>
          <w:tcPr>
            <w:tcW w:w="0" w:type="dxa"/>
            <w:vAlign w:val="bottom"/>
          </w:tcPr>
          <w:p>
            <w:pPr>
              <w:spacing w:after="0"/>
              <w:rPr>
                <w:sz w:val="1"/>
                <w:szCs w:val="1"/>
                <w:color w:val="auto"/>
              </w:rPr>
            </w:pPr>
          </w:p>
        </w:tc>
      </w:tr>
      <w:tr>
        <w:trPr>
          <w:trHeight w:val="149"/>
        </w:trPr>
        <w:tc>
          <w:tcPr>
            <w:tcW w:w="3520" w:type="dxa"/>
            <w:vAlign w:val="bottom"/>
            <w:gridSpan w:val="2"/>
          </w:tcPr>
          <w:p>
            <w:pPr>
              <w:jc w:val="center"/>
              <w:ind w:left="1548"/>
              <w:spacing w:after="0" w:line="149" w:lineRule="exact"/>
              <w:rPr>
                <w:sz w:val="20"/>
                <w:szCs w:val="20"/>
                <w:color w:val="auto"/>
              </w:rPr>
            </w:pPr>
            <w:r>
              <w:rPr>
                <w:rFonts w:ascii="Arial" w:cs="Arial" w:eastAsia="Arial" w:hAnsi="Arial"/>
                <w:sz w:val="14"/>
                <w:szCs w:val="14"/>
                <w:color w:val="auto"/>
                <w:w w:val="94"/>
              </w:rPr>
              <w:t>(State or other jurisdiction of</w:t>
            </w:r>
          </w:p>
        </w:tc>
        <w:tc>
          <w:tcPr>
            <w:tcW w:w="4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80" w:type="dxa"/>
            <w:vAlign w:val="bottom"/>
          </w:tcPr>
          <w:p>
            <w:pPr>
              <w:jc w:val="center"/>
              <w:ind w:right="1628"/>
              <w:spacing w:after="0" w:line="149" w:lineRule="exact"/>
              <w:rPr>
                <w:sz w:val="20"/>
                <w:szCs w:val="20"/>
                <w:color w:val="auto"/>
              </w:rPr>
            </w:pPr>
            <w:r>
              <w:rPr>
                <w:rFonts w:ascii="Arial" w:cs="Arial" w:eastAsia="Arial" w:hAnsi="Arial"/>
                <w:sz w:val="14"/>
                <w:szCs w:val="14"/>
                <w:color w:val="auto"/>
                <w:w w:val="96"/>
              </w:rPr>
              <w:t>(IRS Employer</w:t>
            </w:r>
          </w:p>
        </w:tc>
        <w:tc>
          <w:tcPr>
            <w:tcW w:w="0" w:type="dxa"/>
            <w:vAlign w:val="bottom"/>
          </w:tcPr>
          <w:p>
            <w:pPr>
              <w:spacing w:after="0"/>
              <w:rPr>
                <w:sz w:val="1"/>
                <w:szCs w:val="1"/>
                <w:color w:val="auto"/>
              </w:rPr>
            </w:pPr>
          </w:p>
        </w:tc>
      </w:tr>
      <w:tr>
        <w:trPr>
          <w:trHeight w:val="182"/>
        </w:trPr>
        <w:tc>
          <w:tcPr>
            <w:tcW w:w="3520" w:type="dxa"/>
            <w:vAlign w:val="bottom"/>
            <w:gridSpan w:val="2"/>
          </w:tcPr>
          <w:p>
            <w:pPr>
              <w:jc w:val="center"/>
              <w:ind w:left="1548"/>
              <w:spacing w:after="0"/>
              <w:rPr>
                <w:sz w:val="20"/>
                <w:szCs w:val="20"/>
                <w:color w:val="auto"/>
              </w:rPr>
            </w:pPr>
            <w:r>
              <w:rPr>
                <w:rFonts w:ascii="Arial" w:cs="Arial" w:eastAsia="Arial" w:hAnsi="Arial"/>
                <w:sz w:val="14"/>
                <w:szCs w:val="14"/>
                <w:color w:val="auto"/>
                <w:w w:val="95"/>
              </w:rPr>
              <w:t>incorporation or organization)</w:t>
            </w:r>
          </w:p>
        </w:tc>
        <w:tc>
          <w:tcPr>
            <w:tcW w:w="4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80" w:type="dxa"/>
            <w:vAlign w:val="bottom"/>
          </w:tcPr>
          <w:p>
            <w:pPr>
              <w:jc w:val="center"/>
              <w:ind w:right="1628"/>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286"/>
        </w:trPr>
        <w:tc>
          <w:tcPr>
            <w:tcW w:w="3520" w:type="dxa"/>
            <w:vAlign w:val="bottom"/>
            <w:gridSpan w:val="2"/>
          </w:tcPr>
          <w:p>
            <w:pPr>
              <w:jc w:val="center"/>
              <w:ind w:left="1648"/>
              <w:spacing w:after="0"/>
              <w:rPr>
                <w:sz w:val="20"/>
                <w:szCs w:val="20"/>
                <w:color w:val="auto"/>
              </w:rPr>
            </w:pPr>
            <w:r>
              <w:rPr>
                <w:rFonts w:ascii="Arial" w:cs="Arial" w:eastAsia="Arial" w:hAnsi="Arial"/>
                <w:sz w:val="14"/>
                <w:szCs w:val="14"/>
                <w:b w:val="1"/>
                <w:bCs w:val="1"/>
                <w:color w:val="auto"/>
                <w:w w:val="94"/>
              </w:rPr>
              <w:t>1400 American Lane</w:t>
            </w:r>
          </w:p>
        </w:tc>
        <w:tc>
          <w:tcPr>
            <w:tcW w:w="4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vMerge w:val="restart"/>
          </w:tcPr>
          <w:p>
            <w:pPr>
              <w:jc w:val="right"/>
              <w:ind w:right="2328"/>
              <w:spacing w:after="0"/>
              <w:rPr>
                <w:sz w:val="20"/>
                <w:szCs w:val="20"/>
                <w:color w:val="auto"/>
              </w:rPr>
            </w:pPr>
            <w:r>
              <w:rPr>
                <w:rFonts w:ascii="Arial" w:cs="Arial" w:eastAsia="Arial" w:hAnsi="Arial"/>
                <w:sz w:val="14"/>
                <w:szCs w:val="14"/>
                <w:b w:val="1"/>
                <w:bCs w:val="1"/>
                <w:color w:val="auto"/>
              </w:rPr>
              <w:t>60173</w:t>
            </w:r>
          </w:p>
        </w:tc>
        <w:tc>
          <w:tcPr>
            <w:tcW w:w="0" w:type="dxa"/>
            <w:vAlign w:val="bottom"/>
          </w:tcPr>
          <w:p>
            <w:pPr>
              <w:spacing w:after="0"/>
              <w:rPr>
                <w:sz w:val="1"/>
                <w:szCs w:val="1"/>
                <w:color w:val="auto"/>
              </w:rPr>
            </w:pPr>
          </w:p>
        </w:tc>
      </w:tr>
      <w:tr>
        <w:trPr>
          <w:trHeight w:val="153"/>
        </w:trPr>
        <w:tc>
          <w:tcPr>
            <w:tcW w:w="3520" w:type="dxa"/>
            <w:vAlign w:val="bottom"/>
            <w:gridSpan w:val="2"/>
          </w:tcPr>
          <w:p>
            <w:pPr>
              <w:jc w:val="center"/>
              <w:ind w:left="1648"/>
              <w:spacing w:after="0" w:line="153" w:lineRule="exact"/>
              <w:rPr>
                <w:sz w:val="20"/>
                <w:szCs w:val="20"/>
                <w:color w:val="auto"/>
              </w:rPr>
            </w:pPr>
            <w:r>
              <w:rPr>
                <w:rFonts w:ascii="Arial" w:cs="Arial" w:eastAsia="Arial" w:hAnsi="Arial"/>
                <w:sz w:val="14"/>
                <w:szCs w:val="14"/>
                <w:b w:val="1"/>
                <w:bCs w:val="1"/>
                <w:color w:val="auto"/>
                <w:w w:val="92"/>
              </w:rPr>
              <w:t>Schaumburg, Illinois</w:t>
            </w:r>
          </w:p>
        </w:tc>
        <w:tc>
          <w:tcPr>
            <w:tcW w:w="4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7020" w:type="dxa"/>
            <w:vAlign w:val="bottom"/>
            <w:gridSpan w:val="6"/>
          </w:tcPr>
          <w:p>
            <w:pPr>
              <w:jc w:val="center"/>
              <w:ind w:right="1780"/>
              <w:spacing w:after="0" w:line="145" w:lineRule="exact"/>
              <w:rPr>
                <w:sz w:val="20"/>
                <w:szCs w:val="20"/>
                <w:color w:val="auto"/>
              </w:rPr>
            </w:pPr>
            <w:r>
              <w:rPr>
                <w:rFonts w:ascii="Arial" w:cs="Arial" w:eastAsia="Arial" w:hAnsi="Arial"/>
                <w:sz w:val="14"/>
                <w:szCs w:val="14"/>
                <w:color w:val="auto"/>
                <w:w w:val="95"/>
              </w:rPr>
              <w:t>(Address of principal executive offices)</w:t>
            </w:r>
          </w:p>
        </w:tc>
        <w:tc>
          <w:tcPr>
            <w:tcW w:w="3380" w:type="dxa"/>
            <w:vAlign w:val="bottom"/>
          </w:tcPr>
          <w:p>
            <w:pPr>
              <w:ind w:left="480"/>
              <w:spacing w:after="0" w:line="145" w:lineRule="exact"/>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153"/>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0" w:type="dxa"/>
            <w:vAlign w:val="bottom"/>
            <w:gridSpan w:val="2"/>
          </w:tcPr>
          <w:p>
            <w:pPr>
              <w:jc w:val="center"/>
              <w:ind w:left="308"/>
              <w:spacing w:after="0" w:line="153" w:lineRule="exact"/>
              <w:rPr>
                <w:sz w:val="20"/>
                <w:szCs w:val="20"/>
                <w:color w:val="auto"/>
              </w:rPr>
            </w:pPr>
            <w:r>
              <w:rPr>
                <w:rFonts w:ascii="Arial" w:cs="Arial" w:eastAsia="Arial" w:hAnsi="Arial"/>
                <w:sz w:val="14"/>
                <w:szCs w:val="14"/>
                <w:b w:val="1"/>
                <w:bCs w:val="1"/>
                <w:color w:val="auto"/>
                <w:w w:val="93"/>
              </w:rPr>
              <w:t>(847) 463-3200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00" w:type="dxa"/>
            <w:vAlign w:val="bottom"/>
            <w:gridSpan w:val="4"/>
          </w:tcPr>
          <w:p>
            <w:pPr>
              <w:jc w:val="center"/>
              <w:ind w:right="100"/>
              <w:spacing w:after="0"/>
              <w:rPr>
                <w:sz w:val="20"/>
                <w:szCs w:val="20"/>
                <w:color w:val="auto"/>
              </w:rPr>
            </w:pPr>
            <w:r>
              <w:rPr>
                <w:rFonts w:ascii="Arial" w:cs="Arial" w:eastAsia="Arial" w:hAnsi="Arial"/>
                <w:sz w:val="14"/>
                <w:szCs w:val="14"/>
                <w:color w:val="auto"/>
                <w:w w:val="92"/>
              </w:rPr>
              <w:t>(Registrant’s telephone number, including area code)</w:t>
            </w: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3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500" w:type="dxa"/>
            <w:vAlign w:val="bottom"/>
            <w:gridSpan w:val="2"/>
          </w:tcPr>
          <w:p>
            <w:pPr>
              <w:spacing w:after="0"/>
              <w:rPr>
                <w:sz w:val="5"/>
                <w:szCs w:val="5"/>
                <w:color w:val="auto"/>
              </w:rPr>
            </w:pPr>
          </w:p>
        </w:tc>
        <w:tc>
          <w:tcPr>
            <w:tcW w:w="3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gridSpan w:val="4"/>
          </w:tcPr>
          <w:p>
            <w:pPr>
              <w:jc w:val="center"/>
              <w:ind w:right="10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3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Title of each class</w:t>
            </w:r>
          </w:p>
        </w:tc>
        <w:tc>
          <w:tcPr>
            <w:tcW w:w="400" w:type="dxa"/>
            <w:vAlign w:val="bottom"/>
          </w:tcPr>
          <w:p>
            <w:pPr>
              <w:spacing w:after="0"/>
              <w:rPr>
                <w:sz w:val="24"/>
                <w:szCs w:val="24"/>
                <w:color w:val="auto"/>
              </w:rPr>
            </w:pPr>
          </w:p>
        </w:tc>
        <w:tc>
          <w:tcPr>
            <w:tcW w:w="31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Trading Symbol(s)</w:t>
            </w:r>
          </w:p>
        </w:tc>
        <w:tc>
          <w:tcPr>
            <w:tcW w:w="3380" w:type="dxa"/>
            <w:vAlign w:val="bottom"/>
          </w:tcPr>
          <w:p>
            <w:pPr>
              <w:ind w:left="36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6"/>
        </w:trPr>
        <w:tc>
          <w:tcPr>
            <w:tcW w:w="32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80" w:type="dxa"/>
            <w:vAlign w:val="bottom"/>
          </w:tcPr>
          <w:p>
            <w:pPr>
              <w:jc w:val="center"/>
              <w:spacing w:after="0"/>
              <w:rPr>
                <w:sz w:val="20"/>
                <w:szCs w:val="20"/>
                <w:color w:val="auto"/>
              </w:rPr>
            </w:pPr>
            <w:r>
              <w:rPr>
                <w:rFonts w:ascii="Arial" w:cs="Arial" w:eastAsia="Arial" w:hAnsi="Arial"/>
                <w:sz w:val="14"/>
                <w:szCs w:val="14"/>
                <w:color w:val="auto"/>
                <w:w w:val="92"/>
              </w:rPr>
              <w:t>Common Stock, par value $0.001 per share</w:t>
            </w:r>
          </w:p>
        </w:tc>
        <w:tc>
          <w:tcPr>
            <w:tcW w:w="2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88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PCTY</w:t>
            </w:r>
          </w:p>
        </w:tc>
        <w:tc>
          <w:tcPr>
            <w:tcW w:w="220" w:type="dxa"/>
            <w:vAlign w:val="bottom"/>
            <w:vMerge w:val="continue"/>
          </w:tcPr>
          <w:p>
            <w:pPr>
              <w:spacing w:after="0"/>
              <w:rPr>
                <w:sz w:val="15"/>
                <w:szCs w:val="15"/>
                <w:color w:val="auto"/>
              </w:rPr>
            </w:pPr>
          </w:p>
        </w:tc>
        <w:tc>
          <w:tcPr>
            <w:tcW w:w="3380" w:type="dxa"/>
            <w:vAlign w:val="bottom"/>
          </w:tcPr>
          <w:p>
            <w:pPr>
              <w:ind w:left="480"/>
              <w:spacing w:after="0"/>
              <w:rPr>
                <w:sz w:val="20"/>
                <w:szCs w:val="20"/>
                <w:color w:val="auto"/>
              </w:rPr>
            </w:pPr>
            <w:r>
              <w:rPr>
                <w:rFonts w:ascii="Arial" w:cs="Arial" w:eastAsia="Arial" w:hAnsi="Arial"/>
                <w:sz w:val="14"/>
                <w:szCs w:val="14"/>
                <w:color w:val="auto"/>
              </w:rPr>
              <w:t>The NASDAQ Global Select Market LLC</w:t>
            </w:r>
          </w:p>
        </w:tc>
        <w:tc>
          <w:tcPr>
            <w:tcW w:w="0" w:type="dxa"/>
            <w:vAlign w:val="bottom"/>
          </w:tcPr>
          <w:p>
            <w:pPr>
              <w:spacing w:after="0"/>
              <w:rPr>
                <w:sz w:val="1"/>
                <w:szCs w:val="1"/>
                <w:color w:val="auto"/>
              </w:rPr>
            </w:pPr>
          </w:p>
        </w:tc>
      </w:tr>
    </w:tbl>
    <w:p>
      <w:pPr>
        <w:spacing w:after="0" w:line="204" w:lineRule="exact"/>
        <w:rPr>
          <w:sz w:val="24"/>
          <w:szCs w:val="24"/>
          <w:color w:val="auto"/>
        </w:rPr>
      </w:pPr>
    </w:p>
    <w:p>
      <w:pPr>
        <w:ind w:left="20" w:right="560" w:firstLine="441"/>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ind w:left="20"/>
        <w:spacing w:after="0" w:line="188" w:lineRule="exact"/>
        <w:rPr>
          <w:sz w:val="20"/>
          <w:szCs w:val="20"/>
          <w:color w:val="auto"/>
        </w:rPr>
      </w:pPr>
      <w:r>
        <w:rPr>
          <w:rFonts w:ascii="Arial" w:cs="Arial" w:eastAsia="Arial" w:hAnsi="Arial"/>
          <w:sz w:val="14"/>
          <w:szCs w:val="14"/>
          <w:color w:val="auto"/>
        </w:rPr>
        <w:t xml:space="preserve">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16" w:lineRule="exact"/>
        <w:rPr>
          <w:sz w:val="24"/>
          <w:szCs w:val="24"/>
          <w:color w:val="auto"/>
        </w:rPr>
      </w:pPr>
    </w:p>
    <w:p>
      <w:pPr>
        <w:ind w:left="20" w:right="160" w:firstLine="441"/>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13" w:lineRule="exact"/>
        <w:rPr>
          <w:sz w:val="24"/>
          <w:szCs w:val="24"/>
          <w:color w:val="auto"/>
        </w:rPr>
      </w:pPr>
    </w:p>
    <w:p>
      <w:pPr>
        <w:jc w:val="both"/>
        <w:ind w:left="20" w:right="220" w:firstLine="441"/>
        <w:spacing w:after="0" w:line="29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540" w:type="dxa"/>
        <w:tblCellMar>
          <w:top w:w="0" w:type="dxa"/>
          <w:left w:w="0" w:type="dxa"/>
          <w:bottom w:w="0" w:type="dxa"/>
          <w:right w:w="0" w:type="dxa"/>
        </w:tblCellMar>
      </w:tblPr>
      <w:tr>
        <w:trPr>
          <w:trHeight w:val="226"/>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580" w:type="dxa"/>
            <w:vAlign w:val="bottom"/>
          </w:tcPr>
          <w:p>
            <w:pPr>
              <w:ind w:left="1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940" w:type="dxa"/>
            <w:vAlign w:val="bottom"/>
          </w:tcPr>
          <w:p>
            <w:pPr>
              <w:ind w:left="2220"/>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324"/>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2580" w:type="dxa"/>
            <w:vAlign w:val="bottom"/>
          </w:tcPr>
          <w:p>
            <w:pPr>
              <w:ind w:left="1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940" w:type="dxa"/>
            <w:vAlign w:val="bottom"/>
          </w:tcPr>
          <w:p>
            <w:pPr>
              <w:ind w:left="2220"/>
              <w:spacing w:after="0"/>
              <w:rPr>
                <w:sz w:val="20"/>
                <w:szCs w:val="20"/>
                <w:color w:val="auto"/>
              </w:rPr>
            </w:pPr>
            <w:r>
              <w:rPr>
                <w:rFonts w:ascii="Arial" w:cs="Arial" w:eastAsia="Arial" w:hAnsi="Arial"/>
                <w:sz w:val="14"/>
                <w:szCs w:val="14"/>
                <w:color w:val="auto"/>
                <w:w w:val="96"/>
              </w:rPr>
              <w:t>Smaller Reporting Company</w:t>
            </w:r>
          </w:p>
        </w:tc>
        <w:tc>
          <w:tcPr>
            <w:tcW w:w="240" w:type="dxa"/>
            <w:vAlign w:val="bottom"/>
          </w:tcPr>
          <w:p>
            <w:pPr>
              <w:ind w:left="1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324"/>
        </w:trPr>
        <w:tc>
          <w:tcPr>
            <w:tcW w:w="1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940" w:type="dxa"/>
            <w:vAlign w:val="bottom"/>
          </w:tcPr>
          <w:p>
            <w:pPr>
              <w:ind w:left="2220"/>
              <w:spacing w:after="0"/>
              <w:rPr>
                <w:sz w:val="20"/>
                <w:szCs w:val="20"/>
                <w:color w:val="auto"/>
              </w:rPr>
            </w:pPr>
            <w:r>
              <w:rPr>
                <w:rFonts w:ascii="Arial" w:cs="Arial" w:eastAsia="Arial" w:hAnsi="Arial"/>
                <w:sz w:val="14"/>
                <w:szCs w:val="14"/>
                <w:color w:val="auto"/>
                <w:w w:val="98"/>
              </w:rPr>
              <w:t>Emerging Growth Company</w:t>
            </w:r>
          </w:p>
        </w:tc>
        <w:tc>
          <w:tcPr>
            <w:tcW w:w="240" w:type="dxa"/>
            <w:vAlign w:val="bottom"/>
          </w:tcPr>
          <w:p>
            <w:pPr>
              <w:ind w:left="80"/>
              <w:spacing w:after="0" w:line="188" w:lineRule="exact"/>
              <w:rPr>
                <w:sz w:val="20"/>
                <w:szCs w:val="20"/>
                <w:color w:val="auto"/>
              </w:rPr>
            </w:pPr>
            <w:r>
              <w:rPr>
                <w:rFonts w:ascii="Arial Unicode MS" w:cs="Arial Unicode MS" w:eastAsia="Arial Unicode MS" w:hAnsi="Arial Unicode MS"/>
                <w:sz w:val="14"/>
                <w:szCs w:val="14"/>
                <w:color w:val="auto"/>
              </w:rPr>
              <w:t>☐</w:t>
            </w:r>
          </w:p>
        </w:tc>
      </w:tr>
    </w:tbl>
    <w:p>
      <w:pPr>
        <w:spacing w:after="0" w:line="180" w:lineRule="exact"/>
        <w:rPr>
          <w:sz w:val="24"/>
          <w:szCs w:val="24"/>
          <w:color w:val="auto"/>
        </w:rPr>
      </w:pPr>
    </w:p>
    <w:p>
      <w:pPr>
        <w:ind w:left="20" w:right="480" w:firstLine="441"/>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99" w:lineRule="exact"/>
        <w:rPr>
          <w:sz w:val="24"/>
          <w:szCs w:val="24"/>
          <w:color w:val="auto"/>
        </w:rPr>
      </w:pPr>
    </w:p>
    <w:p>
      <w:pPr>
        <w:ind w:left="460"/>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91" w:lineRule="exact"/>
        <w:rPr>
          <w:sz w:val="24"/>
          <w:szCs w:val="24"/>
          <w:color w:val="auto"/>
        </w:rPr>
      </w:pPr>
    </w:p>
    <w:p>
      <w:pPr>
        <w:ind w:left="20" w:right="20" w:firstLine="441"/>
        <w:spacing w:after="0" w:line="29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53,609,063 shares of Common Stock, $0.001 par value per share, as of January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388620</wp:posOffset>
            </wp:positionV>
            <wp:extent cx="659511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-31115</wp:posOffset>
            </wp:positionV>
            <wp:extent cx="6595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10795</wp:posOffset>
            </wp:positionV>
            <wp:extent cx="659511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400"/>
          </w:cols>
          <w:pgMar w:left="740" w:top="665" w:right="7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r>
      <w:tr>
        <w:trPr>
          <w:trHeight w:val="385"/>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20" w:type="dxa"/>
            <w:vAlign w:val="bottom"/>
            <w:gridSpan w:val="15"/>
          </w:tcPr>
          <w:p>
            <w:pPr>
              <w:jc w:val="center"/>
              <w:ind w:right="2940"/>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5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8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ITEM 1. FINANCIAL STATEMENTS</w:t>
              </w:r>
            </w:hyperlink>
          </w:p>
        </w:tc>
        <w:tc>
          <w:tcPr>
            <w:tcW w:w="5740" w:type="dxa"/>
            <w:vAlign w:val="bottom"/>
            <w:gridSpan w:val="14"/>
          </w:tcPr>
          <w:p>
            <w:pPr>
              <w:spacing w:after="0"/>
              <w:rPr>
                <w:sz w:val="24"/>
                <w:szCs w:val="24"/>
                <w:color w:val="auto"/>
              </w:rPr>
            </w:pPr>
          </w:p>
        </w:tc>
        <w:tc>
          <w:tcPr>
            <w:tcW w:w="500" w:type="dxa"/>
            <w:vAlign w:val="bottom"/>
          </w:tcPr>
          <w:p>
            <w:pPr>
              <w:spacing w:after="0"/>
              <w:rPr>
                <w:sz w:val="24"/>
                <w:szCs w:val="24"/>
                <w:color w:val="auto"/>
              </w:rPr>
            </w:pPr>
          </w:p>
        </w:tc>
      </w:tr>
      <w:tr>
        <w:trPr>
          <w:trHeight w:val="412"/>
        </w:trPr>
        <w:tc>
          <w:tcPr>
            <w:tcW w:w="29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Balance Sheets</w:t>
              </w:r>
            </w:hyperlink>
          </w:p>
        </w:tc>
        <w:tc>
          <w:tcPr>
            <w:tcW w:w="566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856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 and Comprehensive Income</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1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Consolidated Statement of Changes in Stockholders’ Equity</w:t>
              </w:r>
            </w:hyperlink>
          </w:p>
        </w:tc>
        <w:tc>
          <w:tcPr>
            <w:tcW w:w="540" w:type="dxa"/>
            <w:vAlign w:val="bottom"/>
            <w:tcBorders>
              <w:top w:val="single" w:sz="8" w:color="0000EE"/>
            </w:tcBorders>
            <w:gridSpan w:val="3"/>
          </w:tcPr>
          <w:p>
            <w:pPr>
              <w:spacing w:after="0"/>
              <w:rPr>
                <w:sz w:val="24"/>
                <w:szCs w:val="24"/>
                <w:color w:val="auto"/>
              </w:rPr>
            </w:pPr>
          </w:p>
        </w:tc>
        <w:tc>
          <w:tcPr>
            <w:tcW w:w="288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36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Cash Flows</w:t>
              </w:r>
            </w:hyperlink>
          </w:p>
        </w:tc>
        <w:tc>
          <w:tcPr>
            <w:tcW w:w="488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42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the Unaudited Consolidated Financial Statements</w:t>
              </w:r>
            </w:hyperlink>
          </w:p>
        </w:tc>
        <w:tc>
          <w:tcPr>
            <w:tcW w:w="434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8560" w:type="dxa"/>
            <w:vAlign w:val="bottom"/>
            <w:gridSpan w:val="2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w:t>
              </w:r>
            </w:hyperlink>
          </w:p>
        </w:tc>
        <w:tc>
          <w:tcPr>
            <w:tcW w:w="500" w:type="dxa"/>
            <w:vAlign w:val="bottom"/>
          </w:tcPr>
          <w:p>
            <w:pPr>
              <w:spacing w:after="0"/>
              <w:rPr>
                <w:sz w:val="24"/>
                <w:szCs w:val="24"/>
                <w:color w:val="auto"/>
              </w:rPr>
            </w:pPr>
          </w:p>
        </w:tc>
      </w:tr>
      <w:tr>
        <w:trPr>
          <w:trHeight w:val="196"/>
        </w:trPr>
        <w:tc>
          <w:tcPr>
            <w:tcW w:w="81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OF OPERATIONS</w:t>
              </w:r>
            </w:hyperlink>
          </w:p>
        </w:tc>
        <w:tc>
          <w:tcPr>
            <w:tcW w:w="4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820" w:type="dxa"/>
            <w:vAlign w:val="bottom"/>
            <w:tcBorders>
              <w:bottom w:val="single" w:sz="8" w:color="0000EE"/>
            </w:tcBorders>
            <w:gridSpan w:val="20"/>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ITEM 3. QUANTITATIVE AND QUALITATIVE DISCLOSURES ABOUT MARKET RISK</w:t>
              </w:r>
            </w:hyperlink>
          </w:p>
        </w:tc>
        <w:tc>
          <w:tcPr>
            <w:tcW w:w="174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328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ITEM 4. CONTROLS AND PROCEDURES</w:t>
              </w:r>
            </w:hyperlink>
          </w:p>
        </w:tc>
        <w:tc>
          <w:tcPr>
            <w:tcW w:w="5280" w:type="dxa"/>
            <w:vAlign w:val="bottom"/>
            <w:gridSpan w:val="11"/>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60" w:type="dxa"/>
            <w:vAlign w:val="bottom"/>
            <w:gridSpan w:val="13"/>
          </w:tcPr>
          <w:p>
            <w:pPr>
              <w:jc w:val="center"/>
              <w:ind w:right="3100"/>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PART II. OTHER INFORMATION</w:t>
              </w:r>
            </w:hyperlink>
          </w:p>
        </w:tc>
        <w:tc>
          <w:tcPr>
            <w:tcW w:w="500" w:type="dxa"/>
            <w:vAlign w:val="bottom"/>
          </w:tcPr>
          <w:p>
            <w:pPr>
              <w:spacing w:after="0"/>
              <w:rPr>
                <w:sz w:val="24"/>
                <w:szCs w:val="24"/>
                <w:color w:val="auto"/>
              </w:rPr>
            </w:pPr>
          </w:p>
        </w:tc>
      </w:tr>
      <w:tr>
        <w:trPr>
          <w:trHeight w:val="412"/>
        </w:trPr>
        <w:tc>
          <w:tcPr>
            <w:tcW w:w="2900" w:type="dxa"/>
            <w:vAlign w:val="bottom"/>
            <w:gridSpan w:val="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 LEGAL PROCEEDINGS</w:t>
              </w:r>
            </w:hyperlink>
          </w:p>
        </w:tc>
        <w:tc>
          <w:tcPr>
            <w:tcW w:w="2560" w:type="dxa"/>
            <w:vAlign w:val="bottom"/>
            <w:tcBorders>
              <w:top w:val="single" w:sz="8" w:color="0000EE"/>
            </w:tcBorders>
            <w:gridSpan w:val="7"/>
          </w:tcPr>
          <w:p>
            <w:pPr>
              <w:spacing w:after="0"/>
              <w:rPr>
                <w:sz w:val="24"/>
                <w:szCs w:val="24"/>
                <w:color w:val="auto"/>
              </w:rPr>
            </w:pPr>
          </w:p>
        </w:tc>
        <w:tc>
          <w:tcPr>
            <w:tcW w:w="310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20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ITEM 1A. RISK FACTORS</w:t>
              </w:r>
            </w:hyperlink>
          </w:p>
        </w:tc>
        <w:tc>
          <w:tcPr>
            <w:tcW w:w="480" w:type="dxa"/>
            <w:vAlign w:val="bottom"/>
            <w:tcBorders>
              <w:top w:val="single" w:sz="8" w:color="0000EE"/>
            </w:tcBorders>
          </w:tcPr>
          <w:p>
            <w:pPr>
              <w:spacing w:after="0"/>
              <w:rPr>
                <w:sz w:val="24"/>
                <w:szCs w:val="24"/>
                <w:color w:val="auto"/>
              </w:rPr>
            </w:pPr>
          </w:p>
        </w:tc>
        <w:tc>
          <w:tcPr>
            <w:tcW w:w="6020" w:type="dxa"/>
            <w:vAlign w:val="bottom"/>
            <w:gridSpan w:val="1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8560" w:type="dxa"/>
            <w:vAlign w:val="bottom"/>
            <w:gridSpan w:val="2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2. 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2"/>
        </w:trPr>
        <w:tc>
          <w:tcPr>
            <w:tcW w:w="38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ITEM 3. DEFAULTS UPON SENIOR SECURITIES</w:t>
              </w:r>
            </w:hyperlink>
          </w:p>
        </w:tc>
        <w:tc>
          <w:tcPr>
            <w:tcW w:w="2880" w:type="dxa"/>
            <w:vAlign w:val="bottom"/>
            <w:tcBorders>
              <w:top w:val="single" w:sz="8" w:color="0000EE"/>
            </w:tcBorders>
            <w:gridSpan w:val="6"/>
          </w:tcPr>
          <w:p>
            <w:pPr>
              <w:spacing w:after="0"/>
              <w:rPr>
                <w:sz w:val="24"/>
                <w:szCs w:val="24"/>
                <w:color w:val="auto"/>
              </w:rPr>
            </w:pPr>
          </w:p>
        </w:tc>
        <w:tc>
          <w:tcPr>
            <w:tcW w:w="182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2"/>
        </w:trPr>
        <w:tc>
          <w:tcPr>
            <w:tcW w:w="312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57">
              <w:r>
                <w:rPr>
                  <w:rFonts w:ascii="Arial" w:cs="Arial" w:eastAsia="Arial" w:hAnsi="Arial"/>
                  <w:sz w:val="18"/>
                  <w:szCs w:val="18"/>
                  <w:color w:val="0000EE"/>
                  <w:w w:val="96"/>
                </w:rPr>
                <w:t>ITEM 4. MINE SAFETY DISCLOSURES</w:t>
              </w:r>
            </w:hyperlink>
          </w:p>
        </w:tc>
        <w:tc>
          <w:tcPr>
            <w:tcW w:w="544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2"/>
        </w:trPr>
        <w:tc>
          <w:tcPr>
            <w:tcW w:w="256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57">
              <w:r>
                <w:rPr>
                  <w:rFonts w:ascii="Arial" w:cs="Arial" w:eastAsia="Arial" w:hAnsi="Arial"/>
                  <w:sz w:val="18"/>
                  <w:szCs w:val="18"/>
                  <w:color w:val="0000EE"/>
                  <w:w w:val="96"/>
                </w:rPr>
                <w:t>ITEM 5. OTHER INFORMATION</w:t>
              </w:r>
            </w:hyperlink>
          </w:p>
        </w:tc>
        <w:tc>
          <w:tcPr>
            <w:tcW w:w="6000" w:type="dxa"/>
            <w:vAlign w:val="bottom"/>
            <w:gridSpan w:val="1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2"/>
        </w:trPr>
        <w:tc>
          <w:tcPr>
            <w:tcW w:w="150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57">
              <w:r>
                <w:rPr>
                  <w:rFonts w:ascii="Arial" w:cs="Arial" w:eastAsia="Arial" w:hAnsi="Arial"/>
                  <w:sz w:val="18"/>
                  <w:szCs w:val="18"/>
                  <w:color w:val="0000EE"/>
                  <w:w w:val="98"/>
                </w:rPr>
                <w:t>ITEM 6. EXHIBITS</w:t>
              </w:r>
            </w:hyperlink>
          </w:p>
        </w:tc>
        <w:tc>
          <w:tcPr>
            <w:tcW w:w="7060" w:type="dxa"/>
            <w:vAlign w:val="bottom"/>
            <w:gridSpan w:val="1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2"/>
        </w:trPr>
        <w:tc>
          <w:tcPr>
            <w:tcW w:w="8560" w:type="dxa"/>
            <w:vAlign w:val="bottom"/>
            <w:gridSpan w:val="2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669"/>
        </w:trPr>
        <w:tc>
          <w:tcPr>
            <w:tcW w:w="1100" w:type="dxa"/>
            <w:vAlign w:val="bottom"/>
            <w:tcBorders>
              <w:top w:val="single" w:sz="8" w:color="0000EE"/>
            </w:tcBorders>
          </w:tcPr>
          <w:p>
            <w:pPr>
              <w:spacing w:after="0"/>
              <w:rPr>
                <w:sz w:val="24"/>
                <w:szCs w:val="24"/>
                <w:color w:val="auto"/>
              </w:rPr>
            </w:pPr>
          </w:p>
        </w:tc>
        <w:tc>
          <w:tcPr>
            <w:tcW w:w="4040" w:type="dxa"/>
            <w:vAlign w:val="bottom"/>
            <w:gridSpan w:val="14"/>
          </w:tcPr>
          <w:p>
            <w:pPr>
              <w:jc w:val="right"/>
              <w:ind w:right="5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61"/>
        </w:trPr>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sectPr>
      </w:pPr>
    </w:p>
    <w:bookmarkStart w:id="2" w:name="page3"/>
    <w:bookmarkEnd w:id="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INFORMATION</w:t>
      </w:r>
    </w:p>
    <w:p>
      <w:pPr>
        <w:spacing w:after="0" w:line="105"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PAYLOCITY HOLDING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75,900</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Corporate investments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69,849</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Deferred contract costs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26,150</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12,876</w:t>
            </w:r>
          </w:p>
        </w:tc>
        <w:tc>
          <w:tcPr>
            <w:tcW w:w="60" w:type="dxa"/>
            <w:vAlign w:val="bottom"/>
            <w:shd w:val="clear" w:color="auto" w:fill="CCEEFF"/>
          </w:tcPr>
          <w:p>
            <w:pPr>
              <w:spacing w:after="0"/>
              <w:rPr>
                <w:sz w:val="18"/>
                <w:szCs w:val="18"/>
                <w:color w:val="auto"/>
              </w:rPr>
            </w:pPr>
          </w:p>
        </w:tc>
      </w:tr>
      <w:tr>
        <w:trPr>
          <w:trHeight w:val="210"/>
        </w:trPr>
        <w:tc>
          <w:tcPr>
            <w:tcW w:w="6900" w:type="dxa"/>
            <w:vAlign w:val="bottom"/>
          </w:tcPr>
          <w:p>
            <w:pPr>
              <w:ind w:left="320"/>
              <w:spacing w:after="0"/>
              <w:rPr>
                <w:sz w:val="20"/>
                <w:szCs w:val="20"/>
                <w:color w:val="auto"/>
              </w:rPr>
            </w:pPr>
            <w:r>
              <w:rPr>
                <w:rFonts w:ascii="Arial" w:cs="Arial" w:eastAsia="Arial" w:hAnsi="Arial"/>
                <w:sz w:val="18"/>
                <w:szCs w:val="18"/>
                <w:color w:val="auto"/>
              </w:rPr>
              <w:t>Total current assets before funds held for clients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201,720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189,123</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Funds held for clients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1,394,469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1,845,294</w:t>
            </w:r>
          </w:p>
        </w:tc>
        <w:tc>
          <w:tcPr>
            <w:tcW w:w="60" w:type="dxa"/>
            <w:vAlign w:val="bottom"/>
            <w:shd w:val="clear" w:color="auto" w:fill="CCEEFF"/>
          </w:tcPr>
          <w:p>
            <w:pPr>
              <w:spacing w:after="0"/>
              <w:rPr>
                <w:sz w:val="18"/>
                <w:szCs w:val="18"/>
                <w:color w:val="auto"/>
              </w:rPr>
            </w:pPr>
          </w:p>
        </w:tc>
      </w:tr>
      <w:tr>
        <w:trPr>
          <w:trHeight w:val="210"/>
        </w:trPr>
        <w:tc>
          <w:tcPr>
            <w:tcW w:w="69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1,596,189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2,034,417</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31,619</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71,090</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51,659</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9,626</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Long-term deferred contract costs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81,422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99,383</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 and other</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assets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7,758</w:t>
            </w:r>
          </w:p>
        </w:tc>
        <w:tc>
          <w:tcPr>
            <w:tcW w:w="60" w:type="dxa"/>
            <w:vAlign w:val="bottom"/>
            <w:tcBorders>
              <w:bottom w:val="single" w:sz="8" w:color="CCEEFF"/>
            </w:tcBorders>
          </w:tcPr>
          <w:p>
            <w:pPr>
              <w:spacing w:after="0"/>
              <w:rPr>
                <w:sz w:val="18"/>
                <w:szCs w:val="18"/>
                <w:color w:val="auto"/>
              </w:rPr>
            </w:pPr>
          </w:p>
        </w:tc>
      </w:tr>
      <w:tr>
        <w:trPr>
          <w:trHeight w:val="210"/>
        </w:trPr>
        <w:tc>
          <w:tcPr>
            <w:tcW w:w="6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1,803,941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2,323,432</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57,625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62,853</w:t>
            </w:r>
          </w:p>
        </w:tc>
        <w:tc>
          <w:tcPr>
            <w:tcW w:w="60" w:type="dxa"/>
            <w:vAlign w:val="bottom"/>
            <w:tcBorders>
              <w:bottom w:val="single" w:sz="8" w:color="CCEEFF"/>
            </w:tcBorders>
          </w:tcPr>
          <w:p>
            <w:pPr>
              <w:spacing w:after="0"/>
              <w:rPr>
                <w:sz w:val="18"/>
                <w:szCs w:val="18"/>
                <w:color w:val="auto"/>
              </w:rPr>
            </w:pPr>
          </w:p>
        </w:tc>
      </w:tr>
      <w:tr>
        <w:trPr>
          <w:trHeight w:val="210"/>
        </w:trPr>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 before client fund obligations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66,567</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Client fund obligations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1,394,469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1,845,294</w:t>
            </w:r>
          </w:p>
        </w:tc>
        <w:tc>
          <w:tcPr>
            <w:tcW w:w="60" w:type="dxa"/>
            <w:vAlign w:val="bottom"/>
            <w:tcBorders>
              <w:bottom w:val="single" w:sz="8" w:color="CCEEFF"/>
            </w:tcBorders>
          </w:tcPr>
          <w:p>
            <w:pPr>
              <w:spacing w:after="0"/>
              <w:rPr>
                <w:sz w:val="18"/>
                <w:szCs w:val="18"/>
                <w:color w:val="auto"/>
              </w:rPr>
            </w:pPr>
          </w:p>
        </w:tc>
      </w:tr>
      <w:tr>
        <w:trPr>
          <w:trHeight w:val="210"/>
        </w:trPr>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1,456,048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1,911,861</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76,929</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1,360</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60" w:type="dxa"/>
            <w:vAlign w:val="bottom"/>
            <w:shd w:val="clear" w:color="auto" w:fill="CCEEFF"/>
          </w:tcPr>
          <w:p>
            <w:pPr>
              <w:spacing w:after="0"/>
              <w:rPr>
                <w:sz w:val="18"/>
                <w:szCs w:val="18"/>
                <w:color w:val="auto"/>
              </w:rPr>
            </w:pPr>
          </w:p>
        </w:tc>
      </w:tr>
      <w:tr>
        <w:trPr>
          <w:trHeight w:val="210"/>
        </w:trPr>
        <w:tc>
          <w:tcPr>
            <w:tcW w:w="69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1,495,977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1,991,868</w:t>
            </w:r>
          </w:p>
        </w:tc>
        <w:tc>
          <w:tcPr>
            <w:tcW w:w="60" w:type="dxa"/>
            <w:vAlign w:val="bottom"/>
            <w:tcBorders>
              <w:bottom w:val="single" w:sz="8" w:color="CCEEFF"/>
            </w:tcBorders>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6900" w:type="dxa"/>
            <w:vAlign w:val="bottom"/>
          </w:tcPr>
          <w:p>
            <w:pPr>
              <w:ind w:left="220"/>
              <w:spacing w:after="0" w:line="201" w:lineRule="exact"/>
              <w:rPr>
                <w:sz w:val="20"/>
                <w:szCs w:val="20"/>
                <w:color w:val="auto"/>
              </w:rPr>
            </w:pPr>
            <w:r>
              <w:rPr>
                <w:rFonts w:ascii="Arial" w:cs="Arial" w:eastAsia="Arial" w:hAnsi="Arial"/>
                <w:sz w:val="18"/>
                <w:szCs w:val="18"/>
                <w:color w:val="auto"/>
                <w:w w:val="93"/>
              </w:rPr>
              <w:t>Preferred stock, $0.001 par value, 5,000 authorized, no shares issued and outstanding at</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900" w:type="dxa"/>
            <w:vAlign w:val="bottom"/>
          </w:tcPr>
          <w:p>
            <w:pPr>
              <w:ind w:left="220"/>
              <w:spacing w:after="0"/>
              <w:rPr>
                <w:sz w:val="20"/>
                <w:szCs w:val="20"/>
                <w:color w:val="auto"/>
              </w:rPr>
            </w:pPr>
            <w:r>
              <w:rPr>
                <w:rFonts w:ascii="Arial" w:cs="Arial" w:eastAsia="Arial" w:hAnsi="Arial"/>
                <w:sz w:val="18"/>
                <w:szCs w:val="18"/>
                <w:color w:val="auto"/>
              </w:rPr>
              <w:t>June 30, 2019 and December 31,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Common stock, $0.001 par value, 155,000 shares authorized at June 30, 2019 and</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December 31, 2019; 53,075 shares issued and outstanding at June 30, 2019 and 53,573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and outstanding at December 31, 2019</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0"/>
                <w:szCs w:val="20"/>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207,982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212,240</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119,190</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60" w:type="dxa"/>
            <w:vAlign w:val="bottom"/>
            <w:tcBorders>
              <w:bottom w:val="single" w:sz="8" w:color="CCEEFF"/>
            </w:tcBorders>
          </w:tcPr>
          <w:p>
            <w:pPr>
              <w:spacing w:after="0"/>
              <w:rPr>
                <w:sz w:val="18"/>
                <w:szCs w:val="18"/>
                <w:color w:val="auto"/>
              </w:rPr>
            </w:pPr>
          </w:p>
        </w:tc>
      </w:tr>
      <w:tr>
        <w:trPr>
          <w:trHeight w:val="210"/>
        </w:trPr>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307,964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331,564</w:t>
            </w:r>
          </w:p>
        </w:tc>
        <w:tc>
          <w:tcPr>
            <w:tcW w:w="60" w:type="dxa"/>
            <w:vAlign w:val="bottom"/>
            <w:shd w:val="clear" w:color="auto" w:fill="CCEEFF"/>
          </w:tcPr>
          <w:p>
            <w:pPr>
              <w:spacing w:after="0"/>
              <w:rPr>
                <w:sz w:val="18"/>
                <w:szCs w:val="18"/>
                <w:color w:val="auto"/>
              </w:rPr>
            </w:pPr>
          </w:p>
        </w:tc>
      </w:tr>
      <w:tr>
        <w:trPr>
          <w:trHeight w:val="210"/>
        </w:trPr>
        <w:tc>
          <w:tcPr>
            <w:tcW w:w="690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1,803,941</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2,323,432</w:t>
            </w:r>
          </w:p>
        </w:tc>
        <w:tc>
          <w:tcPr>
            <w:tcW w:w="6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9100"/>
          </w:cols>
          <w:pgMar w:left="1400" w:top="517" w:right="139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365125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PAYLOCITY HOLDING CORPORATION Unaudited Consolidated Statements of Operations and Comprehensive Income (in thousands, except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Recurring and other revenue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102,739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127,980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199,741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249,853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on funds held for clients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107,204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132,374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207,708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259,094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45,424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74,012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69,134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86,950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133,696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171,040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37,293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52,988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45,707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122,893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158,926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5,704</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5,467</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15,556</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loss, net of tax</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Unrealized losses on securities, net of tax</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loss, net of tax</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15,556</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income per share: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0.28</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0.35</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w w:val="93"/>
              </w:rPr>
              <w:t>Weighted-average shares used in computing net income per share: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53,415</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55,081</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55,826</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55,232</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55,692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PAYLOCITY HOLDING CORPORATION Unaudited Consolidated Statement of Changes in Stockholders’ Equity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19"/>
          </w:tcPr>
          <w:p>
            <w:pPr>
              <w:ind w:left="20"/>
              <w:spacing w:after="0"/>
              <w:rPr>
                <w:sz w:val="20"/>
                <w:szCs w:val="20"/>
                <w:color w:val="auto"/>
              </w:rPr>
            </w:pPr>
            <w:r>
              <w:rPr>
                <w:rFonts w:ascii="Arial" w:cs="Arial" w:eastAsia="Arial" w:hAnsi="Arial"/>
                <w:sz w:val="13"/>
                <w:szCs w:val="13"/>
                <w:b w:val="1"/>
                <w:bCs w:val="1"/>
                <w:color w:val="auto"/>
              </w:rPr>
              <w:t>Three Months Ended December 31, 2018</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10"/>
        </w:trPr>
        <w:tc>
          <w:tcPr>
            <w:tcW w:w="4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4"/>
          </w:tcPr>
          <w:p>
            <w:pPr>
              <w:jc w:val="center"/>
              <w:ind w:right="80"/>
              <w:spacing w:after="0" w:line="110" w:lineRule="exact"/>
              <w:rPr>
                <w:sz w:val="20"/>
                <w:szCs w:val="20"/>
                <w:color w:val="auto"/>
              </w:rPr>
            </w:pPr>
            <w:r>
              <w:rPr>
                <w:rFonts w:ascii="Arial" w:cs="Arial" w:eastAsia="Arial" w:hAnsi="Arial"/>
                <w:sz w:val="12"/>
                <w:szCs w:val="12"/>
                <w:b w:val="1"/>
                <w:bCs w:val="1"/>
                <w:color w:val="auto"/>
                <w:w w:val="92"/>
              </w:rPr>
              <w:t>Accumulated</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4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5"/>
          </w:tcPr>
          <w:p>
            <w:pPr>
              <w:ind w:left="6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4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10"/>
          </w:tcPr>
          <w:p>
            <w:pPr>
              <w:ind w:left="16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6"/>
              </w:rPr>
              <w:t>Comprehensive</w:t>
            </w:r>
          </w:p>
        </w:tc>
        <w:tc>
          <w:tcPr>
            <w:tcW w:w="4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Stockholders’</w:t>
            </w:r>
          </w:p>
        </w:tc>
      </w:tr>
      <w:tr>
        <w:trPr>
          <w:trHeight w:val="129"/>
        </w:trPr>
        <w:tc>
          <w:tcPr>
            <w:tcW w:w="4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tcBorders>
            <w:gridSpan w:val="3"/>
          </w:tcPr>
          <w:p>
            <w:pPr>
              <w:ind w:left="100"/>
              <w:spacing w:after="0" w:line="129" w:lineRule="exact"/>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4"/>
          </w:tcPr>
          <w:p>
            <w:pPr>
              <w:jc w:val="center"/>
              <w:ind w:right="100"/>
              <w:spacing w:after="0" w:line="129"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center"/>
              <w:ind w:right="240"/>
              <w:spacing w:after="0" w:line="129" w:lineRule="exact"/>
              <w:rPr>
                <w:sz w:val="20"/>
                <w:szCs w:val="20"/>
                <w:color w:val="auto"/>
              </w:rPr>
            </w:pPr>
            <w:r>
              <w:rPr>
                <w:rFonts w:ascii="Arial" w:cs="Arial" w:eastAsia="Arial" w:hAnsi="Arial"/>
                <w:sz w:val="13"/>
                <w:szCs w:val="13"/>
                <w:b w:val="1"/>
                <w:bCs w:val="1"/>
                <w:color w:val="auto"/>
                <w:w w:val="78"/>
              </w:rPr>
              <w:t>Loss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50"/>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42"/>
        </w:trPr>
        <w:tc>
          <w:tcPr>
            <w:tcW w:w="440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September 30, 2018</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52,796</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gridSpan w:val="2"/>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w w:val="89"/>
              </w:rPr>
              <w:t>53</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176,851</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55,846</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(124)</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232,626</w:t>
            </w:r>
          </w:p>
        </w:tc>
      </w:tr>
      <w:tr>
        <w:trPr>
          <w:trHeight w:val="149"/>
        </w:trPr>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10,795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10,795</w:t>
            </w:r>
          </w:p>
        </w:tc>
      </w:tr>
      <w:tr>
        <w:trPr>
          <w:trHeight w:val="149"/>
        </w:trPr>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w:t>
            </w:r>
          </w:p>
        </w:tc>
      </w:tr>
      <w:tr>
        <w:trPr>
          <w:trHeight w:val="149"/>
        </w:trPr>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Issuance of common stock upon vesting of restricted stock units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under employee stock purchase plan</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2,824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2,824</w:t>
            </w:r>
          </w:p>
        </w:tc>
      </w:tr>
      <w:tr>
        <w:trPr>
          <w:trHeight w:val="149"/>
        </w:trPr>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Net settlement for taxes and/or exercise price related to equity awards</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(1,413)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(1,413)</w:t>
            </w:r>
          </w:p>
        </w:tc>
      </w:tr>
      <w:tr>
        <w:trPr>
          <w:trHeight w:val="149"/>
        </w:trPr>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Unrealized losses on securities, net of tax</w:t>
            </w:r>
          </w:p>
        </w:tc>
        <w:tc>
          <w:tcPr>
            <w:tcW w:w="6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r>
      <w:tr>
        <w:trPr>
          <w:trHeight w:val="149"/>
        </w:trPr>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5,704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5,704</w:t>
            </w:r>
          </w:p>
        </w:tc>
      </w:tr>
      <w:tr>
        <w:trPr>
          <w:trHeight w:val="142"/>
        </w:trPr>
        <w:tc>
          <w:tcPr>
            <w:tcW w:w="4400" w:type="dxa"/>
            <w:vAlign w:val="bottom"/>
            <w:tcBorders>
              <w:top w:val="single" w:sz="8" w:color="CCEEFF"/>
              <w:bottom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December 31, 2018</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52,887</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gridSpan w:val="2"/>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w w:val="89"/>
              </w:rPr>
              <w:t>53</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189,473</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61,550</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(139)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250,937</w:t>
            </w:r>
          </w:p>
        </w:tc>
      </w:tr>
      <w:tr>
        <w:trPr>
          <w:trHeight w:val="20"/>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45"/>
        </w:trPr>
        <w:tc>
          <w:tcPr>
            <w:tcW w:w="4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9"/>
          </w:tcPr>
          <w:p>
            <w:pPr>
              <w:ind w:left="20"/>
              <w:spacing w:after="0"/>
              <w:rPr>
                <w:sz w:val="20"/>
                <w:szCs w:val="20"/>
                <w:color w:val="auto"/>
              </w:rPr>
            </w:pPr>
            <w:r>
              <w:rPr>
                <w:rFonts w:ascii="Arial" w:cs="Arial" w:eastAsia="Arial" w:hAnsi="Arial"/>
                <w:sz w:val="13"/>
                <w:szCs w:val="13"/>
                <w:b w:val="1"/>
                <w:bCs w:val="1"/>
                <w:color w:val="auto"/>
              </w:rPr>
              <w:t>Three Months Ended December 31, 2019</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10"/>
        </w:trPr>
        <w:tc>
          <w:tcPr>
            <w:tcW w:w="4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4"/>
          </w:tcPr>
          <w:p>
            <w:pPr>
              <w:jc w:val="center"/>
              <w:ind w:right="100"/>
              <w:spacing w:after="0" w:line="110" w:lineRule="exact"/>
              <w:rPr>
                <w:sz w:val="20"/>
                <w:szCs w:val="20"/>
                <w:color w:val="auto"/>
              </w:rPr>
            </w:pPr>
            <w:r>
              <w:rPr>
                <w:rFonts w:ascii="Arial" w:cs="Arial" w:eastAsia="Arial" w:hAnsi="Arial"/>
                <w:sz w:val="12"/>
                <w:szCs w:val="12"/>
                <w:b w:val="1"/>
                <w:bCs w:val="1"/>
                <w:color w:val="auto"/>
                <w:w w:val="95"/>
              </w:rPr>
              <w:t>Accumulated</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4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5"/>
          </w:tcPr>
          <w:p>
            <w:pPr>
              <w:jc w:val="center"/>
              <w:ind w:right="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4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10"/>
          </w:tcPr>
          <w:p>
            <w:pPr>
              <w:ind w:left="14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6"/>
              </w:rPr>
              <w:t>Comprehensive</w:t>
            </w:r>
          </w:p>
        </w:tc>
        <w:tc>
          <w:tcPr>
            <w:tcW w:w="4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Stockholders’</w:t>
            </w:r>
          </w:p>
        </w:tc>
      </w:tr>
      <w:tr>
        <w:trPr>
          <w:trHeight w:val="129"/>
        </w:trPr>
        <w:tc>
          <w:tcPr>
            <w:tcW w:w="43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3"/>
                <w:szCs w:val="13"/>
                <w:b w:val="1"/>
                <w:bCs w:val="1"/>
                <w:color w:val="auto"/>
                <w:w w:val="96"/>
              </w:rPr>
              <w:t>Shares</w:t>
            </w: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4"/>
          </w:tcPr>
          <w:p>
            <w:pPr>
              <w:jc w:val="center"/>
              <w:ind w:right="140"/>
              <w:spacing w:after="0" w:line="129"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center"/>
              <w:ind w:right="240"/>
              <w:spacing w:after="0" w:line="129" w:lineRule="exact"/>
              <w:rPr>
                <w:sz w:val="20"/>
                <w:szCs w:val="20"/>
                <w:color w:val="auto"/>
              </w:rPr>
            </w:pPr>
            <w:r>
              <w:rPr>
                <w:rFonts w:ascii="Arial" w:cs="Arial" w:eastAsia="Arial" w:hAnsi="Arial"/>
                <w:sz w:val="13"/>
                <w:szCs w:val="13"/>
                <w:b w:val="1"/>
                <w:bCs w:val="1"/>
                <w:color w:val="auto"/>
                <w:w w:val="87"/>
              </w:rPr>
              <w:t>Income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50"/>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42"/>
        </w:trPr>
        <w:tc>
          <w:tcPr>
            <w:tcW w:w="4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September 30, 2019</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53,511</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18"/>
              <w:spacing w:after="0" w:line="142"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8"/>
              </w:rPr>
              <w:t>195,566</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113,723</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309,459</w:t>
            </w:r>
          </w:p>
        </w:tc>
      </w:tr>
      <w:tr>
        <w:trPr>
          <w:trHeight w:val="149"/>
        </w:trPr>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13,422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13,422</w:t>
            </w:r>
          </w:p>
        </w:tc>
      </w:tr>
      <w:tr>
        <w:trPr>
          <w:trHeight w:val="149"/>
        </w:trPr>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r>
      <w:tr>
        <w:trPr>
          <w:trHeight w:val="149"/>
        </w:trPr>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Issuance of common stock upon vesting of restricted stock units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under employee stock purchase plan</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3,961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3,961</w:t>
            </w:r>
          </w:p>
        </w:tc>
      </w:tr>
      <w:tr>
        <w:trPr>
          <w:trHeight w:val="149"/>
        </w:trPr>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Net settlement for taxes and/or exercise price related to equity awards</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(978)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(978)</w:t>
            </w:r>
          </w:p>
        </w:tc>
      </w:tr>
      <w:tr>
        <w:trPr>
          <w:trHeight w:val="149"/>
        </w:trPr>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Unrealized losses on securities, net of tax</w:t>
            </w:r>
          </w:p>
        </w:tc>
        <w:tc>
          <w:tcPr>
            <w:tcW w:w="6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r>
      <w:tr>
        <w:trPr>
          <w:trHeight w:val="149"/>
        </w:trPr>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5,467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5,467</w:t>
            </w:r>
          </w:p>
        </w:tc>
      </w:tr>
      <w:tr>
        <w:trPr>
          <w:trHeight w:val="142"/>
        </w:trPr>
        <w:tc>
          <w:tcPr>
            <w:tcW w:w="43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December 31, 2019</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53,573</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jc w:val="right"/>
              <w:ind w:right="18"/>
              <w:spacing w:after="0" w:line="142"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8"/>
              </w:rPr>
              <w:t>212,240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119,190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331,564</w:t>
            </w:r>
          </w:p>
        </w:tc>
      </w:tr>
      <w:tr>
        <w:trPr>
          <w:trHeight w:val="20"/>
        </w:trPr>
        <w:tc>
          <w:tcPr>
            <w:tcW w:w="4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45"/>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7"/>
          </w:tcPr>
          <w:p>
            <w:pPr>
              <w:ind w:left="20"/>
              <w:spacing w:after="0"/>
              <w:rPr>
                <w:sz w:val="20"/>
                <w:szCs w:val="20"/>
                <w:color w:val="auto"/>
              </w:rPr>
            </w:pPr>
            <w:r>
              <w:rPr>
                <w:rFonts w:ascii="Arial" w:cs="Arial" w:eastAsia="Arial" w:hAnsi="Arial"/>
                <w:sz w:val="13"/>
                <w:szCs w:val="13"/>
                <w:b w:val="1"/>
                <w:bCs w:val="1"/>
                <w:color w:val="auto"/>
              </w:rPr>
              <w:t>Six Months Ended December 31, 2018</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10"/>
        </w:trPr>
        <w:tc>
          <w:tcPr>
            <w:tcW w:w="4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gridSpan w:val="4"/>
          </w:tcPr>
          <w:p>
            <w:pPr>
              <w:ind w:left="40"/>
              <w:spacing w:after="0" w:line="110" w:lineRule="exact"/>
              <w:rPr>
                <w:sz w:val="20"/>
                <w:szCs w:val="20"/>
                <w:color w:val="auto"/>
              </w:rPr>
            </w:pPr>
            <w:r>
              <w:rPr>
                <w:rFonts w:ascii="Arial" w:cs="Arial" w:eastAsia="Arial" w:hAnsi="Arial"/>
                <w:sz w:val="12"/>
                <w:szCs w:val="12"/>
                <w:b w:val="1"/>
                <w:bCs w:val="1"/>
                <w:color w:val="auto"/>
              </w:rPr>
              <w:t>Retained</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Accumulated</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4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7"/>
          </w:tcPr>
          <w:p>
            <w:pPr>
              <w:ind w:left="60"/>
              <w:spacing w:after="0" w:line="135"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4"/>
          </w:tcPr>
          <w:p>
            <w:pPr>
              <w:ind w:left="20"/>
              <w:spacing w:after="0" w:line="135" w:lineRule="exact"/>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210"/>
              <w:spacing w:after="0" w:line="135" w:lineRule="exact"/>
              <w:rPr>
                <w:sz w:val="20"/>
                <w:szCs w:val="20"/>
                <w:color w:val="auto"/>
              </w:rPr>
            </w:pPr>
            <w:r>
              <w:rPr>
                <w:rFonts w:ascii="Arial" w:cs="Arial" w:eastAsia="Arial" w:hAnsi="Arial"/>
                <w:sz w:val="13"/>
                <w:szCs w:val="13"/>
                <w:b w:val="1"/>
                <w:bCs w:val="1"/>
                <w:color w:val="auto"/>
              </w:rPr>
              <w:t>Total</w:t>
            </w:r>
          </w:p>
        </w:tc>
      </w:tr>
      <w:tr>
        <w:trPr>
          <w:trHeight w:val="153"/>
        </w:trPr>
        <w:tc>
          <w:tcPr>
            <w:tcW w:w="4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10"/>
          </w:tcPr>
          <w:p>
            <w:pPr>
              <w:ind w:left="12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5"/>
          </w:tcPr>
          <w:p>
            <w:pPr>
              <w:ind w:left="60"/>
              <w:spacing w:after="0"/>
              <w:rPr>
                <w:sz w:val="20"/>
                <w:szCs w:val="20"/>
                <w:color w:val="auto"/>
              </w:rPr>
            </w:pPr>
            <w:r>
              <w:rPr>
                <w:rFonts w:ascii="Arial" w:cs="Arial" w:eastAsia="Arial" w:hAnsi="Arial"/>
                <w:sz w:val="13"/>
                <w:szCs w:val="13"/>
                <w:b w:val="1"/>
                <w:bCs w:val="1"/>
                <w:color w:val="auto"/>
              </w:rPr>
              <w:t>Paid-in</w:t>
            </w:r>
          </w:p>
        </w:tc>
        <w:tc>
          <w:tcPr>
            <w:tcW w:w="880" w:type="dxa"/>
            <w:vAlign w:val="bottom"/>
            <w:gridSpan w:val="6"/>
          </w:tcPr>
          <w:p>
            <w:pPr>
              <w:ind w:left="20"/>
              <w:spacing w:after="0"/>
              <w:rPr>
                <w:sz w:val="20"/>
                <w:szCs w:val="20"/>
                <w:color w:val="auto"/>
              </w:rPr>
            </w:pPr>
            <w:r>
              <w:rPr>
                <w:rFonts w:ascii="Arial" w:cs="Arial" w:eastAsia="Arial" w:hAnsi="Arial"/>
                <w:sz w:val="13"/>
                <w:szCs w:val="13"/>
                <w:b w:val="1"/>
                <w:bCs w:val="1"/>
                <w:color w:val="auto"/>
                <w:w w:val="97"/>
              </w:rPr>
              <w:t>(Accumulated</w:t>
            </w:r>
          </w:p>
        </w:tc>
        <w:tc>
          <w:tcPr>
            <w:tcW w:w="20" w:type="dxa"/>
            <w:vAlign w:val="bottom"/>
          </w:tcPr>
          <w:p>
            <w:pPr>
              <w:spacing w:after="0"/>
              <w:rPr>
                <w:sz w:val="13"/>
                <w:szCs w:val="13"/>
                <w:color w:val="auto"/>
              </w:rPr>
            </w:pPr>
          </w:p>
        </w:tc>
        <w:tc>
          <w:tcPr>
            <w:tcW w:w="960" w:type="dxa"/>
            <w:vAlign w:val="bottom"/>
            <w:gridSpan w:val="5"/>
          </w:tcPr>
          <w:p>
            <w:pPr>
              <w:spacing w:after="0"/>
              <w:rPr>
                <w:sz w:val="20"/>
                <w:szCs w:val="20"/>
                <w:color w:val="auto"/>
              </w:rPr>
            </w:pPr>
            <w:r>
              <w:rPr>
                <w:rFonts w:ascii="Arial" w:cs="Arial" w:eastAsia="Arial" w:hAnsi="Arial"/>
                <w:sz w:val="13"/>
                <w:szCs w:val="13"/>
                <w:b w:val="1"/>
                <w:bCs w:val="1"/>
                <w:color w:val="auto"/>
                <w:w w:val="96"/>
              </w:rPr>
              <w:t>Comprehensive</w:t>
            </w: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w w:val="88"/>
              </w:rPr>
              <w:t>Stockholders’</w:t>
            </w:r>
          </w:p>
        </w:tc>
      </w:tr>
      <w:tr>
        <w:trPr>
          <w:trHeight w:val="129"/>
        </w:trPr>
        <w:tc>
          <w:tcPr>
            <w:tcW w:w="4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3"/>
                <w:szCs w:val="13"/>
                <w:b w:val="1"/>
                <w:bCs w:val="1"/>
                <w:color w:val="auto"/>
                <w:w w:val="96"/>
              </w:rPr>
              <w:t>Shares</w:t>
            </w:r>
          </w:p>
        </w:tc>
        <w:tc>
          <w:tcPr>
            <w:tcW w:w="44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10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5"/>
          </w:tcPr>
          <w:p>
            <w:pPr>
              <w:ind w:left="60"/>
              <w:spacing w:after="0" w:line="129"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center"/>
              <w:ind w:right="280"/>
              <w:spacing w:after="0" w:line="129" w:lineRule="exact"/>
              <w:rPr>
                <w:sz w:val="20"/>
                <w:szCs w:val="20"/>
                <w:color w:val="auto"/>
              </w:rPr>
            </w:pPr>
            <w:r>
              <w:rPr>
                <w:rFonts w:ascii="Arial" w:cs="Arial" w:eastAsia="Arial" w:hAnsi="Arial"/>
                <w:sz w:val="13"/>
                <w:szCs w:val="13"/>
                <w:b w:val="1"/>
                <w:bCs w:val="1"/>
                <w:color w:val="auto"/>
                <w:w w:val="78"/>
              </w:rPr>
              <w:t>Loss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150"/>
              <w:spacing w:after="0" w:line="129" w:lineRule="exact"/>
              <w:rPr>
                <w:sz w:val="20"/>
                <w:szCs w:val="20"/>
                <w:color w:val="auto"/>
              </w:rPr>
            </w:pPr>
            <w:r>
              <w:rPr>
                <w:rFonts w:ascii="Arial" w:cs="Arial" w:eastAsia="Arial" w:hAnsi="Arial"/>
                <w:sz w:val="13"/>
                <w:szCs w:val="13"/>
                <w:b w:val="1"/>
                <w:bCs w:val="1"/>
                <w:color w:val="auto"/>
              </w:rPr>
              <w:t>Equity</w:t>
            </w:r>
          </w:p>
        </w:tc>
      </w:tr>
      <w:tr>
        <w:trPr>
          <w:trHeight w:val="142"/>
        </w:trPr>
        <w:tc>
          <w:tcPr>
            <w:tcW w:w="43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June 30, 2018</w:t>
            </w:r>
          </w:p>
        </w:tc>
        <w:tc>
          <w:tcPr>
            <w:tcW w:w="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52,758</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3"/>
            <w:shd w:val="clear" w:color="auto" w:fill="CCEEFF"/>
          </w:tcPr>
          <w:p>
            <w:pPr>
              <w:jc w:val="right"/>
              <w:ind w:right="38"/>
              <w:spacing w:after="0" w:line="142"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219,588</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(6,678)</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(139)</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ind w:right="31"/>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212,824</w:t>
            </w:r>
          </w:p>
        </w:tc>
      </w:tr>
      <w:tr>
        <w:trPr>
          <w:trHeight w:val="149"/>
        </w:trPr>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w w:val="97"/>
              </w:rPr>
              <w:t>Cumulative effect of change in accounting policy (adoption of Topic 606)</w:t>
            </w: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52,672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52,672</w:t>
            </w:r>
          </w:p>
        </w:tc>
      </w:tr>
      <w:tr>
        <w:trPr>
          <w:trHeight w:val="149"/>
        </w:trPr>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20,845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20,845</w:t>
            </w:r>
          </w:p>
        </w:tc>
      </w:tr>
      <w:tr>
        <w:trPr>
          <w:trHeight w:val="149"/>
        </w:trPr>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Stock options exercised</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2,657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2,657</w:t>
            </w:r>
          </w:p>
        </w:tc>
      </w:tr>
      <w:tr>
        <w:trPr>
          <w:trHeight w:val="149"/>
        </w:trPr>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upon vesting of restricted stock units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Issuance of common stock under employee stock purchase plan</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2,824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2,824</w:t>
            </w:r>
          </w:p>
        </w:tc>
      </w:tr>
      <w:tr>
        <w:trPr>
          <w:trHeight w:val="149"/>
        </w:trPr>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settlement for taxes and/or exercise price related to equity awards</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(21,450)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(21,450)</w:t>
            </w:r>
          </w:p>
        </w:tc>
      </w:tr>
      <w:tr>
        <w:trPr>
          <w:trHeight w:val="149"/>
        </w:trPr>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Repurchases of common shares</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(34,991)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(34,991)</w:t>
            </w:r>
          </w:p>
        </w:tc>
      </w:tr>
      <w:tr>
        <w:trPr>
          <w:trHeight w:val="149"/>
        </w:trPr>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15,556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15,556</w:t>
            </w:r>
          </w:p>
        </w:tc>
      </w:tr>
      <w:tr>
        <w:trPr>
          <w:trHeight w:val="142"/>
        </w:trPr>
        <w:tc>
          <w:tcPr>
            <w:tcW w:w="43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Balances at December 31, 2018</w:t>
            </w:r>
          </w:p>
        </w:tc>
        <w:tc>
          <w:tcPr>
            <w:tcW w:w="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52,887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gridSpan w:val="3"/>
          </w:tcPr>
          <w:p>
            <w:pPr>
              <w:jc w:val="right"/>
              <w:ind w:right="38"/>
              <w:spacing w:after="0" w:line="142"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189,473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61,550</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jc w:val="right"/>
              <w:ind w:right="31"/>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250,937</w:t>
            </w:r>
          </w:p>
        </w:tc>
      </w:tr>
      <w:tr>
        <w:trPr>
          <w:trHeight w:val="20"/>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80" w:type="dxa"/>
            <w:vAlign w:val="bottom"/>
            <w:tcBorders>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45"/>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7"/>
          </w:tcPr>
          <w:p>
            <w:pPr>
              <w:ind w:left="20"/>
              <w:spacing w:after="0"/>
              <w:rPr>
                <w:sz w:val="20"/>
                <w:szCs w:val="20"/>
                <w:color w:val="auto"/>
              </w:rPr>
            </w:pPr>
            <w:r>
              <w:rPr>
                <w:rFonts w:ascii="Arial" w:cs="Arial" w:eastAsia="Arial" w:hAnsi="Arial"/>
                <w:sz w:val="13"/>
                <w:szCs w:val="13"/>
                <w:b w:val="1"/>
                <w:bCs w:val="1"/>
                <w:color w:val="auto"/>
              </w:rPr>
              <w:t>Six Months Ended December 31, 2019</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10"/>
        </w:trPr>
        <w:tc>
          <w:tcPr>
            <w:tcW w:w="4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4"/>
          </w:tcPr>
          <w:p>
            <w:pPr>
              <w:jc w:val="center"/>
              <w:ind w:right="120"/>
              <w:spacing w:after="0" w:line="110" w:lineRule="exact"/>
              <w:rPr>
                <w:sz w:val="20"/>
                <w:szCs w:val="20"/>
                <w:color w:val="auto"/>
              </w:rPr>
            </w:pPr>
            <w:r>
              <w:rPr>
                <w:rFonts w:ascii="Arial" w:cs="Arial" w:eastAsia="Arial" w:hAnsi="Arial"/>
                <w:sz w:val="12"/>
                <w:szCs w:val="12"/>
                <w:b w:val="1"/>
                <w:bCs w:val="1"/>
                <w:color w:val="auto"/>
                <w:w w:val="92"/>
              </w:rPr>
              <w:t>Accumulated</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4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5"/>
          </w:tcPr>
          <w:p>
            <w:pPr>
              <w:jc w:val="center"/>
              <w:ind w:right="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83"/>
              </w:rPr>
              <w:t>Total</w:t>
            </w:r>
          </w:p>
        </w:tc>
      </w:tr>
      <w:tr>
        <w:trPr>
          <w:trHeight w:val="153"/>
        </w:trPr>
        <w:tc>
          <w:tcPr>
            <w:tcW w:w="4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10"/>
          </w:tcPr>
          <w:p>
            <w:pPr>
              <w:ind w:left="12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3"/>
                <w:szCs w:val="13"/>
                <w:color w:val="auto"/>
              </w:rPr>
            </w:pPr>
          </w:p>
        </w:tc>
        <w:tc>
          <w:tcPr>
            <w:tcW w:w="960" w:type="dxa"/>
            <w:vAlign w:val="bottom"/>
            <w:gridSpan w:val="5"/>
          </w:tcPr>
          <w:p>
            <w:pPr>
              <w:ind w:left="20"/>
              <w:spacing w:after="0"/>
              <w:rPr>
                <w:sz w:val="20"/>
                <w:szCs w:val="20"/>
                <w:color w:val="auto"/>
              </w:rPr>
            </w:pPr>
            <w:r>
              <w:rPr>
                <w:rFonts w:ascii="Arial" w:cs="Arial" w:eastAsia="Arial" w:hAnsi="Arial"/>
                <w:sz w:val="13"/>
                <w:szCs w:val="13"/>
                <w:b w:val="1"/>
                <w:bCs w:val="1"/>
                <w:color w:val="auto"/>
                <w:w w:val="94"/>
              </w:rPr>
              <w:t>Comprehensive</w:t>
            </w:r>
          </w:p>
        </w:tc>
        <w:tc>
          <w:tcPr>
            <w:tcW w:w="4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Stockholders’</w:t>
            </w:r>
          </w:p>
        </w:tc>
      </w:tr>
      <w:tr>
        <w:trPr>
          <w:trHeight w:val="129"/>
        </w:trPr>
        <w:tc>
          <w:tcPr>
            <w:tcW w:w="4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3"/>
                <w:szCs w:val="13"/>
                <w:b w:val="1"/>
                <w:bCs w:val="1"/>
                <w:color w:val="auto"/>
                <w:w w:val="96"/>
              </w:rPr>
              <w:t>Shares</w:t>
            </w: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4"/>
          </w:tcPr>
          <w:p>
            <w:pPr>
              <w:ind w:left="20"/>
              <w:spacing w:after="0" w:line="129" w:lineRule="exact"/>
              <w:rPr>
                <w:sz w:val="20"/>
                <w:szCs w:val="20"/>
                <w:color w:val="auto"/>
              </w:rPr>
            </w:pPr>
            <w:r>
              <w:rPr>
                <w:rFonts w:ascii="Arial" w:cs="Arial" w:eastAsia="Arial" w:hAnsi="Arial"/>
                <w:sz w:val="13"/>
                <w:szCs w:val="13"/>
                <w:b w:val="1"/>
                <w:bCs w:val="1"/>
                <w:color w:val="auto"/>
                <w:w w:val="81"/>
              </w:rPr>
              <w:t>Amount</w:t>
            </w: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4"/>
          </w:tcPr>
          <w:p>
            <w:pPr>
              <w:jc w:val="center"/>
              <w:ind w:right="140"/>
              <w:spacing w:after="0" w:line="129"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center"/>
              <w:ind w:right="240"/>
              <w:spacing w:after="0" w:line="129" w:lineRule="exact"/>
              <w:rPr>
                <w:sz w:val="20"/>
                <w:szCs w:val="20"/>
                <w:color w:val="auto"/>
              </w:rPr>
            </w:pPr>
            <w:r>
              <w:rPr>
                <w:rFonts w:ascii="Arial" w:cs="Arial" w:eastAsia="Arial" w:hAnsi="Arial"/>
                <w:sz w:val="13"/>
                <w:szCs w:val="13"/>
                <w:b w:val="1"/>
                <w:bCs w:val="1"/>
                <w:color w:val="auto"/>
                <w:w w:val="87"/>
              </w:rPr>
              <w:t>Income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70"/>
              <w:spacing w:after="0" w:line="129" w:lineRule="exact"/>
              <w:rPr>
                <w:sz w:val="20"/>
                <w:szCs w:val="20"/>
                <w:color w:val="auto"/>
              </w:rPr>
            </w:pPr>
            <w:r>
              <w:rPr>
                <w:rFonts w:ascii="Arial" w:cs="Arial" w:eastAsia="Arial" w:hAnsi="Arial"/>
                <w:sz w:val="13"/>
                <w:szCs w:val="13"/>
                <w:b w:val="1"/>
                <w:bCs w:val="1"/>
                <w:color w:val="auto"/>
                <w:w w:val="95"/>
              </w:rPr>
              <w:t>Equity</w:t>
            </w:r>
          </w:p>
        </w:tc>
      </w:tr>
      <w:tr>
        <w:trPr>
          <w:trHeight w:val="142"/>
        </w:trPr>
        <w:tc>
          <w:tcPr>
            <w:tcW w:w="43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June 30, 2019</w:t>
            </w:r>
          </w:p>
        </w:tc>
        <w:tc>
          <w:tcPr>
            <w:tcW w:w="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53,075</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8"/>
              </w:rPr>
              <w:t>207,982</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99,817</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307,964</w:t>
            </w:r>
          </w:p>
        </w:tc>
      </w:tr>
      <w:tr>
        <w:trPr>
          <w:trHeight w:val="149"/>
        </w:trPr>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26,140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26,140</w:t>
            </w:r>
          </w:p>
        </w:tc>
      </w:tr>
      <w:tr>
        <w:trPr>
          <w:trHeight w:val="149"/>
        </w:trPr>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w:t>
            </w:r>
          </w:p>
        </w:tc>
      </w:tr>
      <w:tr>
        <w:trPr>
          <w:trHeight w:val="149"/>
        </w:trPr>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Issuance of common stock upon vesting of restricted stock units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688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jc w:val="center"/>
              <w:ind w:left="68"/>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under employee stock purchase plan</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3,961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3,961</w:t>
            </w:r>
          </w:p>
        </w:tc>
      </w:tr>
      <w:tr>
        <w:trPr>
          <w:trHeight w:val="149"/>
        </w:trPr>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Net settlement for taxes and/or exercise price related to equity awards</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(26,231)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(26,231)</w:t>
            </w:r>
          </w:p>
        </w:tc>
      </w:tr>
      <w:tr>
        <w:trPr>
          <w:trHeight w:val="149"/>
        </w:trPr>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Unrealized losses on securities, net of tax</w:t>
            </w:r>
          </w:p>
        </w:tc>
        <w:tc>
          <w:tcPr>
            <w:tcW w:w="6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r>
      <w:tr>
        <w:trPr>
          <w:trHeight w:val="149"/>
        </w:trPr>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19,373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19,373</w:t>
            </w:r>
          </w:p>
        </w:tc>
      </w:tr>
      <w:tr>
        <w:trPr>
          <w:trHeight w:val="142"/>
        </w:trPr>
        <w:tc>
          <w:tcPr>
            <w:tcW w:w="438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December 31, 2019</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53,573</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8"/>
              </w:rPr>
              <w:t>212,240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119,190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331,564</w:t>
            </w:r>
          </w:p>
        </w:tc>
      </w:tr>
      <w:tr>
        <w:trPr>
          <w:trHeight w:val="20"/>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1"/>
                <w:szCs w:val="11"/>
                <w:b w:val="1"/>
                <w:bCs w:val="1"/>
                <w:color w:val="auto"/>
              </w:rPr>
              <w:t xml:space="preserve">2018 </w:t>
            </w:r>
            <w:r>
              <w:rPr>
                <w:rFonts w:ascii="Arial" w:cs="Arial" w:eastAsia="Arial" w:hAnsi="Arial"/>
                <w:sz w:val="16"/>
                <w:szCs w:val="16"/>
                <w:b w:val="1"/>
                <w:bCs w:val="1"/>
                <w:color w:val="auto"/>
                <w:vertAlign w:val="superscript"/>
              </w:rPr>
              <w:t>(1)</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15,556</w:t>
            </w:r>
          </w:p>
        </w:tc>
        <w:tc>
          <w:tcPr>
            <w:tcW w:w="32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19,373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19,524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24,832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20"/>
              <w:spacing w:after="0"/>
              <w:rPr>
                <w:sz w:val="20"/>
                <w:szCs w:val="20"/>
                <w:color w:val="auto"/>
              </w:rPr>
            </w:pPr>
            <w:r>
              <w:rPr>
                <w:rFonts w:ascii="Arial" w:cs="Arial" w:eastAsia="Arial" w:hAnsi="Arial"/>
                <w:sz w:val="16"/>
                <w:szCs w:val="16"/>
                <w:color w:val="auto"/>
              </w:rPr>
              <w:t>Deferred income tax benefit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(4,139)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Provision for doubtful accounts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20"/>
              <w:spacing w:after="0"/>
              <w:rPr>
                <w:sz w:val="20"/>
                <w:szCs w:val="20"/>
                <w:color w:val="auto"/>
              </w:rPr>
            </w:pPr>
            <w:r>
              <w:rPr>
                <w:rFonts w:ascii="Arial" w:cs="Arial" w:eastAsia="Arial" w:hAnsi="Arial"/>
                <w:sz w:val="16"/>
                <w:szCs w:val="16"/>
                <w:color w:val="auto"/>
              </w:rPr>
              <w:t>Net accretion of discounts and amortization of premiums on available-for-sale securities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20"/>
              <w:spacing w:after="0"/>
              <w:rPr>
                <w:sz w:val="20"/>
                <w:szCs w:val="20"/>
                <w:color w:val="auto"/>
              </w:rPr>
            </w:pPr>
            <w:r>
              <w:rPr>
                <w:rFonts w:ascii="Arial" w:cs="Arial" w:eastAsia="Arial" w:hAnsi="Arial"/>
                <w:sz w:val="16"/>
                <w:szCs w:val="16"/>
                <w:color w:val="auto"/>
              </w:rPr>
              <w:t>Loss on disposal of equipment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Deferred contract costs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Arial" w:cs="Arial" w:eastAsia="Arial" w:hAnsi="Arial"/>
                <w:sz w:val="16"/>
                <w:szCs w:val="16"/>
                <w:color w:val="auto"/>
              </w:rPr>
              <w:t>Prepaid expenses and other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Arial" w:cs="Arial" w:eastAsia="Arial" w:hAnsi="Arial"/>
                <w:sz w:val="16"/>
                <w:szCs w:val="16"/>
                <w:color w:val="auto"/>
              </w:rPr>
              <w:t>Accrued expenses and other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Tenant improvement allowance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tcPr>
          <w:p>
            <w:pPr>
              <w:ind w:left="6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34,296</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200"/>
              <w:spacing w:after="0"/>
              <w:rPr>
                <w:sz w:val="20"/>
                <w:szCs w:val="20"/>
                <w:color w:val="auto"/>
              </w:rPr>
            </w:pPr>
            <w:r>
              <w:rPr>
                <w:rFonts w:ascii="Arial" w:cs="Arial" w:eastAsia="Arial" w:hAnsi="Arial"/>
                <w:sz w:val="16"/>
                <w:szCs w:val="16"/>
                <w:color w:val="auto"/>
              </w:rPr>
              <w:t>Purchases of available-for-sale securities and other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(117,053)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(253,950)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sales and maturities of available-for-sale securities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88,879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200"/>
              <w:spacing w:after="0"/>
              <w:rPr>
                <w:sz w:val="20"/>
                <w:szCs w:val="20"/>
                <w:color w:val="auto"/>
              </w:rPr>
            </w:pPr>
            <w:r>
              <w:rPr>
                <w:rFonts w:ascii="Arial" w:cs="Arial" w:eastAsia="Arial" w:hAnsi="Arial"/>
                <w:sz w:val="16"/>
                <w:szCs w:val="16"/>
                <w:color w:val="auto"/>
              </w:rPr>
              <w:t>Capitalized internal-use software costs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(9,425)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200"/>
              <w:spacing w:after="0"/>
              <w:rPr>
                <w:sz w:val="20"/>
                <w:szCs w:val="20"/>
                <w:color w:val="auto"/>
              </w:rPr>
            </w:pPr>
            <w:r>
              <w:rPr>
                <w:rFonts w:ascii="Arial" w:cs="Arial" w:eastAsia="Arial" w:hAnsi="Arial"/>
                <w:sz w:val="16"/>
                <w:szCs w:val="16"/>
                <w:color w:val="auto"/>
              </w:rPr>
              <w:t>Lease allowances used for tenant improvements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(45,382)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(153,707)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client fund obligations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33,159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450,825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200"/>
              <w:spacing w:after="0"/>
              <w:rPr>
                <w:sz w:val="20"/>
                <w:szCs w:val="20"/>
                <w:color w:val="auto"/>
              </w:rPr>
            </w:pPr>
            <w:r>
              <w:rPr>
                <w:rFonts w:ascii="Arial" w:cs="Arial" w:eastAsia="Arial" w:hAnsi="Arial"/>
                <w:sz w:val="16"/>
                <w:szCs w:val="16"/>
                <w:color w:val="auto"/>
              </w:rPr>
              <w:t>Repurchases of common shares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(34,991)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200"/>
              <w:spacing w:after="0"/>
              <w:rPr>
                <w:sz w:val="20"/>
                <w:szCs w:val="20"/>
                <w:color w:val="auto"/>
              </w:rPr>
            </w:pPr>
            <w:r>
              <w:rPr>
                <w:rFonts w:ascii="Arial" w:cs="Arial" w:eastAsia="Arial" w:hAnsi="Arial"/>
                <w:sz w:val="16"/>
                <w:szCs w:val="16"/>
                <w:color w:val="auto"/>
              </w:rPr>
              <w:t>Proceeds from employee stock purchase plan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(25,954)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Payment of debt issuance costs</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(17,801)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428,157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gridSpan w:val="2"/>
          </w:tcPr>
          <w:p>
            <w:pPr>
              <w:spacing w:after="0"/>
              <w:rPr>
                <w:sz w:val="20"/>
                <w:szCs w:val="20"/>
                <w:color w:val="auto"/>
              </w:rPr>
            </w:pPr>
            <w:r>
              <w:rPr>
                <w:rFonts w:ascii="Arial" w:cs="Arial" w:eastAsia="Arial" w:hAnsi="Arial"/>
                <w:sz w:val="16"/>
                <w:szCs w:val="16"/>
                <w:color w:val="auto"/>
              </w:rPr>
              <w:t>Net change in cash, cash equivalents and funds held for clients' cash and cash equivalents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(28,887)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310,528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w w:val="96"/>
              </w:rPr>
              <w:t>Cash, cash equivalents and funds held for clients' cash and cash equivalents—beginning of period</w:t>
            </w: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1,239,731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1,426,143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60" w:type="dxa"/>
            <w:vAlign w:val="bottom"/>
            <w:gridSpan w:val="2"/>
          </w:tcPr>
          <w:p>
            <w:pPr>
              <w:spacing w:after="0"/>
              <w:rPr>
                <w:sz w:val="20"/>
                <w:szCs w:val="20"/>
                <w:color w:val="auto"/>
              </w:rPr>
            </w:pPr>
            <w:r>
              <w:rPr>
                <w:rFonts w:ascii="Arial" w:cs="Arial" w:eastAsia="Arial" w:hAnsi="Arial"/>
                <w:sz w:val="16"/>
                <w:szCs w:val="16"/>
                <w:color w:val="auto"/>
              </w:rPr>
              <w:t>Cash, cash equivalents and funds held for clients' cash and cash equivalents—end of period</w:t>
            </w:r>
          </w:p>
        </w:tc>
        <w:tc>
          <w:tcPr>
            <w:tcW w:w="3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1,210,844</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1,736,671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Supplemental Disclosure of Non-Cash Investing and Financing Activities</w:t>
            </w: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tcPr>
          <w:p>
            <w:pPr>
              <w:ind w:left="200"/>
              <w:spacing w:after="0"/>
              <w:rPr>
                <w:sz w:val="20"/>
                <w:szCs w:val="20"/>
                <w:color w:val="auto"/>
              </w:rPr>
            </w:pPr>
            <w:r>
              <w:rPr>
                <w:rFonts w:ascii="Arial" w:cs="Arial" w:eastAsia="Arial" w:hAnsi="Arial"/>
                <w:sz w:val="16"/>
                <w:szCs w:val="16"/>
                <w:color w:val="auto"/>
              </w:rPr>
              <w:t>Purchases of property and equipment, accrued but not paid</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252</w:t>
            </w:r>
          </w:p>
        </w:tc>
        <w:tc>
          <w:tcPr>
            <w:tcW w:w="32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Supplemental Disclosure of Cash Flow Information</w:t>
            </w: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tcPr>
          <w:p>
            <w:pPr>
              <w:ind w:left="200"/>
              <w:spacing w:after="0"/>
              <w:rPr>
                <w:sz w:val="20"/>
                <w:szCs w:val="20"/>
                <w:color w:val="auto"/>
              </w:rPr>
            </w:pPr>
            <w:r>
              <w:rPr>
                <w:rFonts w:ascii="Arial" w:cs="Arial" w:eastAsia="Arial" w:hAnsi="Arial"/>
                <w:sz w:val="16"/>
                <w:szCs w:val="16"/>
                <w:color w:val="auto"/>
              </w:rPr>
              <w:t>Cash paid for interest</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paid for income taxes, net of refunds</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tcPr>
          <w:p>
            <w:pPr>
              <w:spacing w:after="0"/>
              <w:rPr>
                <w:sz w:val="20"/>
                <w:szCs w:val="20"/>
                <w:color w:val="auto"/>
              </w:rPr>
            </w:pPr>
            <w:r>
              <w:rPr>
                <w:rFonts w:ascii="Arial" w:cs="Arial" w:eastAsia="Arial" w:hAnsi="Arial"/>
                <w:sz w:val="16"/>
                <w:szCs w:val="16"/>
                <w:color w:val="auto"/>
                <w:w w:val="95"/>
              </w:rPr>
              <w:t>Reconciliation of cash, cash equivalents and funds held for clients' cash and cash equivalents to the</w:t>
            </w: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67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760" w:type="dxa"/>
            <w:vAlign w:val="bottom"/>
            <w:gridSpan w:val="2"/>
          </w:tcPr>
          <w:p>
            <w:pPr>
              <w:spacing w:after="0"/>
              <w:rPr>
                <w:sz w:val="20"/>
                <w:szCs w:val="20"/>
                <w:color w:val="auto"/>
              </w:rPr>
            </w:pPr>
            <w:r>
              <w:rPr>
                <w:rFonts w:ascii="Arial" w:cs="Arial" w:eastAsia="Arial" w:hAnsi="Arial"/>
                <w:sz w:val="16"/>
                <w:szCs w:val="16"/>
                <w:color w:val="auto"/>
              </w:rPr>
              <w:t>Consolidated Balance Sheets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84,114</w:t>
            </w:r>
          </w:p>
        </w:tc>
        <w:tc>
          <w:tcPr>
            <w:tcW w:w="32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Funds held for clients' cash and cash equivalents</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1,126,730</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1,660,771</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cash equivalents and funds held for clients' cash and cash equivalents</w:t>
            </w: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1,210,844</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1,736,671</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220" w:right="360" w:hanging="211"/>
        <w:spacing w:after="0" w:line="266" w:lineRule="auto"/>
        <w:tabs>
          <w:tab w:leader="none" w:pos="220" w:val="left"/>
        </w:tabs>
        <w:numPr>
          <w:ilvl w:val="0"/>
          <w:numId w:val="3"/>
        </w:numPr>
        <w:rPr>
          <w:rFonts w:ascii="Arial" w:cs="Arial" w:eastAsia="Arial" w:hAnsi="Arial"/>
          <w:sz w:val="11"/>
          <w:szCs w:val="11"/>
          <w:color w:val="auto"/>
        </w:rPr>
      </w:pPr>
      <w:r>
        <w:rPr>
          <w:rFonts w:ascii="Arial" w:cs="Arial" w:eastAsia="Arial" w:hAnsi="Arial"/>
          <w:sz w:val="14"/>
          <w:szCs w:val="14"/>
          <w:color w:val="auto"/>
        </w:rPr>
        <w:t>Certain amounts have been reclassified to reflect the adoption of Accounting Standards Update (“ASU”) No. 2016-18, “Statement of Cash Flows (Topic 230): Restricted Cash (a consensus of the FASB Emerging Issues Task Force).” Refer to Note 2 of the audited consolidated financial statements included in the Annual Report on Form 10-K for the fiscal year ended June 30, 2019.</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unaudited consolidated financial statements</w:t>
      </w:r>
      <w:r>
        <w:rPr>
          <w:rFonts w:ascii="Arial" w:cs="Arial" w:eastAsia="Arial" w:hAnsi="Arial"/>
          <w:sz w:val="18"/>
          <w:szCs w:val="18"/>
          <w:color w:val="auto"/>
        </w:rPr>
        <w:t>.</w:t>
      </w:r>
    </w:p>
    <w:p>
      <w:pPr>
        <w:sectPr>
          <w:pgSz w:w="11900" w:h="16838" w:orient="portrait"/>
          <w:cols w:equalWidth="0" w:num="1">
            <w:col w:w="9060"/>
          </w:cols>
          <w:pgMar w:left="1420" w:top="517" w:right="1419" w:bottom="1440" w:gutter="0" w:footer="0" w:header="0"/>
        </w:sectPr>
      </w:pP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356235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Paylocity Holding Corporation (the “Company”) is a cloud-based provider of payroll and human capital management software solutions for medium-sized organizations. Services are provided in a Software-as-a-Service (“SaaS”) delivery model utilizing the Company’s cloud-based platform. The Company’s comprehensive product suite delivers a unified platform that allows clients to make strategic decisions in the areas of payroll, core HR, workforce management, talent and benefits.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300" w:hanging="291"/>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Basis of Presentation, Consolidation and Use of Estimates</w:t>
      </w:r>
    </w:p>
    <w:p>
      <w:pPr>
        <w:spacing w:after="0" w:line="225"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47"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Beginning in fiscal 2020, the Company simplified the presentation of revenue and cost of revenues on its Unaudited Consolidated Statements of Operations and Comprehensive Income. The line items “Recurring fees” and “Implementation services and other” have been combined into one revenue line: “Recurring and other revenue”. Likewise, the line items “Cost of revenues – recurring revenues” and “Cost of revenues – implementation services and other” have been combined into one line: “Cost of revenues”. The Company changed the presentation of revenue and cost of revenues as Implementation services and other has become a smaller component of its overall revenue mix due to the human capital management (“HCM”) suite becoming a larger part of the portfolio. Previously reported results for the three and six month periods ended December 31, 2018 have been reclassified to conform to the current presentation.</w:t>
      </w:r>
    </w:p>
    <w:p>
      <w:pPr>
        <w:spacing w:after="0" w:line="166" w:lineRule="exact"/>
        <w:rPr>
          <w:sz w:val="20"/>
          <w:szCs w:val="20"/>
          <w:color w:val="auto"/>
        </w:rPr>
      </w:pPr>
    </w:p>
    <w:p>
      <w:pPr>
        <w:ind w:left="300" w:hanging="291"/>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Interim Unaudited Consolidated Financial Information</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and six months ended December 31, 2019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2019 included in the Company’s Annual Report on Form 10-K filed with the SEC on August 9, 2019.</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hanging="291"/>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193" w:lineRule="exact"/>
        <w:rPr>
          <w:sz w:val="20"/>
          <w:szCs w:val="20"/>
          <w:color w:val="auto"/>
        </w:rPr>
      </w:pPr>
    </w:p>
    <w:p>
      <w:pPr>
        <w:ind w:left="300" w:hanging="291"/>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In February 2016, the FASB issued ASU 2016-02, Leases (Topic 842)</w:t>
      </w:r>
      <w:r>
        <w:rPr>
          <w:rFonts w:ascii="Arial" w:cs="Arial" w:eastAsia="Arial" w:hAnsi="Arial"/>
          <w:sz w:val="17"/>
          <w:szCs w:val="17"/>
          <w:i w:val="1"/>
          <w:iCs w:val="1"/>
          <w:color w:val="auto"/>
        </w:rPr>
        <w:t>,</w:t>
      </w:r>
      <w:r>
        <w:rPr>
          <w:rFonts w:ascii="Arial" w:cs="Arial" w:eastAsia="Arial" w:hAnsi="Arial"/>
          <w:sz w:val="17"/>
          <w:szCs w:val="17"/>
          <w:color w:val="auto"/>
        </w:rPr>
        <w:t xml:space="preserve"> which requires lessees to recognize leases on-balance sheet and disclose key information about leasing arrangements. The new standard establishes a right-of-use (“ROU”) model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w:t>
      </w:r>
    </w:p>
    <w:p>
      <w:pPr>
        <w:spacing w:after="0" w:line="173"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Company adopted the new standard on July 1, 2019 using the modified retrospective method and the transition relief guidance provided by the FASB in ASU 2018-11, Leases (Topic 842): Targeted Improvements. Consequently, the Company did not update financial information or provide disclosures required under the new standard for dates and periods prior to July 1, 2019. The Company elected the package of practical expedients and did not reassess prior conclusions on whether contracts are or contain a lease, lease classification, and initial direct costs. In addition, the Company adopted the lessee practical expedient to combine lease and non-lease components for all asset classes and elected to not recognize ROU assets and lease liabilities for leases with a term of 12 months or less.</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Adoption of the new standard resulted in the Company recording operating lease ROU assets and operating lease liabilities of $52,083 and $83,852, respectively, as of July 1, 2019. The ROU assets were recorded net of $31,769 in deferred rent adjustments that were previously recorded in Accrued expenses and Deferred rent on the Consolidated Balance Sheets as of June 30, 2019. The adoption of this standard did not result in any cumulative-effect adjustments to Retained earnings. Additionally, there was no impact on the Company’s unaudited consolidated statements of operations and comprehensive income or the unaudited statement of cash flows as a result of the adoption of Topic 842 for the three and six months ended December 31, 2019.</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8 for additional disclosures over the Company’s leases.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hanging="291"/>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(“ASU 2018-13”), which amends the requirements for fair value measurement disclosures. ASU 2018-13 removes, modifies or adds certain disclosure requirements under GAAP. This standard is effective for fiscal years beginning after December 15, 2019, with early adoption permitted. Any new disclosure requirements must be applied on a prospective basis in the interim and annual periods of initial adoption; all removed or modified requirements must be applied retrospectively to all periods presented. The Company plans to adopt this standard on July 1, 2020 and does not expect any material impact from adoption.</w:t>
      </w:r>
    </w:p>
    <w:p>
      <w:pPr>
        <w:spacing w:after="0" w:line="167"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(“ASU 2019-12”) which provides guidance to reduce complexity in certain areas of accounting for income taxes. ASU 2019-12 removes certain exceptions to the general principles in Topic 740 and simplifies various aspects of the current guidance to promote consistent application of the standard among reporting entities. This standard is effective for fiscal years beginning after December 15, 2020 with early adoption permitted. The Company is currently assessing the impact of ASU 2019-12 on its financial statements as well as the timing and method of adoption.</w:t>
      </w:r>
    </w:p>
    <w:p>
      <w:pPr>
        <w:spacing w:after="0" w:line="16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Company derives its revenue from contracts predominantly from recurring and non-recurring service fees. While the majority of its agreements are generally cancellable by the client on 60 days’ notice or less, the Company also has term arrangements, which are generally two years in length. Recurring fees are derived from payroll, timekeeping, and HR-related cloud-based computing services. 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 based fees which can include payroll, time and attendance, and HR related services, the Company recognizes the applicable recurring fees over time each month with the fee charged and collected based on a per employee per month fee. Non-recurring service fees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 Implementation fees are deferred and amortized generally over a period up to 24 months.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disaggregates revenue by Recurring fees and Implementation services and other, which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believes depicts the nature, amount and timing of its revenue: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180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80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50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18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$ 100,275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$ 123,562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$ 196,036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241,339</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Implementation services and other</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2,464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4,418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8,514</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 from contracts</w:t>
            </w:r>
          </w:p>
        </w:tc>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$ 102,739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$ 127,980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$ 199,741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249,853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60" w:type="dxa"/>
            <w:vAlign w:val="bottom"/>
            <w:vMerge w:val="restart"/>
          </w:tcPr>
          <w:p>
            <w:pPr>
              <w:jc w:val="right"/>
              <w:ind w:right="690"/>
              <w:spacing w:after="0"/>
              <w:rPr>
                <w:sz w:val="20"/>
                <w:szCs w:val="20"/>
                <w:color w:val="auto"/>
              </w:rPr>
            </w:pPr>
            <w:r>
              <w:rPr>
                <w:rFonts w:ascii="Arial" w:cs="Arial" w:eastAsia="Arial" w:hAnsi="Arial"/>
                <w:sz w:val="18"/>
                <w:szCs w:val="18"/>
                <w:color w:val="auto"/>
              </w:rPr>
              <w:t>8</w:t>
            </w: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5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timing of revenue recognition for recurring revenue is consistent with the timing of invoicing as they occur simultaneously based on the client’s payroll frequency or by month for subscription-based fees. As such, the Company does not recognize contract assets or liabilities related to recurring revenue.</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nonrefundable upfront fees related to implementation services are invoiced with the client’s first payroll period. The Company defers and recognizes these nonrefundable upfront fees generally over a period up to 24 months based on the type of contract. The following table summarizes the changes in deferred revenue (i.e. contract liability) related to these nonrefundable upfront fees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200" w:type="dxa"/>
            <w:vAlign w:val="bottom"/>
          </w:tcPr>
          <w:p>
            <w:pPr>
              <w:spacing w:after="0"/>
              <w:rPr>
                <w:sz w:val="14"/>
                <w:szCs w:val="14"/>
                <w:color w:val="auto"/>
              </w:rPr>
            </w:pPr>
          </w:p>
        </w:tc>
        <w:tc>
          <w:tcPr>
            <w:tcW w:w="160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60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4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Deferral of revenue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6,243</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Balance at end of the period</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6,853</w:t>
            </w: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Deferred revenue related to these nonrefundable upfront fees are recorded within Accrued expenses and Other long-term liabilities on the Unaudited Consolidated Balance Sheets. The Company expects to recognize these deferred revenue balances of $3,826 in fiscal 2020, $2,581 in fiscal 2021, $446 in fiscal 2022 and thereafter.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6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8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tables present the deferred contract costs and the related amortization expense for these deferred contract costs: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4"/>
                <w:szCs w:val="14"/>
                <w:b w:val="1"/>
                <w:bCs w:val="1"/>
                <w:color w:val="auto"/>
              </w:rPr>
              <w:t>Three Months Ended December 31, 2018</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Beginning</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Capitalized</w:t>
            </w: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0"/>
                <w:szCs w:val="10"/>
                <w:color w:val="auto"/>
              </w:rPr>
            </w:pPr>
          </w:p>
        </w:tc>
        <w:tc>
          <w:tcPr>
            <w:tcW w:w="100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Costs</w:t>
            </w:r>
          </w:p>
        </w:tc>
        <w:tc>
          <w:tcPr>
            <w:tcW w:w="11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Costs to obtain a new contract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71,476</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Costs to fulfill a contract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10,787</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82,263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4"/>
                <w:szCs w:val="14"/>
                <w:b w:val="1"/>
                <w:bCs w:val="1"/>
                <w:color w:val="auto"/>
              </w:rPr>
              <w:t>Three Months Ended December 31, 2019</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Beginning</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Capitalized</w:t>
            </w: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0"/>
                <w:szCs w:val="10"/>
                <w:color w:val="auto"/>
              </w:rPr>
            </w:pPr>
          </w:p>
        </w:tc>
        <w:tc>
          <w:tcPr>
            <w:tcW w:w="100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Costs</w:t>
            </w:r>
          </w:p>
        </w:tc>
        <w:tc>
          <w:tcPr>
            <w:tcW w:w="11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Costs to obtain a new contract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92,848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Costs to fulfill a contract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32,685</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125,533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60"/>
          </w:cols>
          <w:pgMar w:left="1420" w:top="517" w:right="1419" w:bottom="1440" w:gutter="0" w:footer="0" w:header="0"/>
        </w:sect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356235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right"/>
              <w:ind w:right="130"/>
              <w:spacing w:after="0"/>
              <w:rPr>
                <w:sz w:val="20"/>
                <w:szCs w:val="20"/>
                <w:color w:val="auto"/>
              </w:rPr>
            </w:pPr>
            <w:r>
              <w:rPr>
                <w:rFonts w:ascii="Arial" w:cs="Arial" w:eastAsia="Arial" w:hAnsi="Arial"/>
                <w:sz w:val="14"/>
                <w:szCs w:val="14"/>
                <w:b w:val="1"/>
                <w:bCs w:val="1"/>
                <w:color w:val="auto"/>
                <w:w w:val="92"/>
              </w:rPr>
              <w:t>Six Months Ended December 31, 2018</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w w:val="97"/>
              </w:rPr>
              <w:t>Beginning</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Capitalized</w:t>
            </w: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0"/>
                <w:szCs w:val="10"/>
                <w:color w:val="auto"/>
              </w:rPr>
            </w:pPr>
          </w:p>
        </w:tc>
        <w:tc>
          <w:tcPr>
            <w:tcW w:w="100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Costs</w:t>
            </w:r>
          </w:p>
        </w:tc>
        <w:tc>
          <w:tcPr>
            <w:tcW w:w="11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Costs to obtain a new contract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71,476</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Costs to fulfill a contract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10,787</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82,263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right"/>
              <w:ind w:right="130"/>
              <w:spacing w:after="0"/>
              <w:rPr>
                <w:sz w:val="20"/>
                <w:szCs w:val="20"/>
                <w:color w:val="auto"/>
              </w:rPr>
            </w:pPr>
            <w:r>
              <w:rPr>
                <w:rFonts w:ascii="Arial" w:cs="Arial" w:eastAsia="Arial" w:hAnsi="Arial"/>
                <w:sz w:val="14"/>
                <w:szCs w:val="14"/>
                <w:b w:val="1"/>
                <w:bCs w:val="1"/>
                <w:color w:val="auto"/>
                <w:w w:val="92"/>
              </w:rPr>
              <w:t>Six Months Ended December 31, 2019</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w w:val="97"/>
              </w:rPr>
              <w:t>Beginning</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Capitalized</w:t>
            </w: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0"/>
                <w:szCs w:val="10"/>
                <w:color w:val="auto"/>
              </w:rPr>
            </w:pPr>
          </w:p>
        </w:tc>
        <w:tc>
          <w:tcPr>
            <w:tcW w:w="100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Costs</w:t>
            </w:r>
          </w:p>
        </w:tc>
        <w:tc>
          <w:tcPr>
            <w:tcW w:w="11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Costs to obtain a new contract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92,848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Costs to fulfill a contract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(2,176)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32,685</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125,533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Deferred contract costs are recorded within Deferred contract costs and Long-term deferred contract costs on the Unaudited Consolidated Balance Sheets. Amortization of deferred contract costs is recorded in Cost of revenues, Sales and marketing, and General and administrative in the Unaudited Consolidated Statements of Operations and Comprehensive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remaining performance obligations related to minimum monthly fees on its term based contracts was approximately $42,966 as of December 31, 2019,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3"/>
          </w:tcPr>
          <w:p>
            <w:pPr>
              <w:spacing w:after="0"/>
              <w:rPr>
                <w:sz w:val="20"/>
                <w:szCs w:val="20"/>
                <w:color w:val="auto"/>
              </w:rPr>
            </w:pPr>
            <w:r>
              <w:rPr>
                <w:rFonts w:ascii="Arial" w:cs="Arial" w:eastAsia="Arial" w:hAnsi="Arial"/>
                <w:sz w:val="18"/>
                <w:szCs w:val="18"/>
                <w:b w:val="1"/>
                <w:bCs w:val="1"/>
                <w:color w:val="auto"/>
              </w:rPr>
              <w:t>(4) Balance Sheet Information</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tcPr>
          <w:p>
            <w:pPr>
              <w:ind w:left="620"/>
              <w:spacing w:after="0"/>
              <w:rPr>
                <w:sz w:val="20"/>
                <w:szCs w:val="20"/>
                <w:color w:val="auto"/>
              </w:rPr>
            </w:pPr>
            <w:r>
              <w:rPr>
                <w:rFonts w:ascii="Arial" w:cs="Arial" w:eastAsia="Arial" w:hAnsi="Arial"/>
                <w:sz w:val="18"/>
                <w:szCs w:val="18"/>
                <w:color w:val="auto"/>
                <w:w w:val="93"/>
              </w:rPr>
              <w:t>The following tables provide details of selected consolidated balance sheet items: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tcPr>
          <w:p>
            <w:pPr>
              <w:ind w:left="620"/>
              <w:spacing w:after="0"/>
              <w:rPr>
                <w:sz w:val="20"/>
                <w:szCs w:val="20"/>
                <w:color w:val="auto"/>
              </w:rPr>
            </w:pPr>
            <w:r>
              <w:rPr>
                <w:rFonts w:ascii="Arial" w:cs="Arial" w:eastAsia="Arial" w:hAnsi="Arial"/>
                <w:sz w:val="18"/>
                <w:szCs w:val="18"/>
                <w:color w:val="auto"/>
              </w:rPr>
              <w:t>Activity in the allowance for doubtful accounts was as follows: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Charged to expense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gridSpan w:val="3"/>
          </w:tcPr>
          <w:p>
            <w:pPr>
              <w:spacing w:after="0"/>
              <w:rPr>
                <w:sz w:val="20"/>
                <w:szCs w:val="20"/>
                <w:color w:val="auto"/>
              </w:rPr>
            </w:pPr>
            <w:r>
              <w:rPr>
                <w:rFonts w:ascii="Arial" w:cs="Arial" w:eastAsia="Arial" w:hAnsi="Arial"/>
                <w:sz w:val="18"/>
                <w:szCs w:val="18"/>
                <w:color w:val="auto"/>
              </w:rPr>
              <w:t>Balance at December 31, 2019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vMerge w:val="restart"/>
          </w:tcPr>
          <w:p>
            <w:pPr>
              <w:ind w:left="620"/>
              <w:spacing w:after="0"/>
              <w:rPr>
                <w:sz w:val="20"/>
                <w:szCs w:val="20"/>
                <w:color w:val="auto"/>
              </w:rPr>
            </w:pPr>
            <w:r>
              <w:rPr>
                <w:rFonts w:ascii="Arial" w:cs="Arial" w:eastAsia="Arial" w:hAnsi="Arial"/>
                <w:sz w:val="18"/>
                <w:szCs w:val="18"/>
                <w:color w:val="auto"/>
                <w:w w:val="95"/>
              </w:rPr>
              <w:t>Capitalized internal-use software and accumulated amortization were as follows:</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24"/>
                <w:szCs w:val="2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108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internal-use software</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90,991</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104,182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(63,505)</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(72,563)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31,619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Amortization of capitalized internal-use software costs is included in Cost of revenues and amounted to $4,418 and $4,690 for the three months ended December 31, 2018 and 2019, respectively, and $8,630 and $9,147 for the six months ended December 31, 2018 and 2019,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3"/>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Computer equipment</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42,344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Software</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6,638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clocks rented by clients</w:t>
            </w:r>
          </w:p>
        </w:tc>
        <w:tc>
          <w:tcPr>
            <w:tcW w:w="2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w:t>
            </w: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108,422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2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(44,654)</w:t>
            </w: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71,090</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Depreciation expense amounted to $3,588 and $4,076 for the three months ended December 31, 2018 and 2019, respectively, and $7,045 and $7,989 for the six months ended December 31, 2018 and 2019,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amortizable intangible assets and estimated useful lives are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55"/>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Useful</w:t>
            </w:r>
          </w:p>
        </w:tc>
      </w:tr>
      <w:tr>
        <w:trPr>
          <w:trHeight w:val="16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Life</w:t>
            </w: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1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7 - 9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Non-solicitation agreements</w:t>
            </w:r>
          </w:p>
        </w:tc>
        <w:tc>
          <w:tcPr>
            <w:tcW w:w="1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89"/>
              </w:rPr>
              <w:t>2 - 4 years</w:t>
            </w: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1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(9,104)</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9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for acquired intangible assets was $563 and $562 for the three months ended</w:t>
      </w:r>
    </w:p>
    <w:p>
      <w:pPr>
        <w:spacing w:after="0" w:line="2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December 31, 2018 and 2019, respectively, and $1,126 and $1,125 for the six months ended December 31, 2018 and 2019,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amortization expense for acquired intangible assets as of December 31, 2019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2020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Fiscal 2021</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Fiscal 2022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Fiscal 2023</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Fiscal 2024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vMerge w:val="restart"/>
          </w:tcPr>
          <w:p>
            <w:pPr>
              <w:ind w:left="640"/>
              <w:spacing w:after="0"/>
              <w:rPr>
                <w:sz w:val="20"/>
                <w:szCs w:val="20"/>
                <w:color w:val="auto"/>
              </w:rPr>
            </w:pPr>
            <w:r>
              <w:rPr>
                <w:rFonts w:ascii="Arial" w:cs="Arial" w:eastAsia="Arial" w:hAnsi="Arial"/>
                <w:sz w:val="18"/>
                <w:szCs w:val="18"/>
                <w:color w:val="auto"/>
              </w:rPr>
              <w:t>The components of accrued expenses were as follows:</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8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9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and personnel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39,095</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7,694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12,958</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11,413</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57,625</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62,853</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444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0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Corporate Investments and Funds Held for Clients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investments and funds held for clients consist of the following: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2"/>
                <w:szCs w:val="12"/>
                <w:color w:val="auto"/>
              </w:rPr>
            </w:pPr>
          </w:p>
        </w:tc>
        <w:tc>
          <w:tcPr>
            <w:tcW w:w="6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2"/>
                <w:szCs w:val="12"/>
                <w:color w:val="auto"/>
              </w:rPr>
            </w:pPr>
          </w:p>
        </w:tc>
        <w:tc>
          <w:tcPr>
            <w:tcW w:w="680" w:type="dxa"/>
            <w:vAlign w:val="bottom"/>
            <w:gridSpan w:val="2"/>
          </w:tcPr>
          <w:p>
            <w:pPr>
              <w:jc w:val="right"/>
              <w:ind w:right="30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440" w:type="dxa"/>
            <w:vAlign w:val="bottom"/>
            <w:gridSpan w:val="2"/>
          </w:tcPr>
          <w:p>
            <w:pPr>
              <w:ind w:left="2280"/>
              <w:spacing w:after="0" w:line="158" w:lineRule="exact"/>
              <w:rPr>
                <w:sz w:val="20"/>
                <w:szCs w:val="20"/>
                <w:color w:val="auto"/>
              </w:rPr>
            </w:pPr>
            <w:r>
              <w:rPr>
                <w:rFonts w:ascii="Arial" w:cs="Arial" w:eastAsia="Arial" w:hAnsi="Arial"/>
                <w:sz w:val="14"/>
                <w:szCs w:val="14"/>
                <w:b w:val="1"/>
                <w:bCs w:val="1"/>
                <w:color w:val="auto"/>
              </w:rPr>
              <w:t>Type of Issue</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3"/>
                <w:szCs w:val="13"/>
                <w:color w:val="auto"/>
              </w:rPr>
            </w:pPr>
          </w:p>
        </w:tc>
        <w:tc>
          <w:tcPr>
            <w:tcW w:w="6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3"/>
                <w:szCs w:val="13"/>
                <w:color w:val="auto"/>
              </w:rPr>
            </w:pPr>
          </w:p>
        </w:tc>
        <w:tc>
          <w:tcPr>
            <w:tcW w:w="68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3"/>
                <w:szCs w:val="13"/>
                <w:color w:val="auto"/>
              </w:rPr>
            </w:pPr>
          </w:p>
        </w:tc>
        <w:tc>
          <w:tcPr>
            <w:tcW w:w="840" w:type="dxa"/>
            <w:vAlign w:val="bottom"/>
          </w:tcPr>
          <w:p>
            <w:pPr>
              <w:jc w:val="right"/>
              <w:ind w:right="72"/>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132,478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132,476</w:t>
            </w: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1,293,673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1,293,667</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ind w:left="2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63,397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63,428</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27,099</w:t>
            </w:r>
          </w:p>
        </w:tc>
        <w:tc>
          <w:tcPr>
            <w:tcW w:w="0" w:type="dxa"/>
            <w:vAlign w:val="bottom"/>
          </w:tcPr>
          <w:p>
            <w:pPr>
              <w:spacing w:after="0"/>
              <w:rPr>
                <w:sz w:val="1"/>
                <w:szCs w:val="1"/>
                <w:color w:val="auto"/>
              </w:rPr>
            </w:pPr>
          </w:p>
        </w:tc>
      </w:tr>
      <w:tr>
        <w:trPr>
          <w:trHeight w:val="230"/>
        </w:trPr>
        <w:tc>
          <w:tcPr>
            <w:tcW w:w="5440" w:type="dxa"/>
            <w:vAlign w:val="bottom"/>
            <w:gridSpan w:val="2"/>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26,540</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available-for-sale securities (1)</w:t>
            </w: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130,665</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130,824</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1,556,816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1,556,967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80" w:right="260" w:hanging="320"/>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$30,022 of corporate investments and $100,802 of funds held for clients.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8"/>
              </w:rPr>
              <w:t>December 31, 2019</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6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68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40" w:type="dxa"/>
            <w:vAlign w:val="bottom"/>
            <w:gridSpan w:val="2"/>
            <w:vMerge w:val="restart"/>
          </w:tcPr>
          <w:p>
            <w:pPr>
              <w:ind w:left="2280"/>
              <w:spacing w:after="0"/>
              <w:rPr>
                <w:sz w:val="20"/>
                <w:szCs w:val="20"/>
                <w:color w:val="auto"/>
              </w:rPr>
            </w:pPr>
            <w:r>
              <w:rPr>
                <w:rFonts w:ascii="Arial" w:cs="Arial" w:eastAsia="Arial" w:hAnsi="Arial"/>
                <w:sz w:val="14"/>
                <w:szCs w:val="14"/>
                <w:b w:val="1"/>
                <w:bCs w:val="1"/>
                <w:color w:val="auto"/>
              </w:rPr>
              <w:t>Type of Issue</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75,902</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1,660,771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1,660,771</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2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148,627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148,626</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22,564</w:t>
            </w:r>
          </w:p>
        </w:tc>
        <w:tc>
          <w:tcPr>
            <w:tcW w:w="0" w:type="dxa"/>
            <w:vAlign w:val="bottom"/>
          </w:tcPr>
          <w:p>
            <w:pPr>
              <w:spacing w:after="0"/>
              <w:rPr>
                <w:sz w:val="1"/>
                <w:szCs w:val="1"/>
                <w:color w:val="auto"/>
              </w:rPr>
            </w:pPr>
          </w:p>
        </w:tc>
      </w:tr>
      <w:tr>
        <w:trPr>
          <w:trHeight w:val="216"/>
        </w:trPr>
        <w:tc>
          <w:tcPr>
            <w:tcW w:w="5440" w:type="dxa"/>
            <w:vAlign w:val="bottom"/>
            <w:gridSpan w:val="2"/>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55,857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55,911</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33,897</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available-for-sale securities (2)</w:t>
            </w: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260,886</w:t>
            </w: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260,998</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1,997,559</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1,997,669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80" w:right="260" w:hanging="320"/>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$76,475 of corporate investments and $184,523 of funds held for clients.</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Cash and cash equivalents and funds held for clients’ cash and cash equivalents include demand deposit accounts, money market funds, commercial paper and short-term U.S. treasury securities as of June 30, 2019 and December 31, 2019.</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Classification of investments on the unaudited consolidated balance sheets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Corporate investments</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69,849</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Funds held for clients</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1,394,469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1,845,294</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prepaid expenses and other</w:t>
            </w:r>
          </w:p>
        </w:tc>
        <w:tc>
          <w:tcPr>
            <w:tcW w:w="3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6,626</w:t>
            </w:r>
          </w:p>
        </w:tc>
        <w:tc>
          <w:tcPr>
            <w:tcW w:w="0" w:type="dxa"/>
            <w:vAlign w:val="bottom"/>
          </w:tcPr>
          <w:p>
            <w:pPr>
              <w:spacing w:after="0"/>
              <w:rPr>
                <w:sz w:val="1"/>
                <w:szCs w:val="1"/>
                <w:color w:val="auto"/>
              </w:rPr>
            </w:pPr>
          </w:p>
        </w:tc>
      </w:tr>
      <w:tr>
        <w:trPr>
          <w:trHeight w:val="210"/>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1,556,967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1,997,669</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320" w:type="dxa"/>
            <w:vAlign w:val="bottom"/>
            <w:vMerge w:val="restart"/>
          </w:tcPr>
          <w:p>
            <w:pPr>
              <w:jc w:val="right"/>
              <w:ind w:right="223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6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Available-for-sale securities that have been in an unrealized loss position for a period of less and greater than 12 months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2"/>
              </w:rPr>
              <w:t>June 30, 2019</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4"/>
          </w:tcPr>
          <w:p>
            <w:pPr>
              <w:ind w:left="200"/>
              <w:spacing w:after="0" w:line="119" w:lineRule="exact"/>
              <w:rPr>
                <w:sz w:val="20"/>
                <w:szCs w:val="20"/>
                <w:color w:val="auto"/>
              </w:rPr>
            </w:pPr>
            <w:r>
              <w:rPr>
                <w:rFonts w:ascii="Arial" w:cs="Arial" w:eastAsia="Arial" w:hAnsi="Arial"/>
                <w:sz w:val="13"/>
                <w:szCs w:val="13"/>
                <w:b w:val="1"/>
                <w:bCs w:val="1"/>
                <w:color w:val="auto"/>
              </w:rPr>
              <w:t>Securities in an</w:t>
            </w:r>
          </w:p>
        </w:tc>
        <w:tc>
          <w:tcPr>
            <w:tcW w:w="140" w:type="dxa"/>
            <w:vAlign w:val="bottom"/>
          </w:tcPr>
          <w:p>
            <w:pPr>
              <w:spacing w:after="0"/>
              <w:rPr>
                <w:sz w:val="10"/>
                <w:szCs w:val="10"/>
                <w:color w:val="auto"/>
              </w:rPr>
            </w:pPr>
          </w:p>
        </w:tc>
        <w:tc>
          <w:tcPr>
            <w:tcW w:w="1580" w:type="dxa"/>
            <w:vAlign w:val="bottom"/>
            <w:gridSpan w:val="5"/>
          </w:tcPr>
          <w:p>
            <w:pPr>
              <w:jc w:val="center"/>
              <w:ind w:right="280"/>
              <w:spacing w:after="0" w:line="119" w:lineRule="exact"/>
              <w:rPr>
                <w:sz w:val="20"/>
                <w:szCs w:val="20"/>
                <w:color w:val="auto"/>
              </w:rPr>
            </w:pPr>
            <w:r>
              <w:rPr>
                <w:rFonts w:ascii="Arial" w:cs="Arial" w:eastAsia="Arial" w:hAnsi="Arial"/>
                <w:sz w:val="13"/>
                <w:szCs w:val="13"/>
                <w:b w:val="1"/>
                <w:bCs w:val="1"/>
                <w:color w:val="auto"/>
                <w:w w:val="97"/>
              </w:rPr>
              <w:t>Securities in an</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unrealized loss</w:t>
            </w:r>
          </w:p>
        </w:tc>
        <w:tc>
          <w:tcPr>
            <w:tcW w:w="140" w:type="dxa"/>
            <w:vAlign w:val="bottom"/>
          </w:tcPr>
          <w:p>
            <w:pPr>
              <w:spacing w:after="0"/>
              <w:rPr>
                <w:sz w:val="12"/>
                <w:szCs w:val="12"/>
                <w:color w:val="auto"/>
              </w:rPr>
            </w:pPr>
          </w:p>
        </w:tc>
        <w:tc>
          <w:tcPr>
            <w:tcW w:w="158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unrealized loss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position for less</w:t>
            </w:r>
          </w:p>
        </w:tc>
        <w:tc>
          <w:tcPr>
            <w:tcW w:w="140" w:type="dxa"/>
            <w:vAlign w:val="bottom"/>
          </w:tcPr>
          <w:p>
            <w:pPr>
              <w:spacing w:after="0"/>
              <w:rPr>
                <w:sz w:val="12"/>
                <w:szCs w:val="12"/>
                <w:color w:val="auto"/>
              </w:rPr>
            </w:pPr>
          </w:p>
        </w:tc>
        <w:tc>
          <w:tcPr>
            <w:tcW w:w="158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position for greater</w:t>
            </w:r>
          </w:p>
        </w:tc>
        <w:tc>
          <w:tcPr>
            <w:tcW w:w="12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than 12 months</w:t>
            </w:r>
          </w:p>
        </w:tc>
        <w:tc>
          <w:tcPr>
            <w:tcW w:w="140" w:type="dxa"/>
            <w:vAlign w:val="bottom"/>
          </w:tcPr>
          <w:p>
            <w:pPr>
              <w:spacing w:after="0"/>
              <w:rPr>
                <w:sz w:val="14"/>
                <w:szCs w:val="14"/>
                <w:color w:val="auto"/>
              </w:rPr>
            </w:pPr>
          </w:p>
        </w:tc>
        <w:tc>
          <w:tcPr>
            <w:tcW w:w="15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than 12 months</w:t>
            </w:r>
          </w:p>
        </w:tc>
        <w:tc>
          <w:tcPr>
            <w:tcW w:w="1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0"/>
              </w:rPr>
              <w:t>Gross</w:t>
            </w: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Gross</w:t>
            </w: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losses</w:t>
            </w: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$ 19,055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19,055</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$ 20,941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6,659</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27,600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5"/>
          </w:tcPr>
          <w:p>
            <w:pPr>
              <w:ind w:left="240"/>
              <w:spacing w:after="0" w:line="119" w:lineRule="exact"/>
              <w:rPr>
                <w:sz w:val="20"/>
                <w:szCs w:val="20"/>
                <w:color w:val="auto"/>
              </w:rPr>
            </w:pPr>
            <w:r>
              <w:rPr>
                <w:rFonts w:ascii="Arial" w:cs="Arial" w:eastAsia="Arial" w:hAnsi="Arial"/>
                <w:sz w:val="13"/>
                <w:szCs w:val="13"/>
                <w:b w:val="1"/>
                <w:bCs w:val="1"/>
                <w:color w:val="auto"/>
              </w:rPr>
              <w:t>Securities in an</w:t>
            </w:r>
          </w:p>
        </w:tc>
        <w:tc>
          <w:tcPr>
            <w:tcW w:w="140" w:type="dxa"/>
            <w:vAlign w:val="bottom"/>
          </w:tcPr>
          <w:p>
            <w:pPr>
              <w:spacing w:after="0"/>
              <w:rPr>
                <w:sz w:val="10"/>
                <w:szCs w:val="10"/>
                <w:color w:val="auto"/>
              </w:rPr>
            </w:pPr>
          </w:p>
        </w:tc>
        <w:tc>
          <w:tcPr>
            <w:tcW w:w="1560" w:type="dxa"/>
            <w:vAlign w:val="bottom"/>
            <w:gridSpan w:val="5"/>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Securities in an</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5"/>
          </w:tcPr>
          <w:p>
            <w:pPr>
              <w:ind w:left="260"/>
              <w:spacing w:after="0" w:line="149" w:lineRule="exact"/>
              <w:rPr>
                <w:sz w:val="20"/>
                <w:szCs w:val="20"/>
                <w:color w:val="auto"/>
              </w:rPr>
            </w:pPr>
            <w:r>
              <w:rPr>
                <w:rFonts w:ascii="Arial" w:cs="Arial" w:eastAsia="Arial" w:hAnsi="Arial"/>
                <w:sz w:val="14"/>
                <w:szCs w:val="14"/>
                <w:b w:val="1"/>
                <w:bCs w:val="1"/>
                <w:color w:val="auto"/>
              </w:rPr>
              <w:t>unrealized loss</w:t>
            </w:r>
          </w:p>
        </w:tc>
        <w:tc>
          <w:tcPr>
            <w:tcW w:w="140" w:type="dxa"/>
            <w:vAlign w:val="bottom"/>
          </w:tcPr>
          <w:p>
            <w:pPr>
              <w:spacing w:after="0"/>
              <w:rPr>
                <w:sz w:val="12"/>
                <w:szCs w:val="12"/>
                <w:color w:val="auto"/>
              </w:rPr>
            </w:pPr>
          </w:p>
        </w:tc>
        <w:tc>
          <w:tcPr>
            <w:tcW w:w="156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unrealized loss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5"/>
          </w:tcPr>
          <w:p>
            <w:pPr>
              <w:ind w:left="220"/>
              <w:spacing w:after="0" w:line="149" w:lineRule="exact"/>
              <w:rPr>
                <w:sz w:val="20"/>
                <w:szCs w:val="20"/>
                <w:color w:val="auto"/>
              </w:rPr>
            </w:pPr>
            <w:r>
              <w:rPr>
                <w:rFonts w:ascii="Arial" w:cs="Arial" w:eastAsia="Arial" w:hAnsi="Arial"/>
                <w:sz w:val="14"/>
                <w:szCs w:val="14"/>
                <w:b w:val="1"/>
                <w:bCs w:val="1"/>
                <w:color w:val="auto"/>
              </w:rPr>
              <w:t>position for less</w:t>
            </w:r>
          </w:p>
        </w:tc>
        <w:tc>
          <w:tcPr>
            <w:tcW w:w="140" w:type="dxa"/>
            <w:vAlign w:val="bottom"/>
          </w:tcPr>
          <w:p>
            <w:pPr>
              <w:spacing w:after="0"/>
              <w:rPr>
                <w:sz w:val="12"/>
                <w:szCs w:val="12"/>
                <w:color w:val="auto"/>
              </w:rPr>
            </w:pPr>
          </w:p>
        </w:tc>
        <w:tc>
          <w:tcPr>
            <w:tcW w:w="15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position for greater</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3"/>
            <w:vMerge w:val="restart"/>
          </w:tcPr>
          <w:p>
            <w:pPr>
              <w:jc w:val="right"/>
              <w:ind w:right="61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than 12 months</w:t>
            </w:r>
          </w:p>
        </w:tc>
        <w:tc>
          <w:tcPr>
            <w:tcW w:w="140" w:type="dxa"/>
            <w:vAlign w:val="bottom"/>
          </w:tcPr>
          <w:p>
            <w:pPr>
              <w:spacing w:after="0"/>
              <w:rPr>
                <w:sz w:val="14"/>
                <w:szCs w:val="14"/>
                <w:color w:val="auto"/>
              </w:rPr>
            </w:pPr>
          </w:p>
        </w:tc>
        <w:tc>
          <w:tcPr>
            <w:tcW w:w="1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than 12 months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76"/>
              <w:spacing w:after="0" w:line="119" w:lineRule="exact"/>
              <w:rPr>
                <w:sz w:val="20"/>
                <w:szCs w:val="20"/>
                <w:color w:val="auto"/>
              </w:rPr>
            </w:pPr>
            <w:r>
              <w:rPr>
                <w:rFonts w:ascii="Arial" w:cs="Arial" w:eastAsia="Arial" w:hAnsi="Arial"/>
                <w:sz w:val="13"/>
                <w:szCs w:val="13"/>
                <w:b w:val="1"/>
                <w:bCs w:val="1"/>
                <w:color w:val="auto"/>
              </w:rPr>
              <w:t>Gross</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76"/>
              <w:spacing w:after="0"/>
              <w:rPr>
                <w:sz w:val="20"/>
                <w:szCs w:val="20"/>
                <w:color w:val="auto"/>
              </w:rPr>
            </w:pPr>
            <w:r>
              <w:rPr>
                <w:rFonts w:ascii="Arial" w:cs="Arial" w:eastAsia="Arial" w:hAnsi="Arial"/>
                <w:sz w:val="14"/>
                <w:szCs w:val="14"/>
                <w:b w:val="1"/>
                <w:bCs w:val="1"/>
                <w:color w:val="auto"/>
                <w:w w:val="87"/>
              </w:rPr>
              <w:t>losses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79,890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79,890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29,273</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19,200</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131,005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131,271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regularly reviews the composition of its portfolio to determine the existence of other-than-temporary-impairment (“OTTI”). The Company did not recognize any OTTI charges in accumulated other comprehensive income during the three or six months ended December 31, 2018 or 2019, nor does it believe that OTTI exists in its portfolio as of December 31, 2019. The Company plans to retain the securities in an unrealized loss position for a period of time sufficient enough to recover their amortized cost basis or until their maturity date. The Company believes that the unrealized losses on these securities were not due to deterioration in credit risk. The securities in an unrealized loss position held an A-1 rating or better as of December 31, 2019.</w:t>
      </w:r>
    </w:p>
    <w:p>
      <w:pPr>
        <w:spacing w:after="0" w:line="18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did not make any material reclassification adjustments out of accumulated other comprehensive income for realized gains and losses on the sale of available-for-sale securities during the three or six months ended December 31, 2018 or 2019. Gross realized gains and losses on the sale of available-for-sale securities were immaterial for both the three and six months ended December 31, 2018 and 2019.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Expected maturities of available-for-sale securities at December 31, 2019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7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7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232,303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232,346</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One year to two years</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28,652</w:t>
            </w:r>
          </w:p>
        </w:tc>
        <w:tc>
          <w:tcPr>
            <w:tcW w:w="0" w:type="dxa"/>
            <w:vAlign w:val="bottom"/>
          </w:tcPr>
          <w:p>
            <w:pPr>
              <w:spacing w:after="0"/>
              <w:rPr>
                <w:sz w:val="1"/>
                <w:szCs w:val="1"/>
                <w:color w:val="auto"/>
              </w:rPr>
            </w:pPr>
          </w:p>
        </w:tc>
      </w:tr>
      <w:tr>
        <w:trPr>
          <w:trHeight w:val="210"/>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260,886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260,998</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w:t>
      </w:r>
    </w:p>
    <w:p>
      <w:pPr>
        <w:spacing w:after="0" w:line="229"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The Company applies the fair value measurement and disclosure provisions of ASC 820, Fair Value Measurements and Disclosures, and ASU 2011-04, Fair Value Measurement (Topic 820): Amendments to Achieve Common Fair Value Measurement and Disclosure Requirements in U.S. GAAP and IFRS. Fair value is defined as the price that would be received to sell an asset or paid to transfer a liability in an orderly transaction between market participants at the measurement date. A three-level fair value hierarchy prioritizes the inputs used to measure fair value.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hierarchy requires entities to maximize the use of observable inputs and minimize the use of unobservable inputs. The three levels of inputs used to measure fair value are as follows:</w:t>
      </w:r>
    </w:p>
    <w:p>
      <w:pPr>
        <w:spacing w:after="0" w:line="170" w:lineRule="exact"/>
        <w:rPr>
          <w:sz w:val="20"/>
          <w:szCs w:val="20"/>
          <w:color w:val="auto"/>
        </w:rPr>
      </w:pPr>
    </w:p>
    <w:p>
      <w:pPr>
        <w:ind w:left="1000" w:hanging="316"/>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25" w:lineRule="exact"/>
        <w:rPr>
          <w:rFonts w:ascii="Arial" w:cs="Arial" w:eastAsia="Arial" w:hAnsi="Arial"/>
          <w:sz w:val="18"/>
          <w:szCs w:val="18"/>
          <w:color w:val="auto"/>
        </w:rPr>
      </w:pPr>
    </w:p>
    <w:p>
      <w:pPr>
        <w:jc w:val="both"/>
        <w:ind w:left="1000" w:right="200" w:hanging="316"/>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3" w:lineRule="exact"/>
        <w:rPr>
          <w:rFonts w:ascii="Arial" w:cs="Arial" w:eastAsia="Arial" w:hAnsi="Arial"/>
          <w:sz w:val="16"/>
          <w:szCs w:val="16"/>
          <w:color w:val="auto"/>
        </w:rPr>
      </w:pPr>
    </w:p>
    <w:p>
      <w:pPr>
        <w:ind w:left="1000" w:right="220" w:hanging="316"/>
        <w:spacing w:after="0" w:line="286"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66"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Company measures certain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2019 and December 31, 2019 based upon the short-term nature of these assets and liabilities.</w:t>
      </w:r>
    </w:p>
    <w:p>
      <w:pPr>
        <w:spacing w:after="0" w:line="17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and U.S. treasury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2019 or December 31, 2019, and the Company did not transfer assets between Levels during the six months ended December 31, 2018 or 2019.</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level for the Company’s cash and cash equivalents and available-for-sale securities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2"/>
              </w:rPr>
              <w:t>June 30, 2019</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132,476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116,387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Funds held for clients' cash and cash equivalents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1,293,667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1,244,856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63,428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63,428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w:t>
            </w:r>
          </w:p>
        </w:tc>
        <w:tc>
          <w:tcPr>
            <w:tcW w:w="7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130,824</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130,824</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1,556,967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1,361,243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195,724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50,758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Funds held for clients' cash and cash equivalents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1,660,771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1,620,350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40,421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148,626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148,626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55,911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55,911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w:t>
            </w:r>
          </w:p>
        </w:tc>
        <w:tc>
          <w:tcPr>
            <w:tcW w:w="7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260,998</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260,998</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1,997,669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1,671,108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326,561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39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July 2019, the Company entered into a five-year revolving credit agreement with PNC Bank, National Association, and other lenders, which is secured by substantially all of the Company’s assets, subject to certain restrictions. The revolving credit agreement provides for a senior secured revolving credit facility (the “credit facility”) under which the Company may borrow up to $250,000, which may be increased to up to $375,000, subject to obtaining additional lender commitments and certain approvals and satisfying other requirements. The credit facility is scheduled to mature in July 2024. As of December 31, 2019, no amounts have been drawn on the credit facility.</w:t>
      </w:r>
    </w:p>
    <w:p>
      <w:pPr>
        <w:spacing w:after="0" w:line="178"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 commitments at any time prior to revolving credit facility expiration without a premium or a penalty, other than customary “breakage” costs with respect to London Interbank Offered Rate (“LIBOR”) revolving loans.</w:t>
      </w:r>
    </w:p>
    <w:p>
      <w:pPr>
        <w:spacing w:after="0" w:line="173"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Any borrowings under the credit facility will generally bear interest, at the Company’s option, at a rate per annum determined by reference to either the LIBOR (or a replacement index for the LIBOR rate) or an adjusted base rate, in each case plus an applicable margin ranging from 0.875% to 1.375% and 0.0% to 0.375%, respectively, based on the then-applicable net senior secured leverage ratio. Additionally, the Company is required to pay certain commitment, letter of credit fronting and letter of credit participation fees on available and/or undrawn portions of the credit facility.</w:t>
      </w:r>
    </w:p>
    <w:p>
      <w:pPr>
        <w:spacing w:after="0" w:line="9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Under the credit facility, the Company is required to comply with certain customary affirmative and negative covenants, including a requirement to maintain a maximum net total leverage ratio of not greater than 4.00 to 1.00, a maximum net senior secured leverage ratio of not greater than 3.50 to 1.00 and a minimum interest coverage ratio of not less than 3.00 to 1.00. As of December 31, 2019, the Company was in compliance with all of the aforementioned covenants.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Company determines if an arrangement is a lease at inception. Operating leases are included in Operating lease right-of-use assets, Accrued expenses, and Long-term operating lease liabilities in the Unaudited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based on the information available at the lease commencement date. The operating lease right-of-use assets also include any lease payments made at or before the commencement date and are reduced by any lease incentives received. The Company’s lease terms may include options to extend or not terminate the lease when it is reasonably certain that it will exercise any such options. For the majority of its leases, the Company concluded that it is not reasonably certain that any renewal options would be exercised, and, therefore, the amounts are not recognized as part of Operating lease right-of-use assets nor Operating lease liabilities. Leases with an initial term of 12 months or less are not recorded on the balance sheet. Lease expense is recognized on a straight-line basis over the expected lease term.</w:t>
      </w:r>
    </w:p>
    <w:p>
      <w:pPr>
        <w:spacing w:after="0" w:line="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most significant leases are real estate leases of office space. The remaining operating leases are primarily comprised of leases of printers and other equipment. For all leases, the Company has elected the practical expedient permitted under Topic 842 to combine lease and non-lease components. As a result, non-lease components, such as common area or equipment maintenance charges, are accounted for as a single lease element. The Company does not have any finance leases.</w:t>
      </w:r>
    </w:p>
    <w:p>
      <w:pPr>
        <w:spacing w:after="0" w:line="8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Fixed lease expense payments are recognized on a straight-line basis over the lease term. Variable lease payments vary because of changes in facts or circumstances occurring after the commencement date, other than the passage of time, and are often due to changes in an external market rate or the value of an index (e.g. Consumer Price Index). Certain of the Company’s operating lease agreements include variable payments that are passed through by the landlord, such as insurance, taxes, and common area maintenance, payments based on the usage of the asset, and rental payments adjusted periodically for inflation. Variable payments are expensed as incurred and included within variable rent expense.</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lease agreements do not contain material residual value guarantees, restrictions, or covenants.</w:t>
      </w: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operating lease expense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Short-term lease cost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60" w:type="dxa"/>
            <w:vAlign w:val="bottom"/>
            <w:shd w:val="clear" w:color="auto" w:fill="CCEEFF"/>
          </w:tcPr>
          <w:p>
            <w:pPr>
              <w:spacing w:after="0"/>
              <w:rPr>
                <w:sz w:val="18"/>
                <w:szCs w:val="18"/>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 lease costs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6,111</w:t>
            </w:r>
          </w:p>
        </w:tc>
        <w:tc>
          <w:tcPr>
            <w:tcW w:w="6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classification of the Company’s operating lease right-of-use assets and operating lease liabilities and other supplemental information related to the Company’s operating leases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December 31, 2019</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51,659</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7,694</w:t>
            </w:r>
          </w:p>
        </w:tc>
        <w:tc>
          <w:tcPr>
            <w:tcW w:w="24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76,929</w:t>
            </w:r>
          </w:p>
        </w:tc>
        <w:tc>
          <w:tcPr>
            <w:tcW w:w="24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Weighted-average remaining lease term (years)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10.56</w:t>
            </w:r>
          </w:p>
        </w:tc>
        <w:tc>
          <w:tcPr>
            <w:tcW w:w="24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3.84 %</w:t>
            </w: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summarizes supplemental cash flow information related to the Company’s operating leases as of December 31,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7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Operating lease assets obtained in exchange for new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2,627</w:t>
            </w:r>
          </w:p>
        </w:tc>
        <w:tc>
          <w:tcPr>
            <w:tcW w:w="80" w:type="dxa"/>
            <w:vAlign w:val="bottom"/>
          </w:tcPr>
          <w:p>
            <w:pPr>
              <w:spacing w:after="0"/>
              <w:rPr>
                <w:sz w:val="20"/>
                <w:szCs w:val="20"/>
                <w:color w:val="auto"/>
              </w:rPr>
            </w:pPr>
          </w:p>
        </w:tc>
      </w:tr>
    </w:tbl>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undiscounted cash flows for future maturities of the Company’s operating lease liabilities and the reconciliation to the balance of operating lease liabilities reflected on the Company’s balance sheet are as follows as of December 31,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2020</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8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Fiscal 2021</w:t>
            </w: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10,839</w:t>
            </w:r>
          </w:p>
        </w:tc>
        <w:tc>
          <w:tcPr>
            <w:tcW w:w="8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Fiscal 2022</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8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Fiscal 2023</w:t>
            </w: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9,227</w:t>
            </w:r>
          </w:p>
        </w:tc>
        <w:tc>
          <w:tcPr>
            <w:tcW w:w="8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Fiscal 2024</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80" w:type="dxa"/>
            <w:vAlign w:val="bottom"/>
            <w:shd w:val="clear" w:color="auto" w:fill="CCEEFF"/>
          </w:tcPr>
          <w:p>
            <w:pPr>
              <w:spacing w:after="0"/>
              <w:rPr>
                <w:sz w:val="18"/>
                <w:szCs w:val="18"/>
                <w:color w:val="auto"/>
              </w:rPr>
            </w:pPr>
          </w:p>
        </w:tc>
      </w:tr>
      <w:tr>
        <w:trPr>
          <w:trHeight w:val="216"/>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60,026</w:t>
            </w:r>
          </w:p>
        </w:tc>
        <w:tc>
          <w:tcPr>
            <w:tcW w:w="80" w:type="dxa"/>
            <w:vAlign w:val="bottom"/>
            <w:tcBorders>
              <w:bottom w:val="single" w:sz="8" w:color="CCEEFF"/>
            </w:tcBorders>
          </w:tcPr>
          <w:p>
            <w:pPr>
              <w:spacing w:after="0"/>
              <w:rPr>
                <w:sz w:val="18"/>
                <w:szCs w:val="18"/>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undiscounted cash flows</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104,253</w:t>
            </w:r>
          </w:p>
        </w:tc>
        <w:tc>
          <w:tcPr>
            <w:tcW w:w="8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Less: Present value discount</w:t>
            </w:r>
          </w:p>
        </w:tc>
        <w:tc>
          <w:tcPr>
            <w:tcW w:w="6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(19,630)</w:t>
            </w:r>
          </w:p>
        </w:tc>
      </w:tr>
      <w:tr>
        <w:trPr>
          <w:trHeight w:val="210"/>
        </w:trPr>
        <w:tc>
          <w:tcPr>
            <w:tcW w:w="7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table above excludes $546 in the undiscounted future minimum lease payments for operating lease liabilities that had not yet commenced for terms up to 5.67 years.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Rent expense was $2,330 and $4,463 for the three and six months ended December 31, 2018, respectively.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Future minimum lease payments under non-cancellable operating leases (with initial or remaining terms in excess of one year) as of June 30, 2019 under ASC 840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2020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10,449</w:t>
            </w:r>
          </w:p>
        </w:tc>
        <w:tc>
          <w:tcPr>
            <w:tcW w:w="160" w:type="dxa"/>
            <w:vAlign w:val="bottom"/>
            <w:shd w:val="clear" w:color="auto" w:fill="CCEEFF"/>
          </w:tcPr>
          <w:p>
            <w:pPr>
              <w:spacing w:after="0"/>
              <w:rPr>
                <w:sz w:val="18"/>
                <w:szCs w:val="18"/>
                <w:color w:val="auto"/>
              </w:rPr>
            </w:pPr>
          </w:p>
        </w:tc>
      </w:tr>
      <w:tr>
        <w:trPr>
          <w:trHeight w:val="216"/>
        </w:trPr>
        <w:tc>
          <w:tcPr>
            <w:tcW w:w="8020" w:type="dxa"/>
            <w:vAlign w:val="bottom"/>
          </w:tcPr>
          <w:p>
            <w:pPr>
              <w:ind w:left="220"/>
              <w:spacing w:after="0"/>
              <w:rPr>
                <w:sz w:val="20"/>
                <w:szCs w:val="20"/>
                <w:color w:val="auto"/>
              </w:rPr>
            </w:pPr>
            <w:r>
              <w:rPr>
                <w:rFonts w:ascii="Arial" w:cs="Arial" w:eastAsia="Arial" w:hAnsi="Arial"/>
                <w:sz w:val="18"/>
                <w:szCs w:val="18"/>
                <w:color w:val="auto"/>
              </w:rPr>
              <w:t>Fiscal 2021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11,150</w:t>
            </w:r>
          </w:p>
        </w:tc>
        <w:tc>
          <w:tcPr>
            <w:tcW w:w="16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2022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60" w:type="dxa"/>
            <w:vAlign w:val="bottom"/>
            <w:shd w:val="clear" w:color="auto" w:fill="CCEEFF"/>
          </w:tcPr>
          <w:p>
            <w:pPr>
              <w:spacing w:after="0"/>
              <w:rPr>
                <w:sz w:val="18"/>
                <w:szCs w:val="18"/>
                <w:color w:val="auto"/>
              </w:rPr>
            </w:pPr>
          </w:p>
        </w:tc>
      </w:tr>
      <w:tr>
        <w:trPr>
          <w:trHeight w:val="216"/>
        </w:trPr>
        <w:tc>
          <w:tcPr>
            <w:tcW w:w="8020" w:type="dxa"/>
            <w:vAlign w:val="bottom"/>
          </w:tcPr>
          <w:p>
            <w:pPr>
              <w:ind w:left="220"/>
              <w:spacing w:after="0"/>
              <w:rPr>
                <w:sz w:val="20"/>
                <w:szCs w:val="20"/>
                <w:color w:val="auto"/>
              </w:rPr>
            </w:pPr>
            <w:r>
              <w:rPr>
                <w:rFonts w:ascii="Arial" w:cs="Arial" w:eastAsia="Arial" w:hAnsi="Arial"/>
                <w:sz w:val="18"/>
                <w:szCs w:val="18"/>
                <w:color w:val="auto"/>
              </w:rPr>
              <w:t>Fiscal 2023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8,840</w:t>
            </w:r>
          </w:p>
        </w:tc>
        <w:tc>
          <w:tcPr>
            <w:tcW w:w="16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2024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160" w:type="dxa"/>
            <w:vAlign w:val="bottom"/>
            <w:shd w:val="clear" w:color="auto" w:fill="CCEEFF"/>
          </w:tcPr>
          <w:p>
            <w:pPr>
              <w:spacing w:after="0"/>
              <w:rPr>
                <w:sz w:val="18"/>
                <w:szCs w:val="18"/>
                <w:color w:val="auto"/>
              </w:rPr>
            </w:pPr>
          </w:p>
        </w:tc>
      </w:tr>
      <w:tr>
        <w:trPr>
          <w:trHeight w:val="216"/>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59,401</w:t>
            </w:r>
          </w:p>
        </w:tc>
        <w:tc>
          <w:tcPr>
            <w:tcW w:w="160" w:type="dxa"/>
            <w:vAlign w:val="bottom"/>
            <w:tcBorders>
              <w:bottom w:val="single" w:sz="8" w:color="CCEEFF"/>
            </w:tcBorders>
          </w:tcPr>
          <w:p>
            <w:pPr>
              <w:spacing w:after="0"/>
              <w:rPr>
                <w:sz w:val="18"/>
                <w:szCs w:val="18"/>
                <w:color w:val="auto"/>
              </w:rPr>
            </w:pPr>
          </w:p>
        </w:tc>
      </w:tr>
      <w:tr>
        <w:trPr>
          <w:trHeight w:val="210"/>
        </w:trPr>
        <w:tc>
          <w:tcPr>
            <w:tcW w:w="8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108,178</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Benefit Plans</w:t>
      </w:r>
    </w:p>
    <w:p>
      <w:pPr>
        <w:spacing w:after="0" w:line="229" w:lineRule="exact"/>
        <w:rPr>
          <w:sz w:val="20"/>
          <w:szCs w:val="20"/>
          <w:color w:val="auto"/>
        </w:rPr>
      </w:pPr>
    </w:p>
    <w:p>
      <w:pPr>
        <w:ind w:left="300" w:hanging="291"/>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options to purchase common stock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may increase each calendar year, continuing through and including January 1, 2024. The number of shares added each year may be equal to the lesser of (a) four and five tenths percent (4.5%) of the number of shares of common stock of the Company issued and outstanding on the immediately preceding December 31, or (b) an amount determined by the Company’s board of directors.</w:t>
      </w:r>
    </w:p>
    <w:p>
      <w:pPr>
        <w:spacing w:after="0" w:line="16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As of December 31, 2019, the Company had 12,643 shares allocated to the plans, of which 3,185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7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summarizes changes in the number of shares available for grant under the Company’s equity incentive plans during the six months ended December 31,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July 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RSUs 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in settlement of taxes and/or exercise price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Forfeitures</w:t>
            </w: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Shares removed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0"/>
        </w:trPr>
        <w:tc>
          <w:tcPr>
            <w:tcW w:w="8080" w:type="dxa"/>
            <w:vAlign w:val="bottom"/>
            <w:gridSpan w:val="2"/>
          </w:tcPr>
          <w:p>
            <w:pPr>
              <w:spacing w:after="0"/>
              <w:rPr>
                <w:sz w:val="20"/>
                <w:szCs w:val="20"/>
                <w:color w:val="auto"/>
              </w:rPr>
            </w:pPr>
            <w:r>
              <w:rPr>
                <w:rFonts w:ascii="Arial" w:cs="Arial" w:eastAsia="Arial" w:hAnsi="Arial"/>
                <w:sz w:val="18"/>
                <w:szCs w:val="18"/>
                <w:color w:val="auto"/>
              </w:rPr>
              <w:t>Available for grant at December 31, 2019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Stock-based compensation expense related to stock options, restricted stock units (“RSUs”), and the Employee Stock Purchase Plan (as described below) is included in the following line items in the accompanying unaudited consolidated statements of operations and comprehensive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7,347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10,547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11,744</w:t>
            </w: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10,099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12,770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19,524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24,832</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the Company capitalized $696 and $652 of stock-based compensation expense in its capitalized internal-use software costs in the three months ended December 31, 2018 or 2019, respectively, and $1,321 and $1,308 in the six months ended December 31, 2018 and 2019, respectively.</w:t>
      </w:r>
    </w:p>
    <w:p>
      <w:pPr>
        <w:spacing w:after="0" w:line="18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Under the 2008 and 2014 Plans, the exercise price of each option cannot be less than the fair value of a share of common stock on the grant date. The options vested ratably over a three or four year period and expire 10 years from the grant date. Stock-based compensation expense for the fair value of the options at their grant date is recognized ratably over the vesting schedule for each separately vesting portion of the award.</w:t>
      </w:r>
    </w:p>
    <w:p>
      <w:pPr>
        <w:spacing w:after="0" w:line="17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There were no stock options granted during the six months ended December 31, 2018 or 2019. The table below presents stock option activity during the six months ended December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Outstanding Options</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exercise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700" w:type="dxa"/>
            <w:vAlign w:val="bottom"/>
          </w:tcPr>
          <w:p>
            <w:pPr>
              <w:jc w:val="right"/>
              <w:ind w:right="76"/>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price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term (years)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w w:val="86"/>
              </w:rPr>
              <w:t>$ 12.24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3.95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8"/>
              </w:rPr>
              <w:t>124,373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Options exercised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760" w:type="dxa"/>
            <w:vAlign w:val="bottom"/>
            <w:tcBorders>
              <w:bottom w:val="single" w:sz="8" w:color="CCEEFF"/>
            </w:tcBorders>
            <w:gridSpan w:val="2"/>
          </w:tcPr>
          <w:p>
            <w:pPr>
              <w:jc w:val="right"/>
              <w:ind w:right="5"/>
              <w:spacing w:after="0"/>
              <w:rPr>
                <w:sz w:val="20"/>
                <w:szCs w:val="20"/>
                <w:color w:val="auto"/>
              </w:rPr>
            </w:pPr>
            <w:r>
              <w:rPr>
                <w:rFonts w:ascii="Arial" w:cs="Arial" w:eastAsia="Arial" w:hAnsi="Arial"/>
                <w:sz w:val="18"/>
                <w:szCs w:val="18"/>
                <w:color w:val="auto"/>
              </w:rPr>
              <w:t>$ 17.35</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76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$ 12.17</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3.43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8"/>
              </w:rPr>
              <w:t>163,219</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exercisable at December 31, 2019</w:t>
            </w:r>
          </w:p>
        </w:tc>
        <w:tc>
          <w:tcPr>
            <w:tcW w:w="700" w:type="dxa"/>
            <w:vAlign w:val="bottom"/>
            <w:tcBorders>
              <w:bottom w:val="single" w:sz="8" w:color="auto"/>
            </w:tcBorders>
          </w:tcPr>
          <w:p>
            <w:pPr>
              <w:spacing w:after="0" w:line="20" w:lineRule="exact"/>
              <w:rPr>
                <w:sz w:val="1"/>
                <w:szCs w:val="1"/>
                <w:color w:val="auto"/>
              </w:rPr>
            </w:pPr>
          </w:p>
        </w:tc>
        <w:tc>
          <w:tcPr>
            <w:tcW w:w="76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$ 12.17</w:t>
            </w:r>
          </w:p>
        </w:tc>
        <w:tc>
          <w:tcPr>
            <w:tcW w:w="140" w:type="dxa"/>
            <w:vAlign w:val="bottom"/>
          </w:tcPr>
          <w:p>
            <w:pPr>
              <w:spacing w:after="0" w:line="20" w:lineRule="exact"/>
              <w:rPr>
                <w:sz w:val="1"/>
                <w:szCs w:val="1"/>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8"/>
                <w:szCs w:val="18"/>
                <w:color w:val="auto"/>
              </w:rPr>
              <w:t>3.43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w w:val="98"/>
              </w:rPr>
              <w:t>163,219</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gridSpan w:val="2"/>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1,502</w:t>
            </w: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intrinsic value of options exercised was $1,501 and $1,409 during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and 2019, respectively, and $13,704 and $2,080 during the six months ended December 31, 2018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2019, respectively. As of December 31, 2019, the Company had recognized all stock-based compensation cost related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stock options and all outstanding options had vested.</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may also grant RSUs under the 2014 Plan with terms determined at the discretion of the compensation committee of the Company’s board of directors. RSUs generally vest over four years following the grant date. Certain RSU awards have time-based vesting conditions while other RSUs vest based on the achievement of certain revenue growth and Adjusted EBITDA margin targets in future fiscal years.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represents restricted stock unit activity during the six months ended December 31,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7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July 1, 2019</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RSUs 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638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forfeited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57.65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December 31, 2019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RSUs expected to vest at December 31, 2019</w:t>
            </w:r>
          </w:p>
        </w:tc>
        <w:tc>
          <w:tcPr>
            <w:tcW w:w="72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72.66</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20" w:type="dxa"/>
            <w:vAlign w:val="bottom"/>
            <w:gridSpan w:val="2"/>
            <w:vMerge w:val="continue"/>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1,553</w:t>
            </w:r>
          </w:p>
        </w:tc>
        <w:tc>
          <w:tcPr>
            <w:tcW w:w="30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At December 31, 2019, there was $67,519 of total unrecognized compensation cost, net of estimated forfeitures, related to unvested restricted stock units granted. That cost is expected to be recognized over a weighted average period of 2.03 years.</w:t>
      </w:r>
    </w:p>
    <w:p>
      <w:pPr>
        <w:spacing w:after="0" w:line="181" w:lineRule="exact"/>
        <w:rPr>
          <w:sz w:val="20"/>
          <w:szCs w:val="20"/>
          <w:color w:val="auto"/>
        </w:rPr>
      </w:pPr>
    </w:p>
    <w:p>
      <w:pPr>
        <w:ind w:left="300" w:hanging="291"/>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w:t>
      </w: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7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As of December 31, 2019, a total of 950 shares of common stock were reserved for future issuances under the ESPP. The number of shares of common stock reserved for issuance under the ESPP may increase each calendar year, continuing through and including January 1, 2024. The number of shares added each year may be equal to the lesser of (a) 400, (b) seventy-five one hundredths percent (0.75%) of the number of shares of common stock of the Company issued and outstanding on the immediately preceding December 31, or (c) an amount determined by the Company’s board of directors.</w:t>
      </w:r>
    </w:p>
    <w:p>
      <w:pPr>
        <w:spacing w:after="0" w:line="15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Company issued 45 shares upon the completion of its six-month offering period ending November 15, 2019. The Company recorded compensation expense attributable to the ESPP of $446 and $715 for the three months ended December 31, 2018 and 2019, respectively, and $885 and $1,377 for the six months ended December 31, 2018 and 2019, respectively, which is included in the summary of stock-based compensation expense above. The grant date fair value of the ESPP offering periods was estimated using the following weighted average assumptions:</w:t>
      </w:r>
    </w:p>
    <w:p>
      <w:pPr>
        <w:spacing w:after="0" w:line="191"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Six Months Ended</w:t>
      </w:r>
    </w:p>
    <w:p>
      <w:pPr>
        <w:ind w:left="73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Valuation assumptions:</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rPr>
              <w:t>33.5 - 38.3 %</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38.6 - 43.3 %</w:t>
            </w: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Expected term (years)</w:t>
            </w: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2.10 - 2.48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1.58 - 2.44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maintains a 401(k) plan with a matching provision that covers all eligible employees. The Company matches 50% of employees’ contributions up to 8% of their gross pay. Contributions were $1,140 and $1,768 for the three months ended December 31, 2018 and 2019, respectively, and $2,534 and $3,771 for the six months ended December 31, 2018 and 2019, respectively.</w:t>
      </w:r>
    </w:p>
    <w:p>
      <w:pPr>
        <w:sectPr>
          <w:pgSz w:w="11900" w:h="16838" w:orient="portrait"/>
          <w:cols w:equalWidth="0" w:num="1">
            <w:col w:w="9060"/>
          </w:cols>
          <w:pgMar w:left="1420" w:top="517" w:right="141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Litigation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July 12, 2019, a former employee filed a class and collective action complaint under federal and state law alleging that certain employees of the Company were misclassified as salaried exempt employees. The complaint seeks unpaid overtime and other damages. The Company has, without admitting any liability or wrongdoing, reached an agreement in principle to settle this matter pending court approval. The settlement of this claim would not have a material impact to the Company’s financial position, results of operations, or liquidity.</w:t>
      </w:r>
    </w:p>
    <w:p>
      <w:pPr>
        <w:spacing w:after="0" w:line="18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Company’s effective tax rate was 22.6% and 14.6% for the three months ended December 31, 2018 and 2019, respectively. The Company’s effective tax rate for the three months ended December 30, 2018 was higher than the federal statutory rate of 21% primarily due to state income taxes and nondeductible expenses, partially offset by federal research and development credits. The Company’s effective tax rate for the three months ended December 30, 2019 was lower than the federal statutory rate of 21% primarily due to excess tax benefits from employee stock-based compensation.</w:t>
      </w:r>
    </w:p>
    <w:p>
      <w:pPr>
        <w:spacing w:after="0" w:line="158" w:lineRule="exact"/>
        <w:rPr>
          <w:sz w:val="20"/>
          <w:szCs w:val="20"/>
          <w:color w:val="auto"/>
        </w:rPr>
      </w:pPr>
    </w:p>
    <w:p>
      <w:pPr>
        <w:ind w:right="300" w:firstLine="648"/>
        <w:spacing w:after="0" w:line="254" w:lineRule="auto"/>
        <w:rPr>
          <w:sz w:val="20"/>
          <w:szCs w:val="20"/>
          <w:color w:val="auto"/>
        </w:rPr>
      </w:pPr>
      <w:r>
        <w:rPr>
          <w:rFonts w:ascii="Arial" w:cs="Arial" w:eastAsia="Arial" w:hAnsi="Arial"/>
          <w:sz w:val="18"/>
          <w:szCs w:val="18"/>
          <w:color w:val="auto"/>
        </w:rPr>
        <w:t>The Company’s effective tax rate was (36.2)% and (50.5)% for the six months ended December 31, 2018 and December 31, 2019, respectively. The Company’s effective tax rates for the six months ended December 31, 2018 and December 31, 2019 were lower than the federal statutory rate of 21% primarily due to excess tax benefits from employee stock-based compensation.</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the shares purchasable via the employee stock purchase plan as of the balance sheet date. The following table presents the calculation of basic and diluted net income per share: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5,704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5,467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15,556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Denominator: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Weighted-average shares used in computing net income per share: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52,842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53,542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52,853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53,415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potentially dilutive shares: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Employee stock options and restricted stock units</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55,081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55,826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55,232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55,692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Basic</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following table summarizes the outstanding restricted stock units and employee stock purchase plan shares as of the balance sheet date that were excluded from the diluted per share calculation for the periods presented because to include them would have been anti-dilutive: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5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4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6060" w:type="dxa"/>
            <w:vAlign w:val="bottom"/>
          </w:tcPr>
          <w:p>
            <w:pPr>
              <w:spacing w:after="0"/>
              <w:rPr>
                <w:sz w:val="14"/>
                <w:szCs w:val="14"/>
                <w:color w:val="auto"/>
              </w:rPr>
            </w:pPr>
          </w:p>
        </w:tc>
        <w:tc>
          <w:tcPr>
            <w:tcW w:w="15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60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18"/>
                <w:szCs w:val="18"/>
                <w:color w:val="auto"/>
              </w:rPr>
            </w:pPr>
          </w:p>
        </w:tc>
      </w:tr>
      <w:tr>
        <w:trPr>
          <w:trHeight w:val="216"/>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Employee stock purchase plan shares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8"/>
                <w:szCs w:val="18"/>
                <w:color w:val="auto"/>
              </w:rPr>
            </w:pPr>
          </w:p>
        </w:tc>
      </w:tr>
      <w:tr>
        <w:trPr>
          <w:trHeight w:val="210"/>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August 2018, the Company announced that its board of directors approved a program to repurchase up to $35,000 of the Company’s common stock, with authorization through August 14, 2019. The Company completed the repurchase program during the first quarter of fiscal 2019 and repurchased 442 shares for $34,991. All shares of common stock repurchased were retired.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II, Item 1A.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are a cloud-based provider of payroll and human capital management (“HCM”) software solutions for medium-sized organizations, which we define as those having between 20 and 1,000 employees. Our comprehensive and easy-to-use solutions enable our clients to manage their workforces more effectively. Our product suite delivers a unified platform for professionals to make strategic decisions in the areas of payroll, core HR, workforce management, talent and benefits, all while promoting a modern workplace and improving employee engagement.</w:t>
      </w:r>
    </w:p>
    <w:p>
      <w:pPr>
        <w:spacing w:after="0" w:line="15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Effective management of human capital is a core function in all organizations and requires a significant commitment of resources. Our solutions were specifically designed to meet the payroll and HCM needs of medium-sized organizations. We designed our cloud-based platform to provide a unified suite of modules using a multi-tenant architecture. Our solutions are highly flexible and configurable and feature a modern, intuitive user experience. Our platform offers automated data integration with over 300 related third-party systems, such as 401(k), benefits and insurance provider systems.</w:t>
      </w:r>
    </w:p>
    <w:p>
      <w:pPr>
        <w:spacing w:after="0" w:line="14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payroll solution was the first of our current offerings introduced into the market. We believe payroll is the most critical system of record for medium-sized organizations and an essential gateway to other HCM functionalities. We have invested in, and we intend to continue to invest in, research and development to expand our product offerings and advance our platform.</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8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mid-market organizations. We expect to continue to invest in and grow our implementation and client service organization as our client base grows.</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2"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As our business has grown, we have become increasingly subject to the risks arising from adverse changes in domestic and global economic conditions. If general economic conditions were to deteriorate, including declines in private sector employment growth and business productivity, increases in the unemployment rate and changes in interest rates, we may experience delays in our sales cycles, increased pressure from prospective clients to offer discounts and increased pressure from existing clients to renew expiring recurring revenue agreements for lower amounts.</w:t>
      </w:r>
    </w:p>
    <w:p>
      <w:pPr>
        <w:sectPr>
          <w:pgSz w:w="11900" w:h="16838" w:orient="portrait"/>
          <w:cols w:equalWidth="0" w:num="1">
            <w:col w:w="9060"/>
          </w:cols>
          <w:pgMar w:left="1420" w:top="517" w:right="141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Paylocity Holding Corporation is a Delaware corporation, which was formed in November 2013. Our business operations, excluding interest earned on certain cash holdings and expenses associated with certain secondary stock offerings, have historically been, and are currently, conducted by its wholly owned subsidiaries, and the financial results presented herein are entirely attributable to the results of its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Growth</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$107.2 million for the three months ended December 31, 2018 to $132.4 million for the three months ended December 31, 2019, representing a 23% year-over-year increase. Total revenues increased from $207.7 million for the six months ended December 31, 2018 to $259.1 million for the six months ended December 31, 2019, representing a 25% year-over-year increase.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EBITDA</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disclose Adjusted Gross Profit and Adjusted EBITDA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used in the financial community, and we present them to enhance investors’ understanding of our operating performance and cash flows.</w:t>
      </w:r>
    </w:p>
    <w:p>
      <w:pPr>
        <w:spacing w:after="0" w:line="188"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or cash provided by operating activities, in each case as determined in accordance with GAAP. In addition, our definition of Adjusted Gross Profit and Adjusted EBITDA may be different than the definition utilized for similarly-titled measures used by other companies.</w:t>
      </w:r>
    </w:p>
    <w:p>
      <w:pPr>
        <w:spacing w:after="0" w:line="15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define Adjusted Gross Profit as gross profit before amortization of capitalized internal-use software costs, stock-based compensation expense and employer payroll taxes related to stock releases and option exercises. We define Adjusted EBITDA as net income before interest expense, income tax expense (benefit), depreciation and amortization expense, stock-based compensation expense and employer payroll taxes related to stock releases and option exercises and other items as defined below. The table below sets forth our Adjusted Gross Profit and Adjusted EBITDA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6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30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6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30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30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5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tcPr>
          <w:p>
            <w:pPr>
              <w:jc w:val="center"/>
              <w:ind w:right="5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3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$ 74,871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$ 93,105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92"/>
              </w:rPr>
              <w:t>145,241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183,384</w:t>
            </w:r>
          </w:p>
        </w:tc>
        <w:tc>
          <w:tcPr>
            <w:tcW w:w="40" w:type="dxa"/>
            <w:vAlign w:val="bottom"/>
            <w:shd w:val="clear" w:color="auto" w:fill="CCEEFF"/>
          </w:tcPr>
          <w:p>
            <w:pPr>
              <w:spacing w:after="0"/>
              <w:rPr>
                <w:sz w:val="18"/>
                <w:szCs w:val="18"/>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Adjusted EBITDA</w:t>
            </w:r>
          </w:p>
        </w:tc>
        <w:tc>
          <w:tcPr>
            <w:tcW w:w="3300" w:type="dxa"/>
            <w:vAlign w:val="bottom"/>
            <w:gridSpan w:val="2"/>
          </w:tcPr>
          <w:p>
            <w:pPr>
              <w:jc w:val="right"/>
              <w:ind w:right="28"/>
              <w:spacing w:after="0"/>
              <w:rPr>
                <w:sz w:val="20"/>
                <w:szCs w:val="20"/>
                <w:color w:val="auto"/>
              </w:rPr>
            </w:pPr>
            <w:r>
              <w:rPr>
                <w:rFonts w:ascii="Arial" w:cs="Arial" w:eastAsia="Arial" w:hAnsi="Arial"/>
                <w:sz w:val="18"/>
                <w:szCs w:val="18"/>
                <w:color w:val="auto"/>
              </w:rPr>
              <w:t>$ 26,100</w:t>
            </w:r>
          </w:p>
        </w:tc>
        <w:tc>
          <w:tcPr>
            <w:tcW w:w="800" w:type="dxa"/>
            <w:vAlign w:val="bottom"/>
          </w:tcPr>
          <w:p>
            <w:pPr>
              <w:jc w:val="right"/>
              <w:spacing w:after="0"/>
              <w:rPr>
                <w:sz w:val="20"/>
                <w:szCs w:val="20"/>
                <w:color w:val="auto"/>
              </w:rPr>
            </w:pPr>
            <w:r>
              <w:rPr>
                <w:rFonts w:ascii="Arial" w:cs="Arial" w:eastAsia="Arial" w:hAnsi="Arial"/>
                <w:sz w:val="18"/>
                <w:szCs w:val="18"/>
                <w:color w:val="auto"/>
              </w:rPr>
              <w:t>$ 30,265</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22"/>
              <w:spacing w:after="0"/>
              <w:rPr>
                <w:sz w:val="20"/>
                <w:szCs w:val="20"/>
                <w:color w:val="auto"/>
              </w:rPr>
            </w:pPr>
            <w:r>
              <w:rPr>
                <w:rFonts w:ascii="Arial" w:cs="Arial" w:eastAsia="Arial" w:hAnsi="Arial"/>
                <w:sz w:val="18"/>
                <w:szCs w:val="18"/>
                <w:color w:val="auto"/>
              </w:rPr>
              <w:t>49,363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60,742</w:t>
            </w:r>
          </w:p>
        </w:tc>
        <w:tc>
          <w:tcPr>
            <w:tcW w:w="40" w:type="dxa"/>
            <w:vAlign w:val="bottom"/>
          </w:tcPr>
          <w:p>
            <w:pPr>
              <w:spacing w:after="0"/>
              <w:rPr>
                <w:sz w:val="20"/>
                <w:szCs w:val="20"/>
                <w:color w:val="auto"/>
              </w:rPr>
            </w:pPr>
          </w:p>
        </w:tc>
      </w:tr>
      <w:tr>
        <w:trPr>
          <w:trHeight w:val="418"/>
        </w:trPr>
        <w:tc>
          <w:tcPr>
            <w:tcW w:w="3020" w:type="dxa"/>
            <w:vAlign w:val="bottom"/>
          </w:tcPr>
          <w:p>
            <w:pPr>
              <w:spacing w:after="0"/>
              <w:rPr>
                <w:sz w:val="24"/>
                <w:szCs w:val="24"/>
                <w:color w:val="auto"/>
              </w:rPr>
            </w:pPr>
          </w:p>
        </w:tc>
        <w:tc>
          <w:tcPr>
            <w:tcW w:w="2540" w:type="dxa"/>
            <w:vAlign w:val="bottom"/>
          </w:tcPr>
          <w:p>
            <w:pPr>
              <w:jc w:val="right"/>
              <w:ind w:right="850"/>
              <w:spacing w:after="0"/>
              <w:rPr>
                <w:sz w:val="20"/>
                <w:szCs w:val="20"/>
                <w:color w:val="auto"/>
              </w:rPr>
            </w:pPr>
            <w:r>
              <w:rPr>
                <w:rFonts w:ascii="Arial" w:cs="Arial" w:eastAsia="Arial" w:hAnsi="Arial"/>
                <w:sz w:val="18"/>
                <w:szCs w:val="18"/>
                <w:color w:val="auto"/>
              </w:rPr>
              <w:t>23</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61"/>
        </w:trPr>
        <w:tc>
          <w:tcPr>
            <w:tcW w:w="30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13"/>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center"/>
              <w:ind w:right="1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4"/>
          </w:tcPr>
          <w:p>
            <w:pPr>
              <w:jc w:val="center"/>
              <w:ind w:right="3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Gross Profit to Adjusted Gross Profit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69,134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86,950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133,696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171,040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400" w:type="dxa"/>
            <w:vAlign w:val="bottom"/>
          </w:tcPr>
          <w:p>
            <w:pPr>
              <w:spacing w:after="0" w:line="201" w:lineRule="exact"/>
              <w:rPr>
                <w:sz w:val="20"/>
                <w:szCs w:val="20"/>
                <w:color w:val="auto"/>
              </w:rPr>
            </w:pPr>
            <w:r>
              <w:rPr>
                <w:rFonts w:ascii="Arial" w:cs="Arial" w:eastAsia="Arial" w:hAnsi="Arial"/>
                <w:sz w:val="18"/>
                <w:szCs w:val="18"/>
                <w:color w:val="auto"/>
                <w:w w:val="91"/>
              </w:rPr>
              <w:t>Stock-based compensation expense and employer payroll taxes related to</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stock releases and option exercises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3,197</w:t>
            </w:r>
          </w:p>
        </w:tc>
        <w:tc>
          <w:tcPr>
            <w:tcW w:w="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Adjusted Gross Profit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74,871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93,105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145,241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183,384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4"/>
          </w:tcPr>
          <w:p>
            <w:pPr>
              <w:jc w:val="center"/>
              <w:ind w:right="13"/>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center"/>
              <w:ind w:right="1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4"/>
          </w:tcPr>
          <w:p>
            <w:pPr>
              <w:jc w:val="center"/>
              <w:ind w:right="3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Net Income to Adjusted EBITDA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15,556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19,373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18,261</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EBITDA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15,942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15,830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28,219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31,322</w:t>
            </w:r>
          </w:p>
        </w:tc>
        <w:tc>
          <w:tcPr>
            <w:tcW w:w="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Stock-based compensation expense and employer payroll taxes related to</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 releases and option exercises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10,158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12,829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26,858</w:t>
            </w:r>
          </w:p>
        </w:tc>
        <w:tc>
          <w:tcPr>
            <w:tcW w:w="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items*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Adjusted EBITDA</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26,100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30,265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60,742</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20" w:hanging="651"/>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nonrecurring costs including the settlement of a certain legal matter and related litigation costs of $1.6 million and $2.0 million for the three and six months ended December 31, 2019, respectively, and lease exit and transaction costs of $0.6 million incurred during the six months ended December 31,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Beginning in fiscal 2020, we simplified the presentation of revenue. Recurring fees and Implementation services and other have been combined into one revenue line: Recurring and other revenue. We changed the presentation of revenue as Implementation services and other has become a smaller component of our overall revenue mix as our HCM suite has become a larger part of the portfolio. Previously reported results for the three and six month periods ending December 31, 2018 have been reclassified to conform to the current presentation.</w:t>
      </w:r>
    </w:p>
    <w:p>
      <w:pPr>
        <w:spacing w:after="0" w:line="17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and implementation fees for professional services provided to implement our payroll and HCM solutions. Implementations of our payroll solutions typically require only three to four weeks at which point the new client’s payroll is first processed using our solution. We implement additional HCM products as requested by clients and leverage the data within our payroll solution to accelerate our implementation processes. Our average client size has continued to be over 100 employees.</w:t>
      </w:r>
    </w:p>
    <w:p>
      <w:pPr>
        <w:spacing w:after="0" w:line="17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derive revenue from a client based on the solutions purchased by the client, the number of client employees as well as the amount, type and timing of services provided with respect to those client employees. As such, the number of client employees on our system is not a good indicator of our financial results in any period. Recurring and other revenue accounted for 96% and 97% of our total revenues during the three months ended December 31, 2018 and 2019, respectively, and 96% of our total revenues during both of the six months ended December 31, 2018 and 2019.</w:t>
      </w:r>
    </w:p>
    <w:p>
      <w:pPr>
        <w:sectPr>
          <w:pgSz w:w="11900" w:h="16838" w:orient="portrait"/>
          <w:cols w:equalWidth="0" w:num="1">
            <w:col w:w="9060"/>
          </w:cols>
          <w:pgMar w:left="1420" w:top="517" w:right="141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While the majority of our agreements with clients are generally cancellable by the client on 60 days’ notice or less, we also have entered into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To correspond with the simplification of the presentation of revenue discussed above, we also simplified the presentation of cost of revenue. As a result, Cost of revenues – recurring revenues and Cost of revenues – implementation services and other have been combined into one line: Cost of revenues. Cost of revenues includes costs to provide our payroll and other HCM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and bank fees associated with client fund transfers. Employee costs for recurring support are generally expensed as incurred whereas such costs for implementation of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8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also capitalize a portion of our internal-use software costs, which are then all amortized as Cost of revenues. We amortized $4.4 million and $4.7 million of capitalized internal-use software costs during the three months ended December 31, 2018 and 2019, respectively, and $8.6 million and $9.1 million of capitalized internal-use software costs during the six months ended December 31, 2018 and 2019,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Sales and marketing expenses consist primarily of employee-related expenses for our direct sales and marketing staff, including wages, commissions, stock-based compensation, bonuses and benefits, marketing expenses and other related costs. We capitalize certain selling and commission costs related to new contracts or purchases of additional services by our existing clients. Commissions are typically paid the following month after the start of service, and bonuses for attainment of certain annual performance criteria are subsequently paid annually in the first fiscal quarter of the following year. We generally recognize these costs over a period of 7 years.</w:t>
      </w:r>
    </w:p>
    <w:p>
      <w:pPr>
        <w:spacing w:after="0" w:line="17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ectPr>
          <w:pgSz w:w="11900" w:h="16838" w:orient="portrait"/>
          <w:cols w:equalWidth="0" w:num="1">
            <w:col w:w="9060"/>
          </w:cols>
          <w:pgMar w:left="1420" w:top="517" w:right="1419" w:bottom="1440" w:gutter="0" w:footer="0" w:header="0"/>
        </w:sectPr>
      </w:pP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363220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six months ended December 31, 2018 and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52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4"/>
          </w:tcPr>
          <w:p>
            <w:pPr>
              <w:jc w:val="center"/>
              <w:ind w:right="7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4"/>
          </w:tcPr>
          <w:p>
            <w:pPr>
              <w:jc w:val="center"/>
              <w:ind w:right="11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Capitalized portion of research and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10,699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13,280</w:t>
            </w:r>
          </w:p>
        </w:tc>
        <w:tc>
          <w:tcPr>
            <w:tcW w:w="40" w:type="dxa"/>
            <w:vAlign w:val="bottom"/>
            <w:shd w:val="clear" w:color="auto" w:fill="CCEEFF"/>
          </w:tcPr>
          <w:p>
            <w:pPr>
              <w:spacing w:after="0"/>
              <w:rPr>
                <w:sz w:val="18"/>
                <w:szCs w:val="18"/>
                <w:color w:val="auto"/>
              </w:rPr>
            </w:pPr>
          </w:p>
        </w:tc>
      </w:tr>
      <w:tr>
        <w:trPr>
          <w:trHeight w:val="216"/>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Expensed portion of research and development</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8"/>
              </w:rPr>
              <w:t>24,198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8"/>
              </w:rPr>
              <w:t>29,804</w:t>
            </w:r>
          </w:p>
        </w:tc>
        <w:tc>
          <w:tcPr>
            <w:tcW w:w="40" w:type="dxa"/>
            <w:vAlign w:val="bottom"/>
            <w:tcBorders>
              <w:bottom w:val="single" w:sz="8" w:color="CCEEFF"/>
            </w:tcBorders>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34,897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43,084</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General and administrative expenses consist primarily of employee-related costs, including wages, stock-based compensation, bonuses and benefits for our administrative, finance, accounting, and human resources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Other income generally consists of interest income related to interest earned on our cash and cash equivalents and corporate investments, net of losses on disposal of property and equipment and interest expense related to our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4"/>
                <w:szCs w:val="14"/>
                <w:color w:val="auto"/>
              </w:rPr>
            </w:pPr>
          </w:p>
        </w:tc>
        <w:tc>
          <w:tcPr>
            <w:tcW w:w="17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5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4"/>
          </w:tcPr>
          <w:p>
            <w:pPr>
              <w:jc w:val="center"/>
              <w:ind w:right="51"/>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4"/>
          </w:tcPr>
          <w:p>
            <w:pPr>
              <w:jc w:val="center"/>
              <w:ind w:right="31"/>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and other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102,739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127,980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199,741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249,853</w:t>
            </w:r>
          </w:p>
        </w:tc>
        <w:tc>
          <w:tcPr>
            <w:tcW w:w="40" w:type="dxa"/>
            <w:vAlign w:val="bottom"/>
            <w:shd w:val="clear" w:color="auto" w:fill="CCEEFF"/>
          </w:tcPr>
          <w:p>
            <w:pPr>
              <w:spacing w:after="0"/>
              <w:rPr>
                <w:sz w:val="18"/>
                <w:szCs w:val="18"/>
                <w:color w:val="auto"/>
              </w:rPr>
            </w:pPr>
          </w:p>
        </w:tc>
      </w:tr>
      <w:tr>
        <w:trPr>
          <w:trHeight w:val="216"/>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9,241</w:t>
            </w:r>
          </w:p>
        </w:tc>
        <w:tc>
          <w:tcPr>
            <w:tcW w:w="40" w:type="dxa"/>
            <w:vAlign w:val="bottom"/>
            <w:tcBorders>
              <w:bottom w:val="single" w:sz="8" w:color="CCEEFF"/>
            </w:tcBorders>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107,204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132,374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207,708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259,094</w:t>
            </w:r>
          </w:p>
        </w:tc>
        <w:tc>
          <w:tcPr>
            <w:tcW w:w="40" w:type="dxa"/>
            <w:vAlign w:val="bottom"/>
            <w:shd w:val="clear" w:color="auto" w:fill="CCEEFF"/>
          </w:tcPr>
          <w:p>
            <w:pPr>
              <w:spacing w:after="0"/>
              <w:rPr>
                <w:sz w:val="18"/>
                <w:szCs w:val="18"/>
                <w:color w:val="auto"/>
              </w:rPr>
            </w:pPr>
          </w:p>
        </w:tc>
      </w:tr>
      <w:tr>
        <w:trPr>
          <w:trHeight w:val="216"/>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74,012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88,054</w:t>
            </w:r>
          </w:p>
        </w:tc>
        <w:tc>
          <w:tcPr>
            <w:tcW w:w="40" w:type="dxa"/>
            <w:vAlign w:val="bottom"/>
            <w:tcBorders>
              <w:bottom w:val="single" w:sz="8" w:color="CCEEFF"/>
            </w:tcBorders>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133,696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171,040</w:t>
            </w:r>
          </w:p>
        </w:tc>
        <w:tc>
          <w:tcPr>
            <w:tcW w:w="40" w:type="dxa"/>
            <w:vAlign w:val="bottom"/>
            <w:shd w:val="clear" w:color="auto" w:fill="CCEEFF"/>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74,250</w:t>
            </w:r>
          </w:p>
        </w:tc>
        <w:tc>
          <w:tcPr>
            <w:tcW w:w="40" w:type="dxa"/>
            <w:vAlign w:val="bottom"/>
            <w:shd w:val="clear" w:color="auto" w:fill="CCEEFF"/>
          </w:tcPr>
          <w:p>
            <w:pPr>
              <w:spacing w:after="0"/>
              <w:rPr>
                <w:sz w:val="18"/>
                <w:szCs w:val="18"/>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29,804</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45,707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54,872</w:t>
            </w:r>
          </w:p>
        </w:tc>
        <w:tc>
          <w:tcPr>
            <w:tcW w:w="40" w:type="dxa"/>
            <w:vAlign w:val="bottom"/>
            <w:shd w:val="clear" w:color="auto" w:fill="CCEEFF"/>
          </w:tcPr>
          <w:p>
            <w:pPr>
              <w:spacing w:after="0"/>
              <w:rPr>
                <w:sz w:val="18"/>
                <w:szCs w:val="18"/>
                <w:color w:val="auto"/>
              </w:rPr>
            </w:pPr>
          </w:p>
        </w:tc>
      </w:tr>
      <w:tr>
        <w:trPr>
          <w:trHeight w:val="210"/>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80,836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122,893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158,926</w:t>
            </w:r>
          </w:p>
        </w:tc>
        <w:tc>
          <w:tcPr>
            <w:tcW w:w="40" w:type="dxa"/>
            <w:vAlign w:val="bottom"/>
            <w:tcBorders>
              <w:bottom w:val="single" w:sz="8" w:color="CCEEFF"/>
            </w:tcBorders>
          </w:tcPr>
          <w:p>
            <w:pPr>
              <w:spacing w:after="0"/>
              <w:rPr>
                <w:sz w:val="18"/>
                <w:szCs w:val="18"/>
                <w:color w:val="auto"/>
              </w:rPr>
            </w:pPr>
          </w:p>
        </w:tc>
      </w:tr>
      <w:tr>
        <w:trPr>
          <w:trHeight w:val="210"/>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12,114</w:t>
            </w:r>
          </w:p>
        </w:tc>
        <w:tc>
          <w:tcPr>
            <w:tcW w:w="40" w:type="dxa"/>
            <w:vAlign w:val="bottom"/>
            <w:shd w:val="clear" w:color="auto" w:fill="CCEEFF"/>
          </w:tcPr>
          <w:p>
            <w:pPr>
              <w:spacing w:after="0"/>
              <w:rPr>
                <w:sz w:val="18"/>
                <w:szCs w:val="18"/>
                <w:color w:val="auto"/>
              </w:rPr>
            </w:pPr>
          </w:p>
        </w:tc>
      </w:tr>
      <w:tr>
        <w:trPr>
          <w:trHeight w:val="216"/>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40" w:type="dxa"/>
            <w:vAlign w:val="bottom"/>
            <w:tcBorders>
              <w:bottom w:val="single" w:sz="8" w:color="CCEEFF"/>
            </w:tcBorders>
          </w:tcPr>
          <w:p>
            <w:pPr>
              <w:spacing w:after="0"/>
              <w:rPr>
                <w:sz w:val="18"/>
                <w:szCs w:val="18"/>
                <w:color w:val="auto"/>
              </w:rPr>
            </w:pPr>
          </w:p>
        </w:tc>
      </w:tr>
      <w:tr>
        <w:trPr>
          <w:trHeight w:val="210"/>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12,873</w:t>
            </w:r>
          </w:p>
        </w:tc>
        <w:tc>
          <w:tcPr>
            <w:tcW w:w="4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(4,138)</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(6,500)</w:t>
            </w: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60"/>
          </w:cols>
          <w:pgMar w:left="1420" w:top="517" w:right="1419" w:bottom="1440" w:gutter="0" w:footer="0" w:header="0"/>
        </w:sect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363220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sets forth our statements of operations data as a percentage of total revenues for each of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w w:val="96"/>
              </w:rPr>
              <w:t>Three Months Ended</w:t>
            </w:r>
          </w:p>
        </w:tc>
        <w:tc>
          <w:tcPr>
            <w:tcW w:w="1620" w:type="dxa"/>
            <w:vAlign w:val="bottom"/>
            <w:gridSpan w:val="10"/>
          </w:tcPr>
          <w:p>
            <w:pPr>
              <w:jc w:val="right"/>
              <w:ind w:right="39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9"/>
          </w:tcPr>
          <w:p>
            <w:pPr>
              <w:jc w:val="right"/>
              <w:ind w:right="55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3"/>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2019</w:t>
            </w:r>
          </w:p>
        </w:tc>
        <w:tc>
          <w:tcPr>
            <w:tcW w:w="3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3"/>
          </w:tcPr>
          <w:p>
            <w:pPr>
              <w:jc w:val="right"/>
              <w:ind w:right="71"/>
              <w:spacing w:after="0" w:line="142" w:lineRule="exact"/>
              <w:rPr>
                <w:sz w:val="20"/>
                <w:szCs w:val="20"/>
                <w:color w:val="auto"/>
              </w:rPr>
            </w:pPr>
            <w:r>
              <w:rPr>
                <w:rFonts w:ascii="Arial" w:cs="Arial" w:eastAsia="Arial" w:hAnsi="Arial"/>
                <w:sz w:val="14"/>
                <w:szCs w:val="14"/>
                <w:b w:val="1"/>
                <w:bCs w:val="1"/>
                <w:color w:val="auto"/>
                <w:w w:val="83"/>
              </w:rPr>
              <w:t>2018</w:t>
            </w: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Revenues: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and other revenue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7"/>
              </w:rPr>
              <w:t>97 %</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96 %</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4"/>
          </w:tcPr>
          <w:p>
            <w:pPr>
              <w:jc w:val="right"/>
              <w:ind w:right="7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Cost of revenues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w w:val="97"/>
              </w:rPr>
              <w:t>34 %</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2"/>
              </w:rPr>
              <w:t>36 %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4"/>
          </w:tcPr>
          <w:p>
            <w:pPr>
              <w:jc w:val="right"/>
              <w:ind w:right="7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64</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20" w:type="dxa"/>
            <w:vAlign w:val="bottom"/>
            <w:tcBorders>
              <w:top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7"/>
              </w:rPr>
              <w:t>28 %</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25 %</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w w:val="97"/>
              </w:rPr>
              <w:t>12 %</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2"/>
              </w:rPr>
              <w:t>12 %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4"/>
          </w:tcPr>
          <w:p>
            <w:pPr>
              <w:jc w:val="right"/>
              <w:ind w:right="7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7"/>
              </w:rPr>
              <w:t>21 %</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22 %</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61</w:t>
            </w:r>
          </w:p>
        </w:tc>
        <w:tc>
          <w:tcPr>
            <w:tcW w:w="38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59</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61</w:t>
            </w:r>
          </w:p>
        </w:tc>
        <w:tc>
          <w:tcPr>
            <w:tcW w:w="32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0 %</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4"/>
          </w:tcPr>
          <w:p>
            <w:pPr>
              <w:jc w:val="right"/>
              <w:ind w:right="7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top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4"/>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top w:val="single" w:sz="8" w:color="CCEEFF"/>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auto"/>
                <w:w w:val="96"/>
              </w:rPr>
              <w:t>Comparison of Three Months Ended December 31, 2018 and 2019</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44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 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7"/>
            <w:vMerge w:val="restart"/>
          </w:tcPr>
          <w:p>
            <w:pPr>
              <w:jc w:val="right"/>
              <w:ind w:right="53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113"/>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Recurring and other revenue</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102,739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127,980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1"/>
              </w:rPr>
              <w:t>$ 25,241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96 %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97 %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funds held for clients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4 %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Recurring and other revenue for the three months ended December 31, 2019 increased by $25.2 million, or 25%, to $128.0 million from $102.7 million for three months ended December 31, 2018. Recurring and other revenue increased primarily as a result of incremental revenues from new and existing clients.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Interest income on funds held for clients for the three months ended December 31, 2019 decreased by $0.1 million, or 2%, to $4.4 million from $4.5 million for the three months ended December 31, 2018. Interest income on funds held for clients decreased primarily as a result of lower average interest rates, partially offset by higher average daily balances for funds held due to the addition of new clients to our client base.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8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7"/>
              </w:rPr>
              <w:t>Change</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8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$ 38,070</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$ 45,424</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$ 7,354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Percentage of total revenue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35 %</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34 %</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65 %</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66 %</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Cost of revenues for the three months ended December 31, 2019 increased by $7.4 million, or 19%, to $45.4 million from $38.1 million for the three months ended December 31, 2018. Cost of revenues increased primarily as a result of the continued growth of our business, in particular, $4.6 million in additional employee-related costs resulting from additional personnel necessary to provide services to new and existing clients and $1.8 million in delivery and other processing-related fees. Gross margin increased from 65% to 66% for the three months ended December 31, 2018 and 2019,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8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8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$ 26,570</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$ 37,293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$ 10,723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25 %</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28 %</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Sales and marketing expenses for the three months ended December 31, 2019 increased by $10.7 million, or 40%, to $37.3 million from $26.6 million for the three months ended December 31, 2018. The increase in sales and marketing expense was primarily the result of $6.8 million of additional employee-related costs, including those incurred to expand our sales team, and $1.4 million of additional stock-based compensation associated with our equity incentive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8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7"/>
              </w:rPr>
              <w:t>Change</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8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$ 12,798</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$ 15,410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$ 2,612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12 %</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12 %</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Research and development expenses for the three months ended December 31, 2019 increased by $2.6 million, or 20%, to $15.4 million from $12.8 million for the three months ended December 31, 2018. The increase in research and development expenses was primarily the result of $3.0 million of additional employee-related costs related to additional development personnel, partially offset by higher period-over-period capitalized internal-use software costs of $1.1 million.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9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9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$ 22,739</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$ 28,133</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5,394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21 %</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21 %</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General and administrative expenses for the three months ended December 31, 2019 increased by $5.4 million, or 24%, to $28.1 million from $22.7 million for the three months ended December 31, 2018. The increase in general and administrative expense was primarily the result of $1.7 million of additional employee-related costs, $1.6 million in the settlement of a certain legal matter and related litigation costs, $0.9 million of increased occupancy costs incurred as a result of our requirement for additional office space and $0.8 million in additional stock-based compensation associated with our equity incentive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220" w:type="dxa"/>
            <w:vAlign w:val="bottom"/>
          </w:tcPr>
          <w:p>
            <w:pPr>
              <w:spacing w:after="0"/>
              <w:rPr>
                <w:sz w:val="14"/>
                <w:szCs w:val="14"/>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0 %</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Other income for the three months ended December 31, 2019 did not materially change as compared to the three months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Company’s effective tax rate was 22.6% and 14.6% for the three months ended December 31, 2018 and December 31, 2019, respectively. The Company’s effective tax rate for the three months ended December 30, 2018 was higher than the federal statutory rate of 21% primarily due to state income taxes and nondeductible expenses, partially offset by federal research and development credits. The Company’s effective tax rate for the three months ended December 30, 2019 was lower than the federal statutory rate of 21% primarily due to excess tax benefits from employee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December 31, 2018 and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9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7"/>
              </w:rPr>
              <w:t>Change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23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bottom w:val="single" w:sz="8" w:color="auto"/>
            </w:tcBorders>
            <w:gridSpan w:val="3"/>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Recurring and other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199,741</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$ 249,853</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$ 50,112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96 %</w:t>
            </w:r>
          </w:p>
        </w:tc>
        <w:tc>
          <w:tcPr>
            <w:tcW w:w="3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96 %</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funds held for clients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9,241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1,274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542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4 %</w:t>
            </w:r>
          </w:p>
        </w:tc>
        <w:tc>
          <w:tcPr>
            <w:tcW w:w="3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4 %</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Recurring and other revenue for the six months ended December 31, 2019 increased by $50.1 million, or 25%, to $249.9 million from $199.7 million for the six months ended December 31, 2018. Recurring and other revenue increased primarily as a result of incremental revenues from new and existing clients.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100" w:firstLine="648"/>
        <w:spacing w:after="0" w:line="274" w:lineRule="auto"/>
        <w:rPr>
          <w:sz w:val="20"/>
          <w:szCs w:val="20"/>
          <w:color w:val="auto"/>
        </w:rPr>
      </w:pPr>
      <w:r>
        <w:rPr>
          <w:rFonts w:ascii="Arial" w:cs="Arial" w:eastAsia="Arial" w:hAnsi="Arial"/>
          <w:sz w:val="17"/>
          <w:szCs w:val="17"/>
          <w:color w:val="auto"/>
        </w:rPr>
        <w:t>Interest income on funds held for clients for the six months ended December 31, 2019 increased by $1.3 million, or 16% to $9.2 million from $8.0 million for the six months ended December 31, 2018. Interest income on funds</w:t>
      </w: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held for clients increased primarily as a result of higher average daily balances for funds held due to the addition of new clients to our client base, partially offset by lower average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8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8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$ 74,012</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$ 88,054</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$ 14,042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Percentage of total revenue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36 %</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34 %</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64 %</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66 %</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Cost of revenues for the six months ended December 31, 2019 increased by $14.0 million, or 19%, to $88.1 million from $74.0 million for the six months ended December 31, 2018. Cost of revenues increased primarily as a result of the continued growth of our business, in particular, $9.1 million in additional employee-related costs resulting from additional personnel necessary to provide services to new and existing clients and $3.1 million in delivery and other processing-related fees. Gross margin increased from 64% to 66% for the six months ended December 31, 2018 and 2019,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8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8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$ 52,988</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$ 74,250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$ 21,262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25 %</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29 %</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Sales and marketing expenses for the six months ended December 31, 2019 increased by $21.3 million, or 40%, to $74.3 million from $53.0 million for the six months ended December 31, 2018. The increase in sales and marketing expense was primarily the result of $13.3 million of additional employee-related costs, including those incurred to expand our sales team, and $3.7 million of additional stock-based compensation associated with our equity incentive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8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7"/>
              </w:rPr>
              <w:t>Change</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8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$ 24,198</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$ 29,804</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$ 5,606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12 %</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11 %</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Research and development expenses for the six months ended December 31, 2019 increased by $5.6 million, or 23%, to $29.8 million from $24.2 million for the six months ended December 31, 2018. The increase in research and development expenses was primarily the result of $7.1 million of additional employee-related costs related to additional development personnel, partially offset by higher period-over-period capitalized internal-use software costs of $2.6 million.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8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7"/>
              </w:rPr>
              <w:t>Change</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8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$ 45,707</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$ 54,872</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$ 9,165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22 %</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21 %</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General and administrative expenses for the six months ended December 31, 2019 increased by $9.2 million, or 20%, to $54.9 million from $45.7 million for the six months ended December 31, 2018. The increase in general and administrative expense was primarily the result of $3.1 million of additional employee-related costs, $2.0 million in the settlement of a certain legal matter and related litigation costs, $1.9 million of increased occupancy costs incurred as a result of our requirement for additional office space and $1.2 million in additional stock-based compensation associated with our equity incentive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8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8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615</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Other income for the six months ended December 31, 2019 increased by $0.1 million as compared to the six months ended December 31, 2018. The increase in other income was primarily due to higher interest income earned on our cash and cash equivalents and corporate investments, partially offset by interest expense related to our revolving credit facility and losses on disposal of property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Company’s effective tax rate was (36.2)% and (50.5)% for the six months ended December 31, 2018 and December 31, 2019, respectively. The Company’s effective tax rates for the six months ended December 31, 2018 and December 31, 2019 were lower than the federal statutory rate of 21% primarily due to excess tax benefits from employee stock-based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 and Seasonality</w:t>
      </w:r>
    </w:p>
    <w:p>
      <w:pPr>
        <w:spacing w:after="0" w:line="229"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2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500" w:firstLine="648"/>
        <w:spacing w:after="0" w:line="288"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w:t>
      </w: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might differ from these estimates under different assumptions or conditions and, to the extent that there are differences between our estimates and actual results, our future financial statement presentation, financial condition, results of operations and cash flows will be affected. Our critical accounting policies and use of estimates are disclosed in our audited consolidated financial statements for the year ended June 30, 2019 included in our Annual Report on Form 10-K filed with the SEC on August 9,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primary liquidity needs are related to the funding of general business requirements, including working capital requirements, research and development, and capital expenditures. The share repurchase program completed during the first quarter of fiscal 2019 was funded by our cash flows from operations. As of December 31, 2019, our principal sources of liquidity were $75.9 million of cash and cash equivalents and $76.5 million of total corporate investments. We invest portions of our excess cash and cash equivalents in highly liquid, investment-grade marketable securities. These investments consist of commercial paper, asset-backed debt securities, corporate debt issuances and U.S. Treasury securities with credit quality ratings of A-1 or higher. We believe that our investments in unrealized loss positions as of December 31, 2019 were not other-than-temporarily impaired, nor has any event occurred subsequent to that date that would change that conclusion.</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order to grow our business, we intend to increase our personnel and related expenses and to make significant investments in our platform, data centers and general infrastructure. The timing and amount of these investments will vary based on the rate at which we can add new clients and new personnel and the scale of our module development, data centers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corporate investments or utilize our credit facility that we recently entered into in July 2019 to satisfy those needs. Refer to Note 7 of the Notes to the Unaudited Consolidated Financial Statements for additional detail on the credit agreement.</w:t>
      </w:r>
    </w:p>
    <w:p>
      <w:pPr>
        <w:spacing w:after="0" w:line="17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Funds held for clients and client fund obligations will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banks to execute ACH and wire transfers to support our client payroll and tax services. We believe we have sufficient capacity under these ACH arrangements to handle transaction volumes for the foreseeable future.</w:t>
      </w:r>
    </w:p>
    <w:p>
      <w:pPr>
        <w:spacing w:after="0" w:line="19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believe our current cash and cash equivalents, corporate investments and cash flow from operations will be sufficient to meet our working capital, capital expenditure, share repurchases, if any, and other investment requirements for at least the next 12 months.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1"/>
                <w:szCs w:val="11"/>
                <w:b w:val="1"/>
                <w:bCs w:val="1"/>
                <w:color w:val="auto"/>
              </w:rPr>
              <w:t xml:space="preserve">2018 </w:t>
            </w:r>
            <w:r>
              <w:rPr>
                <w:rFonts w:ascii="Arial" w:cs="Arial" w:eastAsia="Arial" w:hAnsi="Arial"/>
                <w:sz w:val="16"/>
                <w:szCs w:val="16"/>
                <w:b w:val="1"/>
                <w:bCs w:val="1"/>
                <w:color w:val="auto"/>
                <w:vertAlign w:val="superscript"/>
              </w:rPr>
              <w:t>(1)</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36,078</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available-for-sale securities and other</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(117,053)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(253,950)</w:t>
            </w:r>
          </w:p>
        </w:tc>
      </w:tr>
      <w:tr>
        <w:trPr>
          <w:trHeight w:val="216"/>
        </w:trPr>
        <w:tc>
          <w:tcPr>
            <w:tcW w:w="6820" w:type="dxa"/>
            <w:vAlign w:val="bottom"/>
          </w:tcPr>
          <w:p>
            <w:pPr>
              <w:ind w:left="34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88,879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124,780</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internal-use software costs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(9,425)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(12,139)</w:t>
            </w:r>
          </w:p>
        </w:tc>
      </w:tr>
      <w:tr>
        <w:trPr>
          <w:trHeight w:val="216"/>
        </w:trPr>
        <w:tc>
          <w:tcPr>
            <w:tcW w:w="682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(7,532)</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(12,398)</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allowances used for tenant improvements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820" w:type="dxa"/>
            <w:vAlign w:val="bottom"/>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(45,382)</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(153,707)</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340"/>
              <w:spacing w:after="0"/>
              <w:rPr>
                <w:sz w:val="20"/>
                <w:szCs w:val="20"/>
                <w:color w:val="auto"/>
              </w:rPr>
            </w:pPr>
            <w:r>
              <w:rPr>
                <w:rFonts w:ascii="Arial" w:cs="Arial" w:eastAsia="Arial" w:hAnsi="Arial"/>
                <w:sz w:val="18"/>
                <w:szCs w:val="18"/>
                <w:color w:val="auto"/>
              </w:rPr>
              <w:t>Net change in client fund obligations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450,825</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common shares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(34,991)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stock purchase plan</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340"/>
              <w:spacing w:after="0"/>
              <w:rPr>
                <w:sz w:val="20"/>
                <w:szCs w:val="20"/>
                <w:color w:val="auto"/>
              </w:rPr>
            </w:pPr>
            <w:r>
              <w:rPr>
                <w:rFonts w:ascii="Arial" w:cs="Arial" w:eastAsia="Arial" w:hAnsi="Arial"/>
                <w:sz w:val="18"/>
                <w:szCs w:val="18"/>
                <w:color w:val="auto"/>
              </w:rPr>
              <w:t>Taxes paid related to net share settlement of equity awards</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(18,878)</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(25,954)</w:t>
            </w:r>
          </w:p>
        </w:tc>
      </w:tr>
      <w:tr>
        <w:trPr>
          <w:trHeight w:val="216"/>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debt issuance costs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r>
      <w:tr>
        <w:trPr>
          <w:trHeight w:val="210"/>
        </w:trPr>
        <w:tc>
          <w:tcPr>
            <w:tcW w:w="68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(17,801)</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428,157</w:t>
            </w:r>
          </w:p>
        </w:tc>
        <w:tc>
          <w:tcPr>
            <w:tcW w:w="100" w:type="dxa"/>
            <w:vAlign w:val="bottom"/>
            <w:tcBorders>
              <w:bottom w:val="single" w:sz="8" w:color="CCEEFF"/>
            </w:tcBorders>
          </w:tcPr>
          <w:p>
            <w:pPr>
              <w:spacing w:after="0"/>
              <w:rPr>
                <w:sz w:val="18"/>
                <w:szCs w:val="18"/>
                <w:color w:val="auto"/>
              </w:rPr>
            </w:pPr>
          </w:p>
        </w:tc>
      </w:tr>
      <w:tr>
        <w:trPr>
          <w:trHeight w:val="210"/>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Net change in cash, cash equivalents and funds held for clients' 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9"/>
        <w:spacing w:after="0" w:line="226" w:lineRule="auto"/>
        <w:tabs>
          <w:tab w:leader="none" w:pos="28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Certain amounts have been reclassified to reflect the adoption of Accounting Standards Update (“ASU”) No. 2016-18, “Statement of Cash Flows (Topic 230): Restricted Cash (a consensus of the FASB Emerging Issues Task Force).” Refer to Note 2 of the audited consolidated financial statements included in the Annual Report on Form 10-K for the fiscal year ended June 30,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Net cash provided by operating activities was $34.3 million and $36.1 million for the six months ended December 31, 2018 and 2019, respectively. The increase in net cash provided by operating activities from the six months ended December 31, 2018 to the six months ended December 31, 2019 was primarily due to improved operating results after adjusting for non-cash items including stock-based compensation expense, depreciation and amortization expense and deferred income tax benefit, partially offset by changes in operating assets and liabilities, mostly driven by changes in deferred contract costs and accrued expenses and other during the six months ended December 31,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investing activities was $45.4 million and $153.7 million for the six months ended</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December 31, 2018 and 2019, respectively. The net cash used in investing activities is significantly impacted by the timing of purchases and sales and maturities of investments as we invest portions of excess corporate cash and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6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change in net cash used in investing activities was primarily due to increases in purchases of available-for-sale securities of $136.9 million, purchases of property and equipment of $4.9 million and capitalized internal-use software costs of $2.7 million, partially offset by increases in proceeds from sales and maturities of available-for-sale securities of $35.9 million during the six months ended December 31, 2019 as compared to the six months ended December 31,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Net cash provided by (used in) financing activities was ($17.8) million and $428.2 million for the six months ended December 31, 2018 and 2019, respectively. The change in net cash provided by (used in) financing activities was</w:t>
      </w: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primarily the result of an increase in client fund obligations of $417.7 million due to the timing of client funds collected and related remittance of those funds to client employees and taxing authorities and $35.0 million of repurchases of common shares during the six months ended December 31, 2018, partially offset by $7.1 million in increased taxes paid related to net share settlement of equity awards during the six months ended December 31, 2019 as compared to the six months ended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principal commitments consist of operating lease obligations. The following table summarizes our contractual obligations at December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Payment Due By Fiscal Period</w:t>
            </w: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80" w:type="dxa"/>
            <w:vAlign w:val="bottom"/>
          </w:tcPr>
          <w:p>
            <w:pPr>
              <w:spacing w:after="0"/>
              <w:rPr>
                <w:sz w:val="10"/>
                <w:szCs w:val="10"/>
                <w:color w:val="auto"/>
              </w:rPr>
            </w:pPr>
          </w:p>
        </w:tc>
        <w:tc>
          <w:tcPr>
            <w:tcW w:w="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Less than 1</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1-3 Years</w:t>
            </w: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8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w:t>
            </w:r>
          </w:p>
        </w:tc>
        <w:tc>
          <w:tcPr>
            <w:tcW w:w="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$ 104,253</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$ 10,715</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$ 19,703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$ 18,354</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$ 55,481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Unconditional purchase obligations</w:t>
            </w:r>
          </w:p>
        </w:tc>
        <w:tc>
          <w:tcPr>
            <w:tcW w:w="800" w:type="dxa"/>
            <w:vAlign w:val="bottom"/>
          </w:tcPr>
          <w:p>
            <w:pPr>
              <w:jc w:val="right"/>
              <w:spacing w:after="0"/>
              <w:rPr>
                <w:sz w:val="20"/>
                <w:szCs w:val="20"/>
                <w:color w:val="auto"/>
              </w:rPr>
            </w:pPr>
            <w:r>
              <w:rPr>
                <w:rFonts w:ascii="Arial" w:cs="Arial" w:eastAsia="Arial" w:hAnsi="Arial"/>
                <w:sz w:val="18"/>
                <w:szCs w:val="18"/>
                <w:color w:val="auto"/>
              </w:rPr>
              <w:t>12,049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6,563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4,557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929</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$ 116,302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$ 17,278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$ 24,260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$ 19,283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$ 55,481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$7.5 million and $12.4 million for the six months ended December 31, 2018 and 2019, respectively, exclusive of capitalized internal-use software costs of $9.4 million and $12.1 million for the same periods,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Refer to Note 2 of the Notes to the Unaudited Consolidated Financial Statements for a discussion of recently issued accounting standards.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339" w:firstLine="648"/>
        <w:spacing w:after="0" w:line="279" w:lineRule="auto"/>
        <w:rPr>
          <w:sz w:val="20"/>
          <w:szCs w:val="20"/>
          <w:color w:val="auto"/>
        </w:rPr>
      </w:pPr>
      <w:r>
        <w:rPr>
          <w:rFonts w:ascii="Arial" w:cs="Arial" w:eastAsia="Arial" w:hAnsi="Arial"/>
          <w:sz w:val="17"/>
          <w:szCs w:val="17"/>
          <w:color w:val="auto"/>
        </w:rPr>
        <w:t>We have operations solely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2019, we had cash and cash equivalents of $75.9 million, corporate investments of $76.5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million and funds held for clients of $1,845.3 million. We deposit our cash and cash equivalents and significant portions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funds held for clients in demand deposit accounts with various financial institutions. We invest portions of our excess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and funds held for clients in marketable securities including commercial paper, corporate bonds,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asset-backed securities and U.S. treasury securities, which were classified as available-for-sale securities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Our investment policy is focused on generating higher yields from these investments while preserving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liquidity and capital. However, as a result of our investing activities, we are exposed to changes in interest rates that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materially affect our financial statements.</w:t>
      </w:r>
    </w:p>
    <w:p>
      <w:pPr>
        <w:spacing w:after="0" w:line="211" w:lineRule="exact"/>
        <w:rPr>
          <w:sz w:val="20"/>
          <w:szCs w:val="20"/>
          <w:color w:val="auto"/>
        </w:rPr>
      </w:pPr>
    </w:p>
    <w:p>
      <w:pPr>
        <w:ind w:right="19" w:firstLine="648"/>
        <w:spacing w:after="0" w:line="293" w:lineRule="auto"/>
        <w:rPr>
          <w:sz w:val="20"/>
          <w:szCs w:val="20"/>
          <w:color w:val="auto"/>
        </w:rPr>
      </w:pPr>
      <w:r>
        <w:rPr>
          <w:rFonts w:ascii="Arial" w:cs="Arial" w:eastAsia="Arial" w:hAnsi="Arial"/>
          <w:sz w:val="16"/>
          <w:szCs w:val="16"/>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to be other-than-temporary. We have not recorded any other-than-temporary impairment losses to date.</w:t>
      </w:r>
    </w:p>
    <w:p>
      <w:pPr>
        <w:spacing w:after="0" w:line="165" w:lineRule="exact"/>
        <w:rPr>
          <w:sz w:val="20"/>
          <w:szCs w:val="20"/>
          <w:color w:val="auto"/>
        </w:rPr>
      </w:pPr>
    </w:p>
    <w:p>
      <w:pPr>
        <w:ind w:right="39" w:firstLine="648"/>
        <w:spacing w:after="0" w:line="255" w:lineRule="auto"/>
        <w:rPr>
          <w:sz w:val="20"/>
          <w:szCs w:val="20"/>
          <w:color w:val="auto"/>
        </w:rPr>
      </w:pPr>
      <w:r>
        <w:rPr>
          <w:rFonts w:ascii="Arial" w:cs="Arial" w:eastAsia="Arial" w:hAnsi="Arial"/>
          <w:sz w:val="18"/>
          <w:szCs w:val="18"/>
          <w:color w:val="auto"/>
        </w:rPr>
        <w:t>Based upon a sensitivity model that measures market value changes caused by interest rate fluctuations, an immediate 25-basis point increase in interest rates would have resulted in a decrease in the market value of our available-for-sale securities included in funds held for clients by $0.3 million as of December 31, 2019. A 25-basis point decrease in interest rates would have resulted in a $0.3 million increase in the market value of our available-for-sale securities included in funds held for clients as of December 31, 2019. Fluctuations in the value of our available-for-sale securities caused by changes in interest rates are recorded in other comprehensive income and are only realized if we sell the underlying securities.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Additionally, as described in Note 7 of the Notes to the Unaudited Consolidated Financial Statements, we entered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into a credit agreement that provides for a revolving credit facility (“credit facility”) in the aggregate amount of $250.0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million, which may be increased up to $375.0 million. Borrowings under the credit facility will generally bear interest at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rate based upon the London Interbank Offered Rate (“LIBOR”) (or a replacement rate for LIBOR) or, at our sole option,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adjusted base rate plus an applicable margin based on our then-applicable net senior secured leverage ratio.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we have not drawn any amounts under the credit facility. To the extent that we draw upon the borrowing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capacity available through the credit facility, we may be exposed to increased interest rate risk.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ind w:right="39"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8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December 31, 2019,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Effective July 1, 2019, we adopted Accounting Standard Codification Topic 842, Leases. Changes were made to the relevant business processes and the related control activities in order to monitor and maintain appropriate controls over financial reporting. There were no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Quarterly Report on Form 10-Q, including our consolidated financial statements and related notes.</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continue to fluctuate, which may cause the value of our common stock to decline substantially.</w:t>
      </w:r>
    </w:p>
    <w:p>
      <w:pPr>
        <w:spacing w:after="0" w:line="17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number of new clients typically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to other risk factors listed in this section, some of the important factors that may cause fluctuations in our quarterly operating results include:</w:t>
      </w:r>
    </w:p>
    <w:p>
      <w:pPr>
        <w:spacing w:after="0" w:line="170" w:lineRule="exact"/>
        <w:rPr>
          <w:sz w:val="20"/>
          <w:szCs w:val="20"/>
          <w:color w:val="auto"/>
        </w:rPr>
      </w:pPr>
    </w:p>
    <w:p>
      <w:pPr>
        <w:ind w:left="1340" w:hanging="331"/>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our products achieve or maintain market acceptance;</w:t>
      </w:r>
    </w:p>
    <w:p>
      <w:pPr>
        <w:spacing w:after="0" w:line="225" w:lineRule="exact"/>
        <w:rPr>
          <w:rFonts w:ascii="Arial" w:cs="Arial" w:eastAsia="Arial" w:hAnsi="Arial"/>
          <w:sz w:val="18"/>
          <w:szCs w:val="18"/>
          <w:color w:val="auto"/>
        </w:rPr>
      </w:pPr>
    </w:p>
    <w:p>
      <w:pPr>
        <w:ind w:left="1340" w:right="140" w:hanging="331"/>
        <w:spacing w:after="0" w:line="277"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introduce new products and enhancements and updates to our existing products on a timely basis;</w:t>
      </w:r>
    </w:p>
    <w:p>
      <w:pPr>
        <w:spacing w:after="0" w:line="170" w:lineRule="exact"/>
        <w:rPr>
          <w:rFonts w:ascii="Arial" w:cs="Arial" w:eastAsia="Arial" w:hAnsi="Arial"/>
          <w:sz w:val="18"/>
          <w:szCs w:val="18"/>
          <w:color w:val="auto"/>
        </w:rPr>
      </w:pPr>
    </w:p>
    <w:p>
      <w:pPr>
        <w:ind w:left="1340" w:hanging="331"/>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Competitive pressures and the introduction of enhanced products and services from competitors;</w:t>
      </w:r>
    </w:p>
    <w:p>
      <w:pPr>
        <w:spacing w:after="0" w:line="225" w:lineRule="exact"/>
        <w:rPr>
          <w:rFonts w:ascii="Arial" w:cs="Arial" w:eastAsia="Arial" w:hAnsi="Arial"/>
          <w:sz w:val="18"/>
          <w:szCs w:val="18"/>
          <w:color w:val="auto"/>
        </w:rPr>
      </w:pPr>
    </w:p>
    <w:p>
      <w:pPr>
        <w:ind w:left="1340" w:hanging="331"/>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225" w:lineRule="exact"/>
        <w:rPr>
          <w:rFonts w:ascii="Arial" w:cs="Arial" w:eastAsia="Arial" w:hAnsi="Arial"/>
          <w:sz w:val="18"/>
          <w:szCs w:val="18"/>
          <w:color w:val="auto"/>
        </w:rPr>
      </w:pPr>
    </w:p>
    <w:p>
      <w:pPr>
        <w:ind w:left="1340" w:right="620" w:hanging="331"/>
        <w:spacing w:after="0" w:line="277"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 and whether such investments are capitalized or expensed as incurred;</w:t>
      </w:r>
    </w:p>
    <w:p>
      <w:pPr>
        <w:spacing w:after="0" w:line="170" w:lineRule="exact"/>
        <w:rPr>
          <w:rFonts w:ascii="Arial" w:cs="Arial" w:eastAsia="Arial" w:hAnsi="Arial"/>
          <w:sz w:val="18"/>
          <w:szCs w:val="18"/>
          <w:color w:val="auto"/>
        </w:rPr>
      </w:pPr>
    </w:p>
    <w:p>
      <w:pPr>
        <w:ind w:left="1340" w:hanging="331"/>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our clients’ employees;</w:t>
      </w:r>
    </w:p>
    <w:p>
      <w:pPr>
        <w:spacing w:after="0" w:line="225" w:lineRule="exact"/>
        <w:rPr>
          <w:rFonts w:ascii="Arial" w:cs="Arial" w:eastAsia="Arial" w:hAnsi="Arial"/>
          <w:sz w:val="18"/>
          <w:szCs w:val="18"/>
          <w:color w:val="auto"/>
        </w:rPr>
      </w:pPr>
    </w:p>
    <w:p>
      <w:pPr>
        <w:ind w:left="1340" w:hanging="331"/>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of recognition of revenues and expenses;</w:t>
      </w:r>
    </w:p>
    <w:p>
      <w:pPr>
        <w:spacing w:after="0" w:line="225" w:lineRule="exact"/>
        <w:rPr>
          <w:rFonts w:ascii="Arial" w:cs="Arial" w:eastAsia="Arial" w:hAnsi="Arial"/>
          <w:sz w:val="18"/>
          <w:szCs w:val="18"/>
          <w:color w:val="auto"/>
        </w:rPr>
      </w:pPr>
    </w:p>
    <w:p>
      <w:pPr>
        <w:ind w:left="1340" w:hanging="331"/>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Client renewal rates;</w:t>
      </w:r>
    </w:p>
    <w:p>
      <w:pPr>
        <w:spacing w:after="0" w:line="225" w:lineRule="exact"/>
        <w:rPr>
          <w:rFonts w:ascii="Arial" w:cs="Arial" w:eastAsia="Arial" w:hAnsi="Arial"/>
          <w:sz w:val="18"/>
          <w:szCs w:val="18"/>
          <w:color w:val="auto"/>
        </w:rPr>
      </w:pPr>
    </w:p>
    <w:p>
      <w:pPr>
        <w:ind w:left="1340" w:hanging="331"/>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225" w:lineRule="exact"/>
        <w:rPr>
          <w:rFonts w:ascii="Arial" w:cs="Arial" w:eastAsia="Arial" w:hAnsi="Arial"/>
          <w:sz w:val="18"/>
          <w:szCs w:val="18"/>
          <w:color w:val="auto"/>
        </w:rPr>
      </w:pPr>
    </w:p>
    <w:p>
      <w:pPr>
        <w:ind w:left="1340" w:hanging="331"/>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Technical difficulties with our products or interruptions in our services;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40" w:hanging="331"/>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225" w:lineRule="exact"/>
        <w:rPr>
          <w:rFonts w:ascii="Arial" w:cs="Arial" w:eastAsia="Arial" w:hAnsi="Arial"/>
          <w:sz w:val="18"/>
          <w:szCs w:val="18"/>
          <w:color w:val="auto"/>
        </w:rPr>
      </w:pPr>
    </w:p>
    <w:p>
      <w:pPr>
        <w:ind w:left="1340" w:hanging="331"/>
        <w:spacing w:after="0"/>
        <w:tabs>
          <w:tab w:leader="none" w:pos="1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repeal of or changes to the laws and regulations related to the products and services which we offer;</w:t>
      </w:r>
    </w:p>
    <w:p>
      <w:pPr>
        <w:spacing w:after="0" w:line="236" w:lineRule="exact"/>
        <w:rPr>
          <w:rFonts w:ascii="Arial" w:cs="Arial" w:eastAsia="Arial" w:hAnsi="Arial"/>
          <w:sz w:val="17"/>
          <w:szCs w:val="17"/>
          <w:color w:val="auto"/>
        </w:rPr>
      </w:pPr>
    </w:p>
    <w:p>
      <w:pPr>
        <w:ind w:left="1340" w:hanging="331"/>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1340" w:hanging="331"/>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majority of our agreements with clients do not have a specified term and are generally cancellable by our clients upon 60 days’ or less notice. In fiscal 2018, the Company also began entering into term agreements, which are generally two years in length. If a significant number of clients elected to terminate their agreements with us, our operating results and our business would be adversely affected.</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Failure to manage our growth effectively could increase our expenses, decrease our revenue, and prevent us from implementing our business strategy and sustaining our revenue growth rates.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 In addition, our revenue growth rates may decline in future periods as a result of various factors, including our failure to manage our growth effectively, our increased market penetration and the maturation of our business, slowing demand for our services, and a decrease in the growth of the overall market, among others.</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highly competitive, and if we do not compete effectively, our operating results could be adversely affected.</w:t>
      </w:r>
    </w:p>
    <w:p>
      <w:pPr>
        <w:spacing w:after="0" w:line="170"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primarily include payroll and HR service and software providers, such as Automatic Data Processing, Inc., Paychex, Inc., Paycom Software, Inc., Paycor, Inc., Ultimate Software Group, Inc. and other local and regional providers.</w:t>
      </w:r>
    </w:p>
    <w:p>
      <w:pPr>
        <w:spacing w:after="0" w:line="187"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may be able to respond more quickly and effectively than we can to new or changing opportunities, technologies, regulations or client requirements.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18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16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Changes in tax, benefit and other laws and regulations could require us to make significant modifications to our products or delay or cease sales of certain products, which could result in reduced revenues or revenue growth and our incurring substantial expenses and write-offs.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If we fail to manage our technical operations infrastructure, including operation of our data centers, our existing clients may experience service outages and our new clients may experience delays in the deployment of our modules.</w:t>
      </w:r>
    </w:p>
    <w:p>
      <w:pPr>
        <w:spacing w:after="0" w:line="10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We have experienced significant growth in the number of users, transactions and data that our operations infrastructure supports. We seek to maintain sufficient excess capacity in our data centers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modules.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7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our ability to deliver our cloud-based modules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89" w:lineRule="exact"/>
        <w:rPr>
          <w:sz w:val="20"/>
          <w:szCs w:val="20"/>
          <w:color w:val="auto"/>
        </w:rPr>
      </w:pPr>
    </w:p>
    <w:p>
      <w:pPr>
        <w:ind w:left="1340" w:hanging="331"/>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Damage from fire, power loss, natural disasters and other force majeure events outside our control;</w:t>
      </w:r>
    </w:p>
    <w:p>
      <w:pPr>
        <w:spacing w:after="0" w:line="236" w:lineRule="exact"/>
        <w:rPr>
          <w:rFonts w:ascii="Arial" w:cs="Arial" w:eastAsia="Arial" w:hAnsi="Arial"/>
          <w:sz w:val="17"/>
          <w:szCs w:val="17"/>
          <w:color w:val="auto"/>
        </w:rPr>
      </w:pPr>
    </w:p>
    <w:p>
      <w:pPr>
        <w:ind w:left="1340" w:hanging="331"/>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340" w:hanging="331"/>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340" w:right="40" w:hanging="331"/>
        <w:spacing w:after="0" w:line="277"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Security breaches, computer viruses, hacking, worms, malware, ransomware, denial-of-service attacks and similar disruptive problems; and</w:t>
      </w:r>
    </w:p>
    <w:p>
      <w:pPr>
        <w:spacing w:after="0" w:line="170" w:lineRule="exact"/>
        <w:rPr>
          <w:rFonts w:ascii="Arial" w:cs="Arial" w:eastAsia="Arial" w:hAnsi="Arial"/>
          <w:sz w:val="18"/>
          <w:szCs w:val="18"/>
          <w:color w:val="auto"/>
        </w:rPr>
      </w:pPr>
    </w:p>
    <w:p>
      <w:pPr>
        <w:ind w:left="1340" w:hanging="331"/>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73"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Furthermore, our payroll module is essential to our clients’ timely payment of wages to their employees. Any interruption in our service may affect the availability, accuracy or timeliness of these programs and could damage our reputation, cause our clients to terminate their use of our software, require us to indemnify our clients against certain losses due to our own errors and prevent us from gaining additional business from current or future clients.</w:t>
      </w:r>
    </w:p>
    <w:p>
      <w:pPr>
        <w:spacing w:after="0" w:line="171"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We host our solutions at a third-party facility in Franklin Park, Illinois and utilize another third-party facility in Kenosha, Wisconsin for backup and disaster recovery. We also may decide to employ additional offsite data centers in the future to accommodate growth. Problems faced by our data center locations,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contract may have negative effects on our business, the nature and extent of which are difficult to predict. Any changes in service levels at our third-party data center or any errors, defects, disruptions or other performance problems with our modules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8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system passwords, and in the case of our benefit administration solution, BeneFLEX, health information protected by the Health Insurance Portability and Accountability Act of 1996, as amended, or HIPAA.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As cyber threats continue to evolve, we are focused on ensuring that our operating environments safeguard and protect personal and business information. We may be required to invest significant additional resources to comply with evolving cybersecurity regulations and to modify and enhance our information security and controls, and to investigate and remediate any security vulnerabilities.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 could incur significant liabilities. The costs of investigating, mitigating, and reporting such a breach to affected individuals (if required) can be substantial. In addition, if a high-profile security breach occurs with respect to an industry peer, our clients and potential clients may generally lose trust in the security of payroll and HCM modules. Any such breach or unauthorized access could negatively affect our ability to attract new clients, cause existing clients to terminate their agreements with us, result in reputational damage and subject us to lawsuits, regulatory fines (including, in the case of our benefit administration solution, BeneFLEX, penalties for failure to comply with HIPAA) or other actions or liabilities which could materially and adversely affect our business and operating results.</w:t>
      </w:r>
    </w:p>
    <w:p>
      <w:pPr>
        <w:spacing w:after="0" w:line="17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70" w:lineRule="exact"/>
        <w:rPr>
          <w:sz w:val="20"/>
          <w:szCs w:val="20"/>
          <w:color w:val="auto"/>
        </w:rPr>
      </w:pPr>
    </w:p>
    <w:p>
      <w:pPr>
        <w:ind w:right="260" w:firstLine="648"/>
        <w:spacing w:after="0" w:line="274" w:lineRule="auto"/>
        <w:rPr>
          <w:sz w:val="20"/>
          <w:szCs w:val="20"/>
          <w:color w:val="auto"/>
        </w:rPr>
      </w:pPr>
      <w:r>
        <w:rPr>
          <w:rFonts w:ascii="Arial" w:cs="Arial" w:eastAsia="Arial" w:hAnsi="Arial"/>
          <w:sz w:val="17"/>
          <w:szCs w:val="17"/>
          <w:color w:val="auto"/>
        </w:rPr>
        <w:t>We recognize the majority of our revenue as services are performed. The amount of revenue we recognize in any particular period is derived in significant part based on the number of employees of our clients served by our</w:t>
      </w: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recognize our expenses over varying periods based on the nature of the expense. When a client terminates its relationship with us, we may not have derived enough revenue from that client to cover associated implementation costs. Our expenses fluctuate as a percentage of revenue, and changes in our business generally may not be immediately reflected in our results of operations.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adequately expand our direct sales force with qualified and productive persons, we may not be able to grow our business effectively.</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requires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9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our referral network participants reduce their referrals to us, we may not be able to grow our client base or revenues in the future.</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more than 25% of our new sales in fiscal 2019 were referred to us from our referral network participants. In most cases, our relationships with referral network participants are informal, although in some cases, we have formalized relationships where we are a recommended vendor for their clients.</w:t>
      </w:r>
    </w:p>
    <w:p>
      <w:pPr>
        <w:spacing w:after="0" w:line="15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5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70" w:lineRule="exact"/>
        <w:rPr>
          <w:sz w:val="20"/>
          <w:szCs w:val="20"/>
          <w:color w:val="auto"/>
        </w:rPr>
      </w:pPr>
    </w:p>
    <w:p>
      <w:pPr>
        <w:ind w:right="220" w:firstLine="648"/>
        <w:spacing w:after="0" w:line="285" w:lineRule="auto"/>
        <w:rPr>
          <w:sz w:val="20"/>
          <w:szCs w:val="20"/>
          <w:color w:val="auto"/>
        </w:rPr>
      </w:pPr>
      <w:r>
        <w:rPr>
          <w:rFonts w:ascii="Arial" w:cs="Arial" w:eastAsia="Arial" w:hAnsi="Arial"/>
          <w:sz w:val="16"/>
          <w:szCs w:val="16"/>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modules in particular. It is difficult to predict client adoption rates and demand for our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pacing w:after="0" w:line="16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i w:val="1"/>
          <w:iCs w:val="1"/>
          <w:color w:val="auto"/>
        </w:rPr>
        <w:t>We typically pay client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payroll processing business involves the movement of significant funds from the account of a client to employees and relevant taxing authorities. For example, in fiscal 2019 we processed over $134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changes in economic or political conditions could adversely affect our operating results and our business.</w:t>
      </w:r>
    </w:p>
    <w:p>
      <w:pPr>
        <w:spacing w:after="0" w:line="2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again in the future. If the current economic climate begins to decline, many clients may reduce their number of employees and delay or reduce technology 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Trade, monetary and fiscal policies, and political and economic conditions may substantially change, and credit markets may experience periods of constriction and volatility.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1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87" w:lineRule="exact"/>
        <w:rPr>
          <w:sz w:val="20"/>
          <w:szCs w:val="20"/>
          <w:color w:val="auto"/>
        </w:rPr>
      </w:pPr>
    </w:p>
    <w:p>
      <w:pPr>
        <w:ind w:right="240" w:firstLine="648"/>
        <w:spacing w:after="0" w:line="269" w:lineRule="auto"/>
        <w:rPr>
          <w:sz w:val="20"/>
          <w:szCs w:val="20"/>
          <w:color w:val="auto"/>
        </w:rPr>
      </w:pPr>
      <w:r>
        <w:rPr>
          <w:rFonts w:ascii="Arial" w:cs="Arial" w:eastAsia="Arial" w:hAnsi="Arial"/>
          <w:sz w:val="17"/>
          <w:szCs w:val="17"/>
          <w:color w:val="auto"/>
        </w:rPr>
        <w:t>We currently have agreements with eleven banks to execute ACH and wire transfers to support our client payroll, benefit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depend on our senior management team and other key employees, and the loss of these persons or an inability to attract and retain highly skilled employees, including product development and other technical persons, could adversely affect our business.</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success depends largely upon the continued services of our key executive officers, including Steven R. Beauchamp, our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6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70"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Privacy concerns and laws or other domestic regulations may increase the cost of our solutions or reduce the effectiveness of our modules and adversely affect our business.</w:t>
      </w:r>
    </w:p>
    <w:p>
      <w:pPr>
        <w:spacing w:after="0" w:line="17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In addition, HIPAA, as amended by the Health Information Technology for Economic and Clinical Health Act, and its implementing regulations, applies to our benefit administration solution, BeneFLEX, as a business associate. The costs of compliance with, and other burdens imposed by, such laws and regulations that are applicable to our clients’ businesses may limit the use and adoption of our modules and reduce overall demand, or lead to significant fines, penalties or liabilities for any noncompliance with such privacy laws. Even the perception of privacy concerns, whether or not valid, may inhibit market adoption of our solutions.</w:t>
      </w:r>
    </w:p>
    <w:p>
      <w:pPr>
        <w:spacing w:after="0" w:line="197" w:lineRule="exact"/>
        <w:rPr>
          <w:sz w:val="20"/>
          <w:szCs w:val="20"/>
          <w:color w:val="auto"/>
        </w:rPr>
      </w:pPr>
    </w:p>
    <w:p>
      <w:pPr>
        <w:ind w:right="280" w:firstLine="648"/>
        <w:spacing w:after="0" w:line="286" w:lineRule="auto"/>
        <w:rPr>
          <w:sz w:val="20"/>
          <w:szCs w:val="20"/>
          <w:color w:val="auto"/>
        </w:rPr>
      </w:pPr>
      <w:r>
        <w:rPr>
          <w:rFonts w:ascii="Arial" w:cs="Arial" w:eastAsia="Arial" w:hAnsi="Arial"/>
          <w:sz w:val="16"/>
          <w:szCs w:val="16"/>
          <w:color w:val="auto"/>
        </w:rPr>
        <w:t>Additionally, we expect that existing laws, regulations, and standards may be interpreted in new and differing manners in the future, and may be inconsistent among jurisdictions. Future laws, regulations, standards, and other obligations, and changes in the interpretation of existing laws, regulations, standards, and other obligations could result in increased regulation, increased costs of compliance and penalties for non-compliance, and limitations on data</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collection, use, disclosure, and transfer for Paylocity and our clients. For example, in 2016, the European Union (“EU”) and United States agreed to a framework for data transferred from the EU to the United States, called the Privacy Shield, but this new framework has been challenged by private parties and may face additional challenges by national regulators or additional private parties. Additionally, in 2016 the EU adopted a new regulation governing data privacy called the General Data Protection Regulation (“GDPR”), which became effective in May 2018. The GDPR establishes new requirements applicable to the handling of personal data and imposes penalties for non-compliance of up to 4% of worldwide revenue. California also recently enacted legislation, the California Consumer Privacy Act of 2018 (“CCPA”), effective as of January 1, 2020, that affords California residents expanded privacy protections and a private right of action for security breaches affecting their personal information. While California legislators recently amended the CCPA and the California Attorney General released draft implementing regulations for public comment, there remains uncertainty in how the CCPA will be interpreted and enforced, and privacy advocates are calling for changes to the law through a voter ballot initiative and additional amendments to the CCPA. In addition, the Illinois Biometric Information Privacy Act regulates the collection, use, safeguarding and storage of “biometric identifiers” or “biometric information” by private entities, and provides a private right of action for persons who are aggrieved by violations of the regulation. 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modules and adversely affect our business.</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If third parties we work with violate applicable laws or regulations or our policies, such violations may also put our clients’ content at risk and could in turn have an adverse effect on our business. Any significant change to applicable laws, regulations, or industry practices regarding the collection, use, retention, security, or disclosure of our clients’ content, or regarding the manner in which the express or implied consent of clients for the collection, use, retention, or disclosure of such content is obtained, could increase our costs and require us to modify our services and features, possibly in a material manner, which we may be unable to complete, and may limit our ability to store and transmit client data or develop new services and features.</w:t>
      </w:r>
    </w:p>
    <w:p>
      <w:pPr>
        <w:spacing w:after="0" w:line="189"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Our business could be adversely affected if we do not effectively implement and service our solutions or if we are unable to accommodate increased demand for our implementation and client services resulting from growth in our business.</w:t>
      </w:r>
    </w:p>
    <w:p>
      <w:pPr>
        <w:spacing w:after="0" w:line="101"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Our ability to deliver our payroll and HCM solutions depends on our ability to effectively implement and to transition to, and train our clients on, our solutions. We generally do not recognize any revenue from new clients until they process their first payroll. Further, the majority of our agreements with our clients are generally terminable by the clients on 60 days’ or less notice. If a client is not satisfied with our 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16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Once our modules are deployed, our clients depend on our client service organization to resolve issues relating to our solutions. The majority of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 Our sales process is highly dependent on our modules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we may be unable to respond quickly enough to accommodate increased client demand for implementation and client services driven by our growth. In order to ensure that we have sufficient employees to implement and service our solutions, we must closely coordinate hiring of personnel with our projected sales for a particular period. Because our sales cycle is typically only three to six weeks long, we may not be successful in coordinating hiring of implementation and client service personnel to meet increased demand for our services. Increased demand for services without a corresponding staffing increase of qualified personnel could adversely affect the quality of services provided to our clients, and our business and our reputation could be harmed.</w:t>
      </w:r>
    </w:p>
    <w:p>
      <w:pPr>
        <w:spacing w:after="0" w:line="189"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01"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8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88"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6"/>
          <w:szCs w:val="16"/>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w:t>
      </w:r>
    </w:p>
    <w:p>
      <w:pPr>
        <w:spacing w:after="0" w:line="2"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3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8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Corporate investments and client funds that we hold are subject to market, interest rate, credit and liquidity risks. The loss of these funds could have an adverse impact on our business.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invest portions of excess cash and cash equivalents and funds held for our clients in liquid, investment-grade marketable securities such as corporate bonds, commercial paper, asset-backed securities, U.S. treasury securities, money market securities, and other cash equivalents. We follow an established investment policy and set of guidelines to monitor and help mitigate our exposure to liquidity and credit risks. Nevertheless, our corporate investments and client fund assets are subject to general market, interest rate, credit, and liquidity risks. These risks may be exacerbated,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18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addition, funds held for clients are deposited in consolidated accounts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65"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4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example, we might lose sales or incur significant expenses if states successfully impose broader guidelines on state sales and use taxes. A successful assertion by one or more states requiring us to collect sales or other taxes on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 or a portion of these amounts, we will incur unplanned expenses that may be substantial. Moreover, imposition of such taxes on us going forward will effectively increase the cost of our services to our clients and might adversely affect our ability to retain existing clients or to gain new clients in the areas in which such taxes are imposed.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right="220" w:firstLine="648"/>
        <w:spacing w:after="0" w:line="284" w:lineRule="auto"/>
        <w:rPr>
          <w:sz w:val="20"/>
          <w:szCs w:val="20"/>
          <w:color w:val="auto"/>
        </w:rPr>
      </w:pPr>
      <w:r>
        <w:rPr>
          <w:rFonts w:ascii="Arial" w:cs="Arial" w:eastAsia="Arial" w:hAnsi="Arial"/>
          <w:sz w:val="16"/>
          <w:szCs w:val="16"/>
          <w:color w:val="auto"/>
        </w:rPr>
        <w:t>We may become subject, from time to time, to legal proceedings and claims that arise in the ordinary course of business such as claims brought by our clients in connection with commercial disputes, employment claims made by our current or former employees, or lawsuits related to breaches of personal information.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operating results and leading analysts or potential investors to lower their expectations of our performance, which could reduce the trading price of our stock.</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97" w:lineRule="exact"/>
        <w:rPr>
          <w:sz w:val="20"/>
          <w:szCs w:val="20"/>
          <w:color w:val="auto"/>
        </w:rPr>
      </w:pPr>
    </w:p>
    <w:p>
      <w:pPr>
        <w:ind w:right="220" w:firstLine="648"/>
        <w:spacing w:after="0" w:line="270"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8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including cybersecurity resources, to monitor and protect these rights. Our intellectual property could be wrongfully acquired as a result of a cyberattack or other wrongful conduct by employees or third parties.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7"/>
          <w:szCs w:val="17"/>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modules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could be costly and time-consuming and divert the attention of our management and key personnel from our business operations.</w:t>
      </w:r>
    </w:p>
    <w:p>
      <w:pPr>
        <w:spacing w:after="0" w:line="17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and solutions may expose us to additional risks and harm our intellectual property rights.</w:t>
      </w:r>
    </w:p>
    <w:p>
      <w:pPr>
        <w:spacing w:after="0" w:line="17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third-party software used in our products is not adequately maintained or updated, our business could be materially adversely affected.</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products utilize certain software of third-party software developers.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 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modules, and could have a negative impact on our business.</w:t>
      </w:r>
    </w:p>
    <w:p>
      <w:pPr>
        <w:spacing w:after="0" w:line="17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modules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167"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color w:val="auto"/>
        </w:rPr>
        <w:t>In addition, the use of the Internet as a business tool could be adversely affected due to delays in the development or adoption of new standards and protocols to handle increased demands of Internet activity, security,</w:t>
      </w: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modules could suffer.</w:t>
      </w:r>
    </w:p>
    <w:p>
      <w:pPr>
        <w:spacing w:after="0" w:line="171"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Furthermore, the availability or performance of our modules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modules or otherwise experiences service outages, such failure could interrupt our clients’ access to our solutions, adversely affect their perception of our modules’ reliability and reduce our revenues. In addition to potential liability, if we experience interruptions in the availability of our modules, our reputation could be adversely affected and we could lose clients.</w:t>
      </w:r>
    </w:p>
    <w:p>
      <w:pPr>
        <w:spacing w:after="0" w:line="17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Changes in regulatory laws or requirements applicable to our software and services could impose increased costs on us, delay or prevent our introduction of new products and services, and impair the function or value of our existing products and services.</w:t>
      </w:r>
    </w:p>
    <w:p>
      <w:pPr>
        <w:spacing w:after="0" w:line="19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 For example, the adoption of new money transmitter or money services business statutes in jurisdictions or changes in regulators’ interpretation of existing state and federal money transmitter or money services business statutes or regulations, could subject us to registration or licensing or limit business activities until we are appropriately licensed. These occurrences could also require changes to the manner in which we conduct some aspects of our business or invest client funds, which could adversely impact interest income from investing client funds. Should any state or federal regulators make a determination that we have operated as an unlicensed money services business or money transmitter, we could be subject to civil and criminal fines, penalties, costs, legal fees, reputational damage or other negative consequences. In addition, if the Affordable Care Act, or ACA, is repealed or modified in whole or in part, or if implementation of certain aspects of the ACA is delayed, such repeal, modification or delay could adversely impact the revenue we currently generate from our ACA Compliance solution as well as overall gross margins. Any of these regulatory implementations or changes could have an adverse effect on our business, operating results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225" w:lineRule="exact"/>
        <w:rPr>
          <w:sz w:val="20"/>
          <w:szCs w:val="20"/>
          <w:color w:val="auto"/>
        </w:rPr>
      </w:pPr>
    </w:p>
    <w:p>
      <w:pPr>
        <w:jc w:val="both"/>
        <w:ind w:right="300" w:firstLine="648"/>
        <w:spacing w:after="0" w:line="288" w:lineRule="auto"/>
        <w:rPr>
          <w:sz w:val="20"/>
          <w:szCs w:val="20"/>
          <w:color w:val="auto"/>
        </w:rPr>
      </w:pPr>
      <w:r>
        <w:rPr>
          <w:rFonts w:ascii="Arial" w:cs="Arial" w:eastAsia="Arial" w:hAnsi="Arial"/>
          <w:sz w:val="16"/>
          <w:szCs w:val="16"/>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w:t>
      </w:r>
    </w:p>
    <w:p>
      <w:pPr>
        <w:ind w:right="260"/>
        <w:spacing w:after="0" w:line="261" w:lineRule="auto"/>
        <w:rPr>
          <w:sz w:val="20"/>
          <w:szCs w:val="20"/>
          <w:color w:val="auto"/>
        </w:rPr>
      </w:pPr>
      <w:r>
        <w:rPr>
          <w:rFonts w:ascii="Arial" w:cs="Arial" w:eastAsia="Arial" w:hAnsi="Arial"/>
          <w:sz w:val="18"/>
          <w:szCs w:val="18"/>
          <w:color w:val="auto"/>
        </w:rPr>
        <w:t>Accordingly, we might need to engage in equity or debt financings to secure additional funds. In addition, we will need to expand our ACH capacity as we grow our business.</w:t>
      </w:r>
    </w:p>
    <w:p>
      <w:pPr>
        <w:spacing w:after="0" w:line="1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9"/>
        <w:spacing w:after="0" w:line="277" w:lineRule="auto"/>
        <w:rPr>
          <w:sz w:val="20"/>
          <w:szCs w:val="20"/>
          <w:color w:val="auto"/>
        </w:rPr>
      </w:pPr>
      <w:r>
        <w:rPr>
          <w:rFonts w:ascii="Arial" w:cs="Arial" w:eastAsia="Arial" w:hAnsi="Arial"/>
          <w:sz w:val="18"/>
          <w:szCs w:val="18"/>
          <w:b w:val="1"/>
          <w:bCs w:val="1"/>
          <w:i w:val="1"/>
          <w:iCs w:val="1"/>
          <w:color w:val="auto"/>
        </w:rPr>
        <w:t>Our services present the potential for embezzlement, identity theft, or other similar illegal behavior by our associates with respect to third parties.</w:t>
      </w:r>
    </w:p>
    <w:p>
      <w:pPr>
        <w:spacing w:after="0" w:line="170" w:lineRule="exact"/>
        <w:rPr>
          <w:sz w:val="20"/>
          <w:szCs w:val="20"/>
          <w:color w:val="auto"/>
        </w:rPr>
      </w:pPr>
    </w:p>
    <w:p>
      <w:pPr>
        <w:ind w:right="119" w:firstLine="648"/>
        <w:spacing w:after="0" w:line="272" w:lineRule="auto"/>
        <w:rPr>
          <w:sz w:val="20"/>
          <w:szCs w:val="20"/>
          <w:color w:val="auto"/>
        </w:rPr>
      </w:pPr>
      <w:r>
        <w:rPr>
          <w:rFonts w:ascii="Arial" w:cs="Arial" w:eastAsia="Arial" w:hAnsi="Arial"/>
          <w:sz w:val="17"/>
          <w:szCs w:val="17"/>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78" w:lineRule="exact"/>
        <w:rPr>
          <w:sz w:val="20"/>
          <w:szCs w:val="20"/>
          <w:color w:val="auto"/>
        </w:rPr>
      </w:pPr>
    </w:p>
    <w:p>
      <w:pPr>
        <w:ind w:right="299"/>
        <w:spacing w:after="0" w:line="277" w:lineRule="auto"/>
        <w:rPr>
          <w:sz w:val="20"/>
          <w:szCs w:val="20"/>
          <w:color w:val="auto"/>
        </w:rPr>
      </w:pPr>
      <w:r>
        <w:rPr>
          <w:rFonts w:ascii="Arial" w:cs="Arial" w:eastAsia="Arial" w:hAnsi="Arial"/>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70" w:lineRule="exact"/>
        <w:rPr>
          <w:sz w:val="20"/>
          <w:szCs w:val="20"/>
          <w:color w:val="auto"/>
        </w:rPr>
      </w:pPr>
    </w:p>
    <w:p>
      <w:pPr>
        <w:ind w:right="119" w:firstLine="648"/>
        <w:spacing w:after="0" w:line="272" w:lineRule="auto"/>
        <w:rPr>
          <w:sz w:val="20"/>
          <w:szCs w:val="20"/>
          <w:color w:val="auto"/>
        </w:rPr>
      </w:pPr>
      <w:r>
        <w:rPr>
          <w:rFonts w:ascii="Arial" w:cs="Arial" w:eastAsia="Arial" w:hAnsi="Arial"/>
          <w:sz w:val="17"/>
          <w:szCs w:val="17"/>
          <w:color w:val="auto"/>
        </w:rPr>
        <w:t>We rely on third-party couriers such as the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178" w:lineRule="exact"/>
        <w:rPr>
          <w:sz w:val="20"/>
          <w:szCs w:val="20"/>
          <w:color w:val="auto"/>
        </w:rPr>
      </w:pPr>
    </w:p>
    <w:p>
      <w:pPr>
        <w:ind w:right="27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ind w:right="19" w:firstLine="648"/>
        <w:spacing w:after="0" w:line="293"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or FASB, the Securities and Exchange Commission, or SEC,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 Our accounting policies that have been or may be affected by changes in accounting principles include, but are not limited to, revenue recognition and accounting for leases.</w:t>
      </w:r>
    </w:p>
    <w:p>
      <w:pPr>
        <w:spacing w:after="0" w:line="165" w:lineRule="exact"/>
        <w:rPr>
          <w:sz w:val="20"/>
          <w:szCs w:val="20"/>
          <w:color w:val="auto"/>
        </w:rPr>
      </w:pPr>
    </w:p>
    <w:p>
      <w:pPr>
        <w:ind w:right="299"/>
        <w:spacing w:after="0" w:line="381" w:lineRule="auto"/>
        <w:rPr>
          <w:sz w:val="20"/>
          <w:szCs w:val="20"/>
          <w:color w:val="auto"/>
        </w:rPr>
      </w:pPr>
      <w:r>
        <w:rPr>
          <w:rFonts w:ascii="Arial" w:cs="Arial" w:eastAsia="Arial" w:hAnsi="Arial"/>
          <w:sz w:val="15"/>
          <w:szCs w:val="15"/>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01" w:lineRule="exact"/>
        <w:rPr>
          <w:sz w:val="20"/>
          <w:szCs w:val="20"/>
          <w:color w:val="auto"/>
        </w:rPr>
      </w:pPr>
    </w:p>
    <w:p>
      <w:pPr>
        <w:ind w:right="59" w:firstLine="648"/>
        <w:spacing w:after="0" w:line="286" w:lineRule="auto"/>
        <w:rPr>
          <w:sz w:val="20"/>
          <w:szCs w:val="20"/>
          <w:color w:val="auto"/>
        </w:rPr>
      </w:pPr>
      <w:r>
        <w:rPr>
          <w:rFonts w:ascii="Arial" w:cs="Arial" w:eastAsia="Arial" w:hAnsi="Arial"/>
          <w:sz w:val="17"/>
          <w:szCs w:val="17"/>
          <w:color w:val="auto"/>
        </w:rPr>
        <w:t>We have acquired and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66" w:lineRule="exact"/>
        <w:rPr>
          <w:sz w:val="20"/>
          <w:szCs w:val="20"/>
          <w:color w:val="auto"/>
        </w:rPr>
      </w:pPr>
    </w:p>
    <w:p>
      <w:pPr>
        <w:jc w:val="both"/>
        <w:ind w:right="99" w:firstLine="648"/>
        <w:spacing w:after="0" w:line="312" w:lineRule="auto"/>
        <w:rPr>
          <w:sz w:val="20"/>
          <w:szCs w:val="20"/>
          <w:color w:val="auto"/>
        </w:rPr>
      </w:pPr>
      <w:r>
        <w:rPr>
          <w:rFonts w:ascii="Arial" w:cs="Arial" w:eastAsia="Arial" w:hAnsi="Arial"/>
          <w:sz w:val="16"/>
          <w:szCs w:val="16"/>
          <w:color w:val="auto"/>
        </w:rPr>
        <w:t>In addition, we have limited experience in acquiring other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47" w:lineRule="exact"/>
        <w:rPr>
          <w:sz w:val="20"/>
          <w:szCs w:val="20"/>
          <w:color w:val="auto"/>
        </w:rPr>
      </w:pPr>
    </w:p>
    <w:p>
      <w:pPr>
        <w:ind w:left="1340" w:hanging="331"/>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25" w:lineRule="exact"/>
        <w:rPr>
          <w:rFonts w:ascii="Arial" w:cs="Arial" w:eastAsia="Arial" w:hAnsi="Arial"/>
          <w:sz w:val="18"/>
          <w:szCs w:val="18"/>
          <w:color w:val="auto"/>
        </w:rPr>
      </w:pPr>
    </w:p>
    <w:p>
      <w:pPr>
        <w:ind w:left="1340" w:hanging="331"/>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1340" w:hanging="331"/>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25" w:lineRule="exact"/>
        <w:rPr>
          <w:rFonts w:ascii="Arial" w:cs="Arial" w:eastAsia="Arial" w:hAnsi="Arial"/>
          <w:sz w:val="18"/>
          <w:szCs w:val="18"/>
          <w:color w:val="auto"/>
        </w:rPr>
      </w:pPr>
    </w:p>
    <w:p>
      <w:pPr>
        <w:ind w:left="1340" w:hanging="331"/>
        <w:spacing w:after="0"/>
        <w:tabs>
          <w:tab w:leader="none" w:pos="1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Difficulty integrating the accounting systems, operations and personnel of the acquired business;</w:t>
      </w:r>
    </w:p>
    <w:p>
      <w:pPr>
        <w:spacing w:after="0" w:line="236" w:lineRule="exact"/>
        <w:rPr>
          <w:rFonts w:ascii="Arial" w:cs="Arial" w:eastAsia="Arial" w:hAnsi="Arial"/>
          <w:sz w:val="17"/>
          <w:szCs w:val="17"/>
          <w:color w:val="auto"/>
        </w:rPr>
      </w:pPr>
    </w:p>
    <w:p>
      <w:pPr>
        <w:ind w:left="1340" w:right="79" w:hanging="331"/>
        <w:spacing w:after="0" w:line="277" w:lineRule="auto"/>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ectPr>
          <w:pgSz w:w="11900" w:h="16838" w:orient="portrait"/>
          <w:cols w:equalWidth="0" w:num="1">
            <w:col w:w="9039"/>
          </w:cols>
          <w:pgMar w:left="1420" w:top="517" w:right="1440" w:bottom="1440" w:gutter="0" w:footer="0" w:header="0"/>
        </w:sectPr>
      </w:pP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179" w:hanging="331"/>
        <w:spacing w:after="0" w:line="342" w:lineRule="auto"/>
        <w:tabs>
          <w:tab w:leader="none" w:pos="1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Difficulty converting the clients of the acquired business onto our modules and contract terms, including disparities in the revenues, licensing, support or professional services model of the acquired company;</w:t>
      </w:r>
    </w:p>
    <w:p>
      <w:pPr>
        <w:spacing w:after="0" w:line="123" w:lineRule="exact"/>
        <w:rPr>
          <w:rFonts w:ascii="Arial" w:cs="Arial" w:eastAsia="Arial" w:hAnsi="Arial"/>
          <w:sz w:val="16"/>
          <w:szCs w:val="16"/>
          <w:color w:val="auto"/>
        </w:rPr>
      </w:pPr>
    </w:p>
    <w:p>
      <w:pPr>
        <w:ind w:left="1340" w:hanging="331"/>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1340" w:right="199" w:hanging="331"/>
        <w:spacing w:after="0" w:line="277"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70" w:lineRule="exact"/>
        <w:rPr>
          <w:rFonts w:ascii="Arial" w:cs="Arial" w:eastAsia="Arial" w:hAnsi="Arial"/>
          <w:sz w:val="18"/>
          <w:szCs w:val="18"/>
          <w:color w:val="auto"/>
        </w:rPr>
      </w:pPr>
    </w:p>
    <w:p>
      <w:pPr>
        <w:ind w:left="1340" w:hanging="331"/>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1340" w:hanging="331"/>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1340" w:hanging="331"/>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559" w:firstLine="648"/>
        <w:spacing w:after="0" w:line="279"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1" w:lineRule="exact"/>
        <w:rPr>
          <w:sz w:val="20"/>
          <w:szCs w:val="20"/>
          <w:color w:val="auto"/>
        </w:rPr>
      </w:pPr>
    </w:p>
    <w:p>
      <w:pPr>
        <w:jc w:val="both"/>
        <w:ind w:right="539" w:firstLine="648"/>
        <w:spacing w:after="0" w:line="264"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299"/>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70" w:lineRule="exact"/>
        <w:rPr>
          <w:sz w:val="20"/>
          <w:szCs w:val="20"/>
          <w:color w:val="auto"/>
        </w:rPr>
      </w:pPr>
    </w:p>
    <w:p>
      <w:pPr>
        <w:ind w:right="19" w:firstLine="648"/>
        <w:spacing w:after="0" w:line="270" w:lineRule="auto"/>
        <w:rPr>
          <w:sz w:val="20"/>
          <w:szCs w:val="20"/>
          <w:color w:val="auto"/>
        </w:rPr>
      </w:pPr>
      <w:r>
        <w:rPr>
          <w:rFonts w:ascii="Arial" w:cs="Arial" w:eastAsia="Arial" w:hAnsi="Arial"/>
          <w:sz w:val="17"/>
          <w:szCs w:val="17"/>
          <w:color w:val="auto"/>
        </w:rPr>
        <w:t>As of January 29, 2020, our directors, executive officers and holders of more than 5% of our common stock, together with their respective affiliates, beneficially owned, in the aggregate, approximately 34.6%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wide fluctuations.</w:t>
      </w:r>
    </w:p>
    <w:p>
      <w:pPr>
        <w:spacing w:after="0" w:line="225" w:lineRule="exact"/>
        <w:rPr>
          <w:sz w:val="20"/>
          <w:szCs w:val="20"/>
          <w:color w:val="auto"/>
        </w:rPr>
      </w:pPr>
    </w:p>
    <w:p>
      <w:pPr>
        <w:ind w:right="59" w:firstLine="648"/>
        <w:spacing w:after="0" w:line="264" w:lineRule="auto"/>
        <w:rPr>
          <w:sz w:val="20"/>
          <w:szCs w:val="20"/>
          <w:color w:val="auto"/>
        </w:rPr>
      </w:pPr>
      <w:r>
        <w:rPr>
          <w:rFonts w:ascii="Arial" w:cs="Arial" w:eastAsia="Arial" w:hAnsi="Arial"/>
          <w:sz w:val="18"/>
          <w:szCs w:val="18"/>
          <w:color w:val="auto"/>
        </w:rPr>
        <w:t>The trading price of our common stock could be subject to wide fluctuations in response to various factors, some of which are beyond our control. These factors include those discussed in this “Risk Factors” section of this Quarterly Report on Form 10-Q and others such as:</w:t>
      </w:r>
    </w:p>
    <w:p>
      <w:pPr>
        <w:spacing w:after="0" w:line="181" w:lineRule="exact"/>
        <w:rPr>
          <w:sz w:val="20"/>
          <w:szCs w:val="20"/>
          <w:color w:val="auto"/>
        </w:rPr>
      </w:pPr>
    </w:p>
    <w:p>
      <w:pPr>
        <w:ind w:left="1340" w:hanging="331"/>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operating performance and the operating performance of similar companies;</w:t>
      </w:r>
    </w:p>
    <w:p>
      <w:pPr>
        <w:spacing w:after="0" w:line="225" w:lineRule="exact"/>
        <w:rPr>
          <w:rFonts w:ascii="Arial" w:cs="Arial" w:eastAsia="Arial" w:hAnsi="Arial"/>
          <w:sz w:val="18"/>
          <w:szCs w:val="18"/>
          <w:color w:val="auto"/>
        </w:rPr>
      </w:pPr>
    </w:p>
    <w:p>
      <w:pPr>
        <w:ind w:left="1340" w:hanging="331"/>
        <w:spacing w:after="0"/>
        <w:tabs>
          <w:tab w:leader="none" w:pos="1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Announcements by us or our competitors of acquisitions, business plans or commercial relationships;</w:t>
      </w:r>
    </w:p>
    <w:p>
      <w:pPr>
        <w:spacing w:after="0" w:line="236" w:lineRule="exact"/>
        <w:rPr>
          <w:rFonts w:ascii="Arial" w:cs="Arial" w:eastAsia="Arial" w:hAnsi="Arial"/>
          <w:sz w:val="17"/>
          <w:szCs w:val="17"/>
          <w:color w:val="auto"/>
        </w:rPr>
      </w:pPr>
    </w:p>
    <w:p>
      <w:pPr>
        <w:ind w:left="1340" w:hanging="331"/>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225" w:lineRule="exact"/>
        <w:rPr>
          <w:rFonts w:ascii="Arial" w:cs="Arial" w:eastAsia="Arial" w:hAnsi="Arial"/>
          <w:sz w:val="18"/>
          <w:szCs w:val="18"/>
          <w:color w:val="auto"/>
        </w:rPr>
      </w:pPr>
    </w:p>
    <w:p>
      <w:pPr>
        <w:ind w:left="1340" w:right="299" w:hanging="331"/>
        <w:spacing w:after="0" w:line="308" w:lineRule="auto"/>
        <w:tabs>
          <w:tab w:leader="none" w:pos="1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Publication of research reports or news stories about us, our competitors, or our industry, or positive or negative recommendations or withdrawal of research coverage by securities analysts;</w:t>
      </w:r>
    </w:p>
    <w:p>
      <w:pPr>
        <w:sectPr>
          <w:pgSz w:w="11900" w:h="16838" w:orient="portrait"/>
          <w:cols w:equalWidth="0" w:num="1">
            <w:col w:w="9039"/>
          </w:cols>
          <w:pgMar w:left="1420" w:top="517" w:right="1440" w:bottom="1440" w:gutter="0" w:footer="0" w:header="0"/>
        </w:sectPr>
      </w:pP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31"/>
        <w:spacing w:after="0"/>
        <w:tabs>
          <w:tab w:leader="none" w:pos="1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public’s reaction to our press releases, our other public announcements and our filings with the SEC;</w:t>
      </w:r>
    </w:p>
    <w:p>
      <w:pPr>
        <w:spacing w:after="0" w:line="248" w:lineRule="exact"/>
        <w:rPr>
          <w:rFonts w:ascii="Arial" w:cs="Arial" w:eastAsia="Arial" w:hAnsi="Arial"/>
          <w:sz w:val="16"/>
          <w:szCs w:val="16"/>
          <w:color w:val="auto"/>
        </w:rPr>
      </w:pPr>
    </w:p>
    <w:p>
      <w:pPr>
        <w:ind w:left="1340" w:hanging="331"/>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our common stock by our directors, executive officers and affiliates;</w:t>
      </w:r>
    </w:p>
    <w:p>
      <w:pPr>
        <w:spacing w:after="0" w:line="225" w:lineRule="exact"/>
        <w:rPr>
          <w:rFonts w:ascii="Arial" w:cs="Arial" w:eastAsia="Arial" w:hAnsi="Arial"/>
          <w:sz w:val="18"/>
          <w:szCs w:val="18"/>
          <w:color w:val="auto"/>
        </w:rPr>
      </w:pPr>
    </w:p>
    <w:p>
      <w:pPr>
        <w:ind w:left="1340" w:hanging="331"/>
        <w:spacing w:after="0"/>
        <w:tabs>
          <w:tab w:leader="none" w:pos="1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Adverse market reaction to any indebtedness we may incur or securities we may issue in the future;</w:t>
      </w:r>
    </w:p>
    <w:p>
      <w:pPr>
        <w:spacing w:after="0" w:line="236" w:lineRule="exact"/>
        <w:rPr>
          <w:rFonts w:ascii="Arial" w:cs="Arial" w:eastAsia="Arial" w:hAnsi="Arial"/>
          <w:sz w:val="17"/>
          <w:szCs w:val="17"/>
          <w:color w:val="auto"/>
        </w:rPr>
      </w:pPr>
    </w:p>
    <w:p>
      <w:pPr>
        <w:ind w:left="1340" w:hanging="331"/>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225" w:lineRule="exact"/>
        <w:rPr>
          <w:rFonts w:ascii="Arial" w:cs="Arial" w:eastAsia="Arial" w:hAnsi="Arial"/>
          <w:sz w:val="18"/>
          <w:szCs w:val="18"/>
          <w:color w:val="auto"/>
        </w:rPr>
      </w:pPr>
    </w:p>
    <w:p>
      <w:pPr>
        <w:ind w:left="1340" w:hanging="331"/>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Threatened or actual litigation;</w:t>
      </w:r>
    </w:p>
    <w:p>
      <w:pPr>
        <w:spacing w:after="0" w:line="225" w:lineRule="exact"/>
        <w:rPr>
          <w:rFonts w:ascii="Arial" w:cs="Arial" w:eastAsia="Arial" w:hAnsi="Arial"/>
          <w:sz w:val="18"/>
          <w:szCs w:val="18"/>
          <w:color w:val="auto"/>
        </w:rPr>
      </w:pPr>
    </w:p>
    <w:p>
      <w:pPr>
        <w:ind w:left="1340" w:right="60" w:hanging="331"/>
        <w:spacing w:after="0" w:line="264"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conditions in the United States and global economies or financial markets (including acts of God, war, incidents of terrorism, or other destabilizing events and the resulting responses to them).</w:t>
      </w:r>
    </w:p>
    <w:p>
      <w:pPr>
        <w:spacing w:after="0" w:line="181" w:lineRule="exact"/>
        <w:rPr>
          <w:sz w:val="20"/>
          <w:szCs w:val="20"/>
          <w:color w:val="auto"/>
        </w:rPr>
      </w:pPr>
    </w:p>
    <w:p>
      <w:pPr>
        <w:ind w:right="420" w:firstLine="648"/>
        <w:spacing w:after="0" w:line="255" w:lineRule="auto"/>
        <w:rPr>
          <w:sz w:val="20"/>
          <w:szCs w:val="20"/>
          <w:color w:val="auto"/>
        </w:rPr>
      </w:pPr>
      <w:r>
        <w:rPr>
          <w:rFonts w:ascii="Arial" w:cs="Arial" w:eastAsia="Arial" w:hAnsi="Arial"/>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not declared or paid dividends on our common stock in the past three fiscal years and do not currently intend to do so for the foreseeable future. We currently intend to invest our future earnings to fund our growth and other corporate initiatives.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shares of our common stock by existing stockholders could depress the market price of our common stock.</w:t>
      </w:r>
    </w:p>
    <w:p>
      <w:pPr>
        <w:spacing w:after="0" w:line="26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of January 29, 2020, we had an aggregate of 53,609,063 outstanding shares of common stock. The 17,362,750 shares sold in our initial public offering, follow-on offering and secondary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15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addition, we have registered 17,853,893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0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For example, we are subject to the reporting requirements of the Securities Exchange Act of 1934, as amended, or the Exchange Act, and are required to comply with the applicable 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 and changes in corporate governance practices. Compliance with these requirements has increased our legal and financial compliance costs and has made some activities more time consuming and costly. In addition, our management and other personnel have been required to divert attention from operational and other business matters to devote substantial time to these public company requirements. In particular, we have incurred and will continue to incur significant expenses as well as devote substantial management effort toward ensuring ongoing compliance with the requirements of Section 404 of the Sarbanes-Oxley Act. Although we have hired additional employees to comply with these requirements, we may need to hire additional accounting and financial staff with appropriate public company experience and technical accounting knowledge to comply with any regulatory changes.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management or control over us that stockholders may consider favorable. Our amended and restated certificate of incorporation and bylaws:</w:t>
      </w:r>
    </w:p>
    <w:p>
      <w:pPr>
        <w:spacing w:after="0" w:line="35" w:lineRule="exact"/>
        <w:rPr>
          <w:sz w:val="20"/>
          <w:szCs w:val="20"/>
          <w:color w:val="auto"/>
        </w:rPr>
      </w:pPr>
    </w:p>
    <w:p>
      <w:pPr>
        <w:ind w:left="1340" w:right="220" w:hanging="331"/>
        <w:spacing w:after="0" w:line="277"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Authorize the issuance of “blank check” convertible preferred stock that could be issued by our board of directors to thwart a takeover attempt;</w:t>
      </w:r>
    </w:p>
    <w:p>
      <w:pPr>
        <w:spacing w:after="0" w:line="35" w:lineRule="exact"/>
        <w:rPr>
          <w:rFonts w:ascii="Arial" w:cs="Arial" w:eastAsia="Arial" w:hAnsi="Arial"/>
          <w:sz w:val="18"/>
          <w:szCs w:val="18"/>
          <w:color w:val="auto"/>
        </w:rPr>
      </w:pPr>
    </w:p>
    <w:p>
      <w:pPr>
        <w:ind w:left="1340" w:right="260" w:hanging="331"/>
        <w:spacing w:after="0" w:line="264"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46" w:lineRule="exact"/>
        <w:rPr>
          <w:rFonts w:ascii="Arial" w:cs="Arial" w:eastAsia="Arial" w:hAnsi="Arial"/>
          <w:sz w:val="18"/>
          <w:szCs w:val="18"/>
          <w:color w:val="auto"/>
        </w:rPr>
      </w:pPr>
    </w:p>
    <w:p>
      <w:pPr>
        <w:ind w:left="1340" w:right="220" w:hanging="331"/>
        <w:spacing w:after="0" w:line="277"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supermajority stockholder vote;</w:t>
      </w:r>
    </w:p>
    <w:p>
      <w:pPr>
        <w:spacing w:after="0" w:line="35" w:lineRule="exact"/>
        <w:rPr>
          <w:rFonts w:ascii="Arial" w:cs="Arial" w:eastAsia="Arial" w:hAnsi="Arial"/>
          <w:sz w:val="18"/>
          <w:szCs w:val="18"/>
          <w:color w:val="auto"/>
        </w:rPr>
      </w:pPr>
    </w:p>
    <w:p>
      <w:pPr>
        <w:ind w:left="1340" w:right="80" w:hanging="331"/>
        <w:spacing w:after="0" w:line="277"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 rather than by stockholders;</w:t>
      </w:r>
    </w:p>
    <w:p>
      <w:pPr>
        <w:spacing w:after="0" w:line="35" w:lineRule="exact"/>
        <w:rPr>
          <w:rFonts w:ascii="Arial" w:cs="Arial" w:eastAsia="Arial" w:hAnsi="Arial"/>
          <w:sz w:val="18"/>
          <w:szCs w:val="18"/>
          <w:color w:val="auto"/>
        </w:rPr>
      </w:pPr>
    </w:p>
    <w:p>
      <w:pPr>
        <w:ind w:left="1340" w:hanging="331"/>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and</w:t>
      </w:r>
    </w:p>
    <w:p>
      <w:pPr>
        <w:spacing w:after="0" w:line="90" w:lineRule="exact"/>
        <w:rPr>
          <w:rFonts w:ascii="Arial" w:cs="Arial" w:eastAsia="Arial" w:hAnsi="Arial"/>
          <w:sz w:val="18"/>
          <w:szCs w:val="18"/>
          <w:color w:val="auto"/>
        </w:rPr>
      </w:pPr>
    </w:p>
    <w:p>
      <w:pPr>
        <w:ind w:left="1340" w:right="660" w:hanging="331"/>
        <w:spacing w:after="0" w:line="277"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4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On February 2, 2016, we amended our bylaws to designate the state and federal courts located within the state of Delaware as the sole and exclusive forums for claims arising derivatively, pursuant to the Delaware General Corporation Law or 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bylaws provision, therefore, may dissuade or discourage claimants from initiating lawsuits or claims against us or our directors and officers in forums other than Delaware.</w:t>
      </w:r>
    </w:p>
    <w:p>
      <w:pPr>
        <w:spacing w:after="0" w:line="17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Use of Proceeds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93"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On September 30, 2015, we completed a secondary offering of 4,301,000 shares of common stock at a price of $29.75 per share, before underwriting discounts and commissions. The offer and sale of all of the shares in the secondary</w:t>
      </w: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59"/>
        <w:spacing w:after="0" w:line="264" w:lineRule="auto"/>
        <w:rPr>
          <w:sz w:val="20"/>
          <w:szCs w:val="20"/>
          <w:color w:val="auto"/>
        </w:rPr>
      </w:pPr>
      <w:r>
        <w:rPr>
          <w:rFonts w:ascii="Arial" w:cs="Arial" w:eastAsia="Arial" w:hAnsi="Arial"/>
          <w:sz w:val="18"/>
          <w:szCs w:val="18"/>
          <w:color w:val="auto"/>
        </w:rPr>
        <w:t>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information required by this Item is set forth in the Index to Exhibits immediately following this page.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40" w:type="dxa"/>
            <w:vAlign w:val="bottom"/>
            <w:gridSpan w:val="9"/>
          </w:tcPr>
          <w:p>
            <w:pPr>
              <w:ind w:left="20"/>
              <w:spacing w:after="0"/>
              <w:rPr>
                <w:sz w:val="20"/>
                <w:szCs w:val="20"/>
                <w:color w:val="auto"/>
              </w:rPr>
            </w:pPr>
            <w:r>
              <w:rPr>
                <w:rFonts w:ascii="Arial" w:cs="Arial" w:eastAsia="Arial" w:hAnsi="Arial"/>
                <w:sz w:val="18"/>
                <w:szCs w:val="18"/>
                <w:b w:val="1"/>
                <w:bCs w:val="1"/>
                <w:color w:val="auto"/>
              </w:rPr>
              <w:t>INDEX TO EXHIBITS</w:t>
            </w:r>
          </w:p>
        </w:tc>
      </w:tr>
      <w:tr>
        <w:trPr>
          <w:trHeight w:val="413"/>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 Nos.</w:t>
            </w: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9"/>
          </w:tcPr>
          <w:p>
            <w:pPr>
              <w:ind w:left="1140"/>
              <w:spacing w:after="0"/>
              <w:rPr>
                <w:sz w:val="20"/>
                <w:szCs w:val="20"/>
                <w:color w:val="auto"/>
              </w:rPr>
            </w:pPr>
            <w:r>
              <w:rPr>
                <w:rFonts w:ascii="Arial" w:cs="Arial" w:eastAsia="Arial" w:hAnsi="Arial"/>
                <w:sz w:val="14"/>
                <w:szCs w:val="14"/>
                <w:b w:val="1"/>
                <w:bCs w:val="1"/>
                <w:color w:val="auto"/>
              </w:rPr>
              <w:t>Description</w:t>
            </w:r>
          </w:p>
        </w:tc>
      </w:tr>
      <w:tr>
        <w:trPr>
          <w:trHeight w:val="432"/>
        </w:trPr>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7880" w:type="dxa"/>
            <w:vAlign w:val="bottom"/>
            <w:tcBorders>
              <w:top w:val="single" w:sz="8" w:color="auto"/>
            </w:tcBorders>
            <w:gridSpan w:val="11"/>
          </w:tcPr>
          <w:p>
            <w:pPr>
              <w:spacing w:after="0"/>
              <w:rPr>
                <w:rFonts w:ascii="Arial" w:cs="Arial" w:eastAsia="Arial" w:hAnsi="Arial"/>
                <w:sz w:val="18"/>
                <w:szCs w:val="18"/>
                <w:color w:val="0000EE"/>
              </w:rPr>
            </w:pPr>
            <w:hyperlink r:id="rId67">
              <w:r>
                <w:rPr>
                  <w:rFonts w:ascii="Arial" w:cs="Arial" w:eastAsia="Arial" w:hAnsi="Arial"/>
                  <w:sz w:val="18"/>
                  <w:szCs w:val="18"/>
                  <w:color w:val="0000EE"/>
                </w:rPr>
                <w:t>First Amended and Restated Certificate of Incorporation (filed as Exhibit 3.2 of Paylocity Holding</w:t>
              </w:r>
            </w:hyperlink>
          </w:p>
        </w:tc>
      </w:tr>
      <w:tr>
        <w:trPr>
          <w:trHeight w:val="223"/>
        </w:trPr>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100" w:type="dxa"/>
            <w:vAlign w:val="bottom"/>
            <w:tcBorders>
              <w:top w:val="single" w:sz="8" w:color="0000EE"/>
            </w:tcBorders>
            <w:gridSpan w:val="5"/>
          </w:tcPr>
          <w:p>
            <w:pPr>
              <w:spacing w:after="0"/>
              <w:rPr>
                <w:rFonts w:ascii="Arial" w:cs="Arial" w:eastAsia="Arial" w:hAnsi="Arial"/>
                <w:sz w:val="18"/>
                <w:szCs w:val="18"/>
                <w:color w:val="0000EE"/>
              </w:rPr>
            </w:pPr>
            <w:hyperlink r:id="rId67">
              <w:r>
                <w:rPr>
                  <w:rFonts w:ascii="Arial" w:cs="Arial" w:eastAsia="Arial" w:hAnsi="Arial"/>
                  <w:sz w:val="18"/>
                  <w:szCs w:val="18"/>
                  <w:color w:val="0000EE"/>
                </w:rPr>
                <w:t>Corporation’s Form S-1 Registration Statement (Registration No. 333-193661)).</w:t>
              </w:r>
            </w:hyperlink>
          </w:p>
        </w:tc>
        <w:tc>
          <w:tcPr>
            <w:tcW w:w="780" w:type="dxa"/>
            <w:vAlign w:val="bottom"/>
            <w:gridSpan w:val="6"/>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6"/>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7760" w:type="dxa"/>
            <w:vAlign w:val="bottom"/>
            <w:tcBorders>
              <w:bottom w:val="single" w:sz="8" w:color="0000EE"/>
            </w:tcBorders>
            <w:gridSpan w:val="10"/>
          </w:tcPr>
          <w:p>
            <w:pPr>
              <w:spacing w:after="0"/>
              <w:rPr>
                <w:rFonts w:ascii="Arial" w:cs="Arial" w:eastAsia="Arial" w:hAnsi="Arial"/>
                <w:sz w:val="18"/>
                <w:szCs w:val="18"/>
                <w:color w:val="0000EE"/>
                <w:w w:val="92"/>
              </w:rPr>
            </w:pPr>
            <w:hyperlink r:id="rId68">
              <w:r>
                <w:rPr>
                  <w:rFonts w:ascii="Arial" w:cs="Arial" w:eastAsia="Arial" w:hAnsi="Arial"/>
                  <w:sz w:val="18"/>
                  <w:szCs w:val="18"/>
                  <w:color w:val="0000EE"/>
                  <w:w w:val="92"/>
                </w:rPr>
                <w:t>Amended and Restated Bylaws of Paylocity Holding Corporation (filed as Exhibit 3.2 of Paylocity Holding</w:t>
              </w:r>
            </w:hyperlink>
          </w:p>
        </w:tc>
        <w:tc>
          <w:tcPr>
            <w:tcW w:w="120" w:type="dxa"/>
            <w:vAlign w:val="bottom"/>
          </w:tcPr>
          <w:p>
            <w:pPr>
              <w:spacing w:after="0"/>
              <w:rPr>
                <w:sz w:val="24"/>
                <w:szCs w:val="24"/>
                <w:color w:val="auto"/>
              </w:rPr>
            </w:pPr>
          </w:p>
        </w:tc>
      </w:tr>
      <w:tr>
        <w:trPr>
          <w:trHeight w:val="223"/>
        </w:trPr>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80" w:type="dxa"/>
            <w:vAlign w:val="bottom"/>
            <w:gridSpan w:val="11"/>
          </w:tcPr>
          <w:p>
            <w:pPr>
              <w:spacing w:after="0"/>
              <w:rPr>
                <w:rFonts w:ascii="Arial" w:cs="Arial" w:eastAsia="Arial" w:hAnsi="Arial"/>
                <w:sz w:val="18"/>
                <w:szCs w:val="18"/>
                <w:color w:val="0000EE"/>
                <w:w w:val="99"/>
              </w:rPr>
            </w:pPr>
            <w:hyperlink r:id="rId68">
              <w:r>
                <w:rPr>
                  <w:rFonts w:ascii="Arial" w:cs="Arial" w:eastAsia="Arial" w:hAnsi="Arial"/>
                  <w:sz w:val="18"/>
                  <w:szCs w:val="18"/>
                  <w:color w:val="0000EE"/>
                  <w:w w:val="99"/>
                </w:rPr>
                <w:t>Corporation’s Annual Report on Form 10-K for the year ended June 30, 2017 (File No. 001-36348)).</w:t>
              </w:r>
            </w:hyperlink>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466"/>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7880" w:type="dxa"/>
            <w:vAlign w:val="bottom"/>
            <w:gridSpan w:val="11"/>
          </w:tcPr>
          <w:p>
            <w:pPr>
              <w:spacing w:after="0"/>
              <w:rPr>
                <w:rFonts w:ascii="Arial" w:cs="Arial" w:eastAsia="Arial" w:hAnsi="Arial"/>
                <w:sz w:val="18"/>
                <w:szCs w:val="18"/>
                <w:color w:val="0000EE"/>
                <w:w w:val="95"/>
              </w:rPr>
            </w:pPr>
            <w:hyperlink w:anchor="page60">
              <w:r>
                <w:rPr>
                  <w:rFonts w:ascii="Arial" w:cs="Arial" w:eastAsia="Arial" w:hAnsi="Arial"/>
                  <w:sz w:val="18"/>
                  <w:szCs w:val="18"/>
                  <w:color w:val="0000EE"/>
                  <w:w w:val="95"/>
                </w:rPr>
                <w:t>Certification of Chief Executive Officer pursuant to Securities Exchange Act Rules 13a-4 and 15d-14 as</w:t>
              </w:r>
            </w:hyperlink>
          </w:p>
        </w:tc>
      </w:tr>
      <w:tr>
        <w:trPr>
          <w:trHeight w:val="223"/>
        </w:trPr>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00" w:type="dxa"/>
            <w:vAlign w:val="bottom"/>
            <w:tcBorders>
              <w:top w:val="single" w:sz="8" w:color="0000EE"/>
            </w:tcBorders>
            <w:gridSpan w:val="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adopted pursuant to Section 302 of the Sarbanes-Oxley Act of 2002.</w:t>
              </w:r>
            </w:hyperlink>
          </w:p>
        </w:tc>
        <w:tc>
          <w:tcPr>
            <w:tcW w:w="380" w:type="dxa"/>
            <w:vAlign w:val="bottom"/>
            <w:gridSpan w:val="2"/>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466"/>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74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Certification of Chief Financial Officer pursuant to Securities Exchange Act Rules 13a-4 and 15d-14 as</w:t>
              </w:r>
            </w:hyperlink>
          </w:p>
        </w:tc>
        <w:tc>
          <w:tcPr>
            <w:tcW w:w="420" w:type="dxa"/>
            <w:vAlign w:val="bottom"/>
            <w:gridSpan w:val="4"/>
          </w:tcPr>
          <w:p>
            <w:pPr>
              <w:spacing w:after="0"/>
              <w:rPr>
                <w:sz w:val="24"/>
                <w:szCs w:val="24"/>
                <w:color w:val="auto"/>
              </w:rPr>
            </w:pPr>
          </w:p>
        </w:tc>
      </w:tr>
      <w:tr>
        <w:trPr>
          <w:trHeight w:val="223"/>
        </w:trPr>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80" w:type="dxa"/>
            <w:vAlign w:val="bottom"/>
            <w:gridSpan w:val="11"/>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adopted pursuant to Section 302 of the Sarbanes-Oxley Act of 2002.</w:t>
              </w:r>
            </w:hyperlink>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466"/>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7880" w:type="dxa"/>
            <w:vAlign w:val="bottom"/>
            <w:gridSpan w:val="11"/>
          </w:tcPr>
          <w:p>
            <w:pPr>
              <w:spacing w:after="0"/>
              <w:rPr>
                <w:rFonts w:ascii="Arial" w:cs="Arial" w:eastAsia="Arial" w:hAnsi="Arial"/>
                <w:sz w:val="18"/>
                <w:szCs w:val="18"/>
                <w:color w:val="0000EE"/>
                <w:w w:val="95"/>
              </w:rPr>
            </w:pPr>
            <w:hyperlink w:anchor="page62">
              <w:r>
                <w:rPr>
                  <w:rFonts w:ascii="Arial" w:cs="Arial" w:eastAsia="Arial" w:hAnsi="Arial"/>
                  <w:sz w:val="18"/>
                  <w:szCs w:val="18"/>
                  <w:color w:val="0000EE"/>
                  <w:w w:val="95"/>
                </w:rPr>
                <w:t>Certification pursuant to 18 U.S.C. 1350, adopted pursuant to Section 906 of the Sarbanes-Oxley Act of</w:t>
              </w:r>
            </w:hyperlink>
          </w:p>
        </w:tc>
      </w:tr>
      <w:tr>
        <w:trPr>
          <w:trHeight w:val="223"/>
        </w:trPr>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2002, by Chief Executive Officer.</w:t>
              </w:r>
            </w:hyperlink>
          </w:p>
        </w:tc>
        <w:tc>
          <w:tcPr>
            <w:tcW w:w="5040" w:type="dxa"/>
            <w:vAlign w:val="bottom"/>
            <w:tcBorders>
              <w:top w:val="single" w:sz="8" w:color="0000EE"/>
            </w:tcBorders>
            <w:gridSpan w:val="6"/>
          </w:tcPr>
          <w:p>
            <w:pPr>
              <w:spacing w:after="0"/>
              <w:rPr>
                <w:sz w:val="19"/>
                <w:szCs w:val="19"/>
                <w:color w:val="auto"/>
              </w:rPr>
            </w:pPr>
          </w:p>
        </w:tc>
        <w:tc>
          <w:tcPr>
            <w:tcW w:w="400" w:type="dxa"/>
            <w:vAlign w:val="bottom"/>
            <w:gridSpan w:val="3"/>
          </w:tcPr>
          <w:p>
            <w:pPr>
              <w:spacing w:after="0"/>
              <w:rPr>
                <w:sz w:val="19"/>
                <w:szCs w:val="19"/>
                <w:color w:val="auto"/>
              </w:rPr>
            </w:pPr>
          </w:p>
        </w:tc>
      </w:tr>
      <w:tr>
        <w:trPr>
          <w:trHeight w:val="466"/>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7880" w:type="dxa"/>
            <w:vAlign w:val="bottom"/>
            <w:gridSpan w:val="11"/>
          </w:tcPr>
          <w:p>
            <w:pPr>
              <w:spacing w:after="0"/>
              <w:rPr>
                <w:rFonts w:ascii="Arial" w:cs="Arial" w:eastAsia="Arial" w:hAnsi="Arial"/>
                <w:sz w:val="18"/>
                <w:szCs w:val="18"/>
                <w:color w:val="0000EE"/>
                <w:w w:val="95"/>
              </w:rPr>
            </w:pPr>
            <w:hyperlink w:anchor="page63">
              <w:r>
                <w:rPr>
                  <w:rFonts w:ascii="Arial" w:cs="Arial" w:eastAsia="Arial" w:hAnsi="Arial"/>
                  <w:sz w:val="18"/>
                  <w:szCs w:val="18"/>
                  <w:color w:val="0000EE"/>
                  <w:w w:val="95"/>
                </w:rPr>
                <w:t>Certification pursuant to 18 U.S.C. 1350, adopted pursuant to Section 906 of the Sarbanes-Oxley Act of</w:t>
              </w:r>
            </w:hyperlink>
          </w:p>
        </w:tc>
      </w:tr>
      <w:tr>
        <w:trPr>
          <w:trHeight w:val="223"/>
        </w:trPr>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2002, by Chief Financial Officer.</w:t>
              </w:r>
            </w:hyperlink>
          </w:p>
        </w:tc>
        <w:tc>
          <w:tcPr>
            <w:tcW w:w="5080" w:type="dxa"/>
            <w:vAlign w:val="bottom"/>
            <w:tcBorders>
              <w:top w:val="single" w:sz="8" w:color="0000EE"/>
            </w:tcBorders>
            <w:gridSpan w:val="7"/>
          </w:tcPr>
          <w:p>
            <w:pPr>
              <w:spacing w:after="0"/>
              <w:rPr>
                <w:sz w:val="19"/>
                <w:szCs w:val="19"/>
                <w:color w:val="auto"/>
              </w:rPr>
            </w:pPr>
          </w:p>
        </w:tc>
        <w:tc>
          <w:tcPr>
            <w:tcW w:w="400" w:type="dxa"/>
            <w:vAlign w:val="bottom"/>
            <w:gridSpan w:val="3"/>
          </w:tcPr>
          <w:p>
            <w:pPr>
              <w:spacing w:after="0"/>
              <w:rPr>
                <w:sz w:val="19"/>
                <w:szCs w:val="19"/>
                <w:color w:val="auto"/>
              </w:rPr>
            </w:pPr>
          </w:p>
        </w:tc>
      </w:tr>
      <w:tr>
        <w:trPr>
          <w:trHeight w:val="507"/>
        </w:trPr>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880" w:type="dxa"/>
            <w:vAlign w:val="bottom"/>
            <w:gridSpan w:val="11"/>
          </w:tcPr>
          <w:p>
            <w:pPr>
              <w:spacing w:after="0"/>
              <w:rPr>
                <w:sz w:val="20"/>
                <w:szCs w:val="20"/>
                <w:color w:val="auto"/>
              </w:rPr>
            </w:pPr>
            <w:r>
              <w:rPr>
                <w:rFonts w:ascii="Arial" w:cs="Arial" w:eastAsia="Arial" w:hAnsi="Arial"/>
                <w:sz w:val="18"/>
                <w:szCs w:val="18"/>
                <w:color w:val="auto"/>
                <w:w w:val="93"/>
              </w:rPr>
              <w:t>XBRL Instance Document (the instance document does not appear in the Interactive Data File because its</w:t>
            </w:r>
          </w:p>
        </w:tc>
      </w:tr>
      <w:tr>
        <w:trPr>
          <w:trHeight w:val="243"/>
        </w:trPr>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80" w:type="dxa"/>
            <w:vAlign w:val="bottom"/>
            <w:gridSpan w:val="11"/>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486"/>
        </w:trPr>
        <w:tc>
          <w:tcPr>
            <w:tcW w:w="11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88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1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88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86"/>
        </w:trPr>
        <w:tc>
          <w:tcPr>
            <w:tcW w:w="11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88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86"/>
        </w:trPr>
        <w:tc>
          <w:tcPr>
            <w:tcW w:w="1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88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11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88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86"/>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7880" w:type="dxa"/>
            <w:vAlign w:val="bottom"/>
            <w:gridSpan w:val="11"/>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14408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95"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280" w:hanging="271"/>
        <w:spacing w:after="0"/>
        <w:tabs>
          <w:tab w:leader="none" w:pos="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840" w:type="dxa"/>
            <w:vAlign w:val="bottom"/>
            <w:gridSpan w:val="3"/>
          </w:tcPr>
          <w:p>
            <w:pPr>
              <w:ind w:left="2140"/>
              <w:spacing w:after="0"/>
              <w:rPr>
                <w:sz w:val="20"/>
                <w:szCs w:val="20"/>
                <w:color w:val="auto"/>
              </w:rPr>
            </w:pPr>
            <w:r>
              <w:rPr>
                <w:rFonts w:ascii="Arial" w:cs="Arial" w:eastAsia="Arial" w:hAnsi="Arial"/>
                <w:sz w:val="18"/>
                <w:szCs w:val="18"/>
                <w:color w:val="auto"/>
              </w:rPr>
              <w:t>PAYLOCITY HOLDING CORPORATION</w:t>
            </w:r>
          </w:p>
        </w:tc>
      </w:tr>
      <w:tr>
        <w:trPr>
          <w:trHeight w:val="439"/>
        </w:trPr>
        <w:tc>
          <w:tcPr>
            <w:tcW w:w="660" w:type="dxa"/>
            <w:vAlign w:val="bottom"/>
          </w:tcPr>
          <w:p>
            <w:pPr>
              <w:ind w:left="120"/>
              <w:spacing w:after="0"/>
              <w:rPr>
                <w:sz w:val="20"/>
                <w:szCs w:val="20"/>
                <w:color w:val="auto"/>
              </w:rPr>
            </w:pPr>
            <w:r>
              <w:rPr>
                <w:rFonts w:ascii="Arial" w:cs="Arial" w:eastAsia="Arial" w:hAnsi="Arial"/>
                <w:sz w:val="18"/>
                <w:szCs w:val="18"/>
                <w:color w:val="auto"/>
              </w:rPr>
              <w:t>Date:</w:t>
            </w:r>
          </w:p>
        </w:tc>
        <w:tc>
          <w:tcPr>
            <w:tcW w:w="2580" w:type="dxa"/>
            <w:vAlign w:val="bottom"/>
          </w:tcPr>
          <w:p>
            <w:pPr>
              <w:ind w:left="160"/>
              <w:spacing w:after="0"/>
              <w:rPr>
                <w:sz w:val="20"/>
                <w:szCs w:val="20"/>
                <w:color w:val="auto"/>
              </w:rPr>
            </w:pPr>
            <w:r>
              <w:rPr>
                <w:rFonts w:ascii="Arial" w:cs="Arial" w:eastAsia="Arial" w:hAnsi="Arial"/>
                <w:sz w:val="18"/>
                <w:szCs w:val="18"/>
                <w:color w:val="auto"/>
              </w:rPr>
              <w:t>February 5, 2020</w:t>
            </w:r>
          </w:p>
        </w:tc>
        <w:tc>
          <w:tcPr>
            <w:tcW w:w="2740" w:type="dxa"/>
            <w:vAlign w:val="bottom"/>
          </w:tcPr>
          <w:p>
            <w:pPr>
              <w:ind w:left="2140"/>
              <w:spacing w:after="0"/>
              <w:rPr>
                <w:sz w:val="20"/>
                <w:szCs w:val="20"/>
                <w:color w:val="auto"/>
              </w:rPr>
            </w:pPr>
            <w:r>
              <w:rPr>
                <w:rFonts w:ascii="Arial" w:cs="Arial" w:eastAsia="Arial" w:hAnsi="Arial"/>
                <w:sz w:val="18"/>
                <w:szCs w:val="18"/>
                <w:color w:val="auto"/>
              </w:rPr>
              <w:t>By:</w:t>
            </w:r>
          </w:p>
        </w:tc>
        <w:tc>
          <w:tcPr>
            <w:tcW w:w="31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 Steven R. Beauchamp</w:t>
            </w:r>
          </w:p>
        </w:tc>
      </w:tr>
      <w:tr>
        <w:trPr>
          <w:trHeight w:val="198"/>
        </w:trPr>
        <w:tc>
          <w:tcPr>
            <w:tcW w:w="6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740" w:type="dxa"/>
            <w:vAlign w:val="bottom"/>
          </w:tcPr>
          <w:p>
            <w:pPr>
              <w:ind w:left="2140"/>
              <w:spacing w:after="0" w:line="198" w:lineRule="exact"/>
              <w:rPr>
                <w:sz w:val="20"/>
                <w:szCs w:val="20"/>
                <w:color w:val="auto"/>
              </w:rPr>
            </w:pPr>
            <w:r>
              <w:rPr>
                <w:rFonts w:ascii="Arial" w:cs="Arial" w:eastAsia="Arial" w:hAnsi="Arial"/>
                <w:sz w:val="18"/>
                <w:szCs w:val="18"/>
                <w:b w:val="1"/>
                <w:bCs w:val="1"/>
                <w:color w:val="auto"/>
              </w:rPr>
              <w:t>Name:</w:t>
            </w:r>
          </w:p>
        </w:tc>
        <w:tc>
          <w:tcPr>
            <w:tcW w:w="30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Steven R. Beauchamp</w:t>
            </w:r>
          </w:p>
        </w:tc>
        <w:tc>
          <w:tcPr>
            <w:tcW w:w="2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740" w:type="dxa"/>
            <w:vAlign w:val="bottom"/>
          </w:tcPr>
          <w:p>
            <w:pPr>
              <w:ind w:left="2140"/>
              <w:spacing w:after="0"/>
              <w:rPr>
                <w:sz w:val="20"/>
                <w:szCs w:val="20"/>
                <w:color w:val="auto"/>
              </w:rPr>
            </w:pPr>
            <w:r>
              <w:rPr>
                <w:rFonts w:ascii="Arial" w:cs="Arial" w:eastAsia="Arial" w:hAnsi="Arial"/>
                <w:sz w:val="18"/>
                <w:szCs w:val="18"/>
                <w:b w:val="1"/>
                <w:bCs w:val="1"/>
                <w:color w:val="auto"/>
              </w:rPr>
              <w:t>Title:</w:t>
            </w:r>
          </w:p>
        </w:tc>
        <w:tc>
          <w:tcPr>
            <w:tcW w:w="3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Chief Executive Officer (Principal</w:t>
            </w:r>
          </w:p>
        </w:tc>
      </w:tr>
      <w:tr>
        <w:trPr>
          <w:trHeight w:val="234"/>
        </w:trPr>
        <w:tc>
          <w:tcPr>
            <w:tcW w:w="6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Executive Officer) and Director</w:t>
            </w:r>
          </w:p>
        </w:tc>
      </w:tr>
      <w:tr>
        <w:trPr>
          <w:trHeight w:val="655"/>
        </w:trPr>
        <w:tc>
          <w:tcPr>
            <w:tcW w:w="660" w:type="dxa"/>
            <w:vAlign w:val="bottom"/>
          </w:tcPr>
          <w:p>
            <w:pPr>
              <w:ind w:left="120"/>
              <w:spacing w:after="0"/>
              <w:rPr>
                <w:sz w:val="20"/>
                <w:szCs w:val="20"/>
                <w:color w:val="auto"/>
              </w:rPr>
            </w:pPr>
            <w:r>
              <w:rPr>
                <w:rFonts w:ascii="Arial" w:cs="Arial" w:eastAsia="Arial" w:hAnsi="Arial"/>
                <w:sz w:val="18"/>
                <w:szCs w:val="18"/>
                <w:color w:val="auto"/>
              </w:rPr>
              <w:t>Date:</w:t>
            </w:r>
          </w:p>
        </w:tc>
        <w:tc>
          <w:tcPr>
            <w:tcW w:w="2580" w:type="dxa"/>
            <w:vAlign w:val="bottom"/>
          </w:tcPr>
          <w:p>
            <w:pPr>
              <w:ind w:left="160"/>
              <w:spacing w:after="0"/>
              <w:rPr>
                <w:sz w:val="20"/>
                <w:szCs w:val="20"/>
                <w:color w:val="auto"/>
              </w:rPr>
            </w:pPr>
            <w:r>
              <w:rPr>
                <w:rFonts w:ascii="Arial" w:cs="Arial" w:eastAsia="Arial" w:hAnsi="Arial"/>
                <w:sz w:val="18"/>
                <w:szCs w:val="18"/>
                <w:color w:val="auto"/>
              </w:rPr>
              <w:t>February 5, 2020</w:t>
            </w:r>
          </w:p>
        </w:tc>
        <w:tc>
          <w:tcPr>
            <w:tcW w:w="2740" w:type="dxa"/>
            <w:vAlign w:val="bottom"/>
          </w:tcPr>
          <w:p>
            <w:pPr>
              <w:ind w:left="2140"/>
              <w:spacing w:after="0"/>
              <w:rPr>
                <w:sz w:val="20"/>
                <w:szCs w:val="20"/>
                <w:color w:val="auto"/>
              </w:rPr>
            </w:pPr>
            <w:r>
              <w:rPr>
                <w:rFonts w:ascii="Arial" w:cs="Arial" w:eastAsia="Arial" w:hAnsi="Arial"/>
                <w:sz w:val="18"/>
                <w:szCs w:val="18"/>
                <w:color w:val="auto"/>
              </w:rPr>
              <w:t>By:</w:t>
            </w:r>
          </w:p>
        </w:tc>
        <w:tc>
          <w:tcPr>
            <w:tcW w:w="31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/s/ Toby J. Williams</w:t>
            </w:r>
          </w:p>
        </w:tc>
      </w:tr>
      <w:tr>
        <w:trPr>
          <w:trHeight w:val="198"/>
        </w:trPr>
        <w:tc>
          <w:tcPr>
            <w:tcW w:w="6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740" w:type="dxa"/>
            <w:vAlign w:val="bottom"/>
          </w:tcPr>
          <w:p>
            <w:pPr>
              <w:ind w:left="2140"/>
              <w:spacing w:after="0" w:line="198" w:lineRule="exact"/>
              <w:rPr>
                <w:sz w:val="20"/>
                <w:szCs w:val="20"/>
                <w:color w:val="auto"/>
              </w:rPr>
            </w:pPr>
            <w:r>
              <w:rPr>
                <w:rFonts w:ascii="Arial" w:cs="Arial" w:eastAsia="Arial" w:hAnsi="Arial"/>
                <w:sz w:val="18"/>
                <w:szCs w:val="18"/>
                <w:b w:val="1"/>
                <w:bCs w:val="1"/>
                <w:color w:val="auto"/>
              </w:rPr>
              <w:t>Name:</w:t>
            </w:r>
          </w:p>
        </w:tc>
        <w:tc>
          <w:tcPr>
            <w:tcW w:w="30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Toby J. Williams</w:t>
            </w:r>
          </w:p>
        </w:tc>
        <w:tc>
          <w:tcPr>
            <w:tcW w:w="2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740" w:type="dxa"/>
            <w:vAlign w:val="bottom"/>
          </w:tcPr>
          <w:p>
            <w:pPr>
              <w:ind w:left="2140"/>
              <w:spacing w:after="0"/>
              <w:rPr>
                <w:sz w:val="20"/>
                <w:szCs w:val="20"/>
                <w:color w:val="auto"/>
              </w:rPr>
            </w:pPr>
            <w:r>
              <w:rPr>
                <w:rFonts w:ascii="Arial" w:cs="Arial" w:eastAsia="Arial" w:hAnsi="Arial"/>
                <w:sz w:val="18"/>
                <w:szCs w:val="18"/>
                <w:b w:val="1"/>
                <w:bCs w:val="1"/>
                <w:color w:val="auto"/>
              </w:rPr>
              <w:t>Title:</w:t>
            </w:r>
          </w:p>
        </w:tc>
        <w:tc>
          <w:tcPr>
            <w:tcW w:w="3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Chief Financial Officer (Principal</w:t>
            </w:r>
          </w:p>
        </w:tc>
      </w:tr>
      <w:tr>
        <w:trPr>
          <w:trHeight w:val="234"/>
        </w:trPr>
        <w:tc>
          <w:tcPr>
            <w:tcW w:w="6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Financial Officer)</w:t>
            </w:r>
          </w:p>
        </w:tc>
      </w:tr>
      <w:tr>
        <w:trPr>
          <w:trHeight w:val="918"/>
        </w:trPr>
        <w:tc>
          <w:tcPr>
            <w:tcW w:w="6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740" w:type="dxa"/>
            <w:vAlign w:val="bottom"/>
          </w:tcPr>
          <w:p>
            <w:pPr>
              <w:ind w:left="1200"/>
              <w:spacing w:after="0"/>
              <w:rPr>
                <w:sz w:val="20"/>
                <w:szCs w:val="20"/>
                <w:color w:val="auto"/>
              </w:rPr>
            </w:pPr>
            <w:r>
              <w:rPr>
                <w:rFonts w:ascii="Arial" w:cs="Arial" w:eastAsia="Arial" w:hAnsi="Arial"/>
                <w:sz w:val="18"/>
                <w:szCs w:val="18"/>
                <w:color w:val="auto"/>
              </w:rPr>
              <w:t>58</w:t>
            </w: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6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Steven R. Beauchamp, certify that:</w:t>
      </w:r>
    </w:p>
    <w:p>
      <w:pPr>
        <w:spacing w:after="0" w:line="144" w:lineRule="exact"/>
        <w:rPr>
          <w:sz w:val="20"/>
          <w:szCs w:val="20"/>
          <w:color w:val="auto"/>
        </w:rPr>
      </w:pPr>
    </w:p>
    <w:p>
      <w:pPr>
        <w:ind w:left="1280" w:hanging="395"/>
        <w:spacing w:after="0"/>
        <w:tabs>
          <w:tab w:leader="none" w:pos="12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155" w:lineRule="exact"/>
        <w:rPr>
          <w:rFonts w:ascii="Arial" w:cs="Arial" w:eastAsia="Arial" w:hAnsi="Arial"/>
          <w:sz w:val="17"/>
          <w:szCs w:val="17"/>
          <w:color w:val="auto"/>
        </w:rPr>
      </w:pPr>
    </w:p>
    <w:p>
      <w:pPr>
        <w:ind w:left="440" w:firstLine="445"/>
        <w:spacing w:after="0" w:line="224" w:lineRule="auto"/>
        <w:tabs>
          <w:tab w:leader="none" w:pos="128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0" w:right="40" w:firstLine="445"/>
        <w:spacing w:after="0" w:line="224" w:lineRule="auto"/>
        <w:tabs>
          <w:tab w:leader="none" w:pos="128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40" w:firstLine="445"/>
        <w:spacing w:after="0" w:line="238" w:lineRule="auto"/>
        <w:tabs>
          <w:tab w:leader="none" w:pos="128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880" w:right="60" w:firstLine="445"/>
        <w:spacing w:after="0" w:line="219" w:lineRule="auto"/>
        <w:tabs>
          <w:tab w:leader="none" w:pos="1716"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80" w:right="40" w:firstLine="445"/>
        <w:spacing w:after="0" w:line="219" w:lineRule="auto"/>
        <w:tabs>
          <w:tab w:leader="none" w:pos="1726"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880" w:firstLine="445"/>
        <w:spacing w:after="0" w:line="224" w:lineRule="auto"/>
        <w:tabs>
          <w:tab w:leader="none" w:pos="1716"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80" w:right="300" w:firstLine="445"/>
        <w:spacing w:after="0" w:line="259" w:lineRule="auto"/>
        <w:tabs>
          <w:tab w:leader="none" w:pos="1726"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fiscal quarter ended December 31, 2019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440" w:right="60" w:firstLine="445"/>
        <w:spacing w:after="0" w:line="224" w:lineRule="auto"/>
        <w:tabs>
          <w:tab w:leader="none" w:pos="128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80" w:right="100" w:firstLine="445"/>
        <w:spacing w:after="0" w:line="224" w:lineRule="auto"/>
        <w:tabs>
          <w:tab w:leader="none" w:pos="170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80" w:right="560" w:firstLine="445"/>
        <w:spacing w:after="0" w:line="235" w:lineRule="auto"/>
        <w:tabs>
          <w:tab w:leader="none" w:pos="171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8"/>
                <w:szCs w:val="18"/>
                <w:color w:val="auto"/>
              </w:rPr>
              <w:t>Date: February 5, 2020</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r>
      <w:tr>
        <w:trPr>
          <w:trHeight w:val="151"/>
        </w:trPr>
        <w:tc>
          <w:tcPr>
            <w:tcW w:w="5180" w:type="dxa"/>
            <w:vAlign w:val="bottom"/>
          </w:tcPr>
          <w:p>
            <w:pPr>
              <w:ind w:left="4540"/>
              <w:spacing w:after="0" w:line="151" w:lineRule="exact"/>
              <w:rPr>
                <w:sz w:val="20"/>
                <w:szCs w:val="20"/>
                <w:color w:val="auto"/>
              </w:rPr>
            </w:pPr>
            <w:r>
              <w:rPr>
                <w:rFonts w:ascii="Arial" w:cs="Arial" w:eastAsia="Arial" w:hAnsi="Arial"/>
                <w:sz w:val="17"/>
                <w:szCs w:val="17"/>
                <w:b w:val="1"/>
                <w:bCs w:val="1"/>
                <w:color w:val="auto"/>
              </w:rPr>
              <w:t>Name:</w:t>
            </w:r>
          </w:p>
        </w:tc>
        <w:tc>
          <w:tcPr>
            <w:tcW w:w="3880" w:type="dxa"/>
            <w:vAlign w:val="bottom"/>
          </w:tcPr>
          <w:p>
            <w:pPr>
              <w:jc w:val="center"/>
              <w:spacing w:after="0" w:line="151" w:lineRule="exact"/>
              <w:rPr>
                <w:sz w:val="20"/>
                <w:szCs w:val="20"/>
                <w:color w:val="auto"/>
              </w:rPr>
            </w:pPr>
            <w:r>
              <w:rPr>
                <w:rFonts w:ascii="Arial" w:cs="Arial" w:eastAsia="Arial" w:hAnsi="Arial"/>
                <w:sz w:val="17"/>
                <w:szCs w:val="17"/>
                <w:b w:val="1"/>
                <w:bCs w:val="1"/>
                <w:color w:val="auto"/>
                <w:w w:val="94"/>
              </w:rPr>
              <w:t>Steven R. Beauchamp</w:t>
            </w:r>
          </w:p>
        </w:tc>
      </w:tr>
      <w:tr>
        <w:trPr>
          <w:trHeight w:val="203"/>
        </w:trPr>
        <w:tc>
          <w:tcPr>
            <w:tcW w:w="5180" w:type="dxa"/>
            <w:vAlign w:val="bottom"/>
          </w:tcPr>
          <w:p>
            <w:pPr>
              <w:ind w:left="4540"/>
              <w:spacing w:after="0" w:line="202" w:lineRule="exact"/>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Chief Executive Officer (Principal Executive</w:t>
            </w:r>
          </w:p>
        </w:tc>
      </w:tr>
      <w:tr>
        <w:trPr>
          <w:trHeight w:val="234"/>
        </w:trPr>
        <w:tc>
          <w:tcPr>
            <w:tcW w:w="51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3"/>
              </w:rPr>
              <w:t>Officer) and Director</w:t>
            </w:r>
          </w:p>
        </w:tc>
      </w:tr>
      <w:tr>
        <w:trPr>
          <w:trHeight w:val="723"/>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Toby J. Williams, certify that:</w:t>
      </w:r>
    </w:p>
    <w:p>
      <w:pPr>
        <w:spacing w:after="0" w:line="144" w:lineRule="exact"/>
        <w:rPr>
          <w:sz w:val="20"/>
          <w:szCs w:val="20"/>
          <w:color w:val="auto"/>
        </w:rPr>
      </w:pPr>
    </w:p>
    <w:p>
      <w:pPr>
        <w:ind w:left="1280" w:hanging="395"/>
        <w:spacing w:after="0"/>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155" w:lineRule="exact"/>
        <w:rPr>
          <w:rFonts w:ascii="Arial" w:cs="Arial" w:eastAsia="Arial" w:hAnsi="Arial"/>
          <w:sz w:val="17"/>
          <w:szCs w:val="17"/>
          <w:color w:val="auto"/>
        </w:rPr>
      </w:pPr>
    </w:p>
    <w:p>
      <w:pPr>
        <w:ind w:left="440" w:firstLine="445"/>
        <w:spacing w:after="0" w:line="224" w:lineRule="auto"/>
        <w:tabs>
          <w:tab w:leader="none" w:pos="12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0" w:right="40" w:firstLine="445"/>
        <w:spacing w:after="0" w:line="224" w:lineRule="auto"/>
        <w:tabs>
          <w:tab w:leader="none" w:pos="12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40" w:firstLine="445"/>
        <w:spacing w:after="0" w:line="238" w:lineRule="auto"/>
        <w:tabs>
          <w:tab w:leader="none" w:pos="128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880" w:right="60" w:firstLine="445"/>
        <w:spacing w:after="0" w:line="219" w:lineRule="auto"/>
        <w:tabs>
          <w:tab w:leader="none" w:pos="1716"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80" w:right="40" w:firstLine="445"/>
        <w:spacing w:after="0" w:line="219" w:lineRule="auto"/>
        <w:tabs>
          <w:tab w:leader="none" w:pos="1726"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880" w:firstLine="445"/>
        <w:spacing w:after="0" w:line="224" w:lineRule="auto"/>
        <w:tabs>
          <w:tab w:leader="none" w:pos="1716"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80" w:right="300" w:firstLine="445"/>
        <w:spacing w:after="0" w:line="259" w:lineRule="auto"/>
        <w:tabs>
          <w:tab w:leader="none" w:pos="1726"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fiscal quarter ended December 31, 2019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440" w:right="60" w:firstLine="445"/>
        <w:spacing w:after="0" w:line="224" w:lineRule="auto"/>
        <w:tabs>
          <w:tab w:leader="none" w:pos="128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80" w:right="100" w:firstLine="445"/>
        <w:spacing w:after="0" w:line="224" w:lineRule="auto"/>
        <w:tabs>
          <w:tab w:leader="none" w:pos="1706"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80" w:right="560" w:firstLine="445"/>
        <w:spacing w:after="0" w:line="235" w:lineRule="auto"/>
        <w:tabs>
          <w:tab w:leader="none" w:pos="1716"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8"/>
                <w:szCs w:val="18"/>
                <w:color w:val="auto"/>
              </w:rPr>
              <w:t>Date: February 5, 2020</w:t>
            </w:r>
          </w:p>
        </w:tc>
        <w:tc>
          <w:tcPr>
            <w:tcW w:w="3880" w:type="dxa"/>
            <w:vAlign w:val="bottom"/>
          </w:tcPr>
          <w:p>
            <w:pPr>
              <w:jc w:val="center"/>
              <w:spacing w:after="0"/>
              <w:rPr>
                <w:sz w:val="20"/>
                <w:szCs w:val="20"/>
                <w:color w:val="auto"/>
              </w:rPr>
            </w:pPr>
            <w:r>
              <w:rPr>
                <w:rFonts w:ascii="Arial" w:cs="Arial" w:eastAsia="Arial" w:hAnsi="Arial"/>
                <w:sz w:val="18"/>
                <w:szCs w:val="18"/>
                <w:color w:val="auto"/>
                <w:w w:val="92"/>
              </w:rPr>
              <w:t>/s/ Toby J. Williams</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4540"/>
              <w:spacing w:after="0" w:line="189" w:lineRule="exact"/>
              <w:rPr>
                <w:sz w:val="20"/>
                <w:szCs w:val="20"/>
                <w:color w:val="auto"/>
              </w:rPr>
            </w:pPr>
            <w:r>
              <w:rPr>
                <w:rFonts w:ascii="Arial" w:cs="Arial" w:eastAsia="Arial" w:hAnsi="Arial"/>
                <w:sz w:val="18"/>
                <w:szCs w:val="18"/>
                <w:b w:val="1"/>
                <w:bCs w:val="1"/>
                <w:color w:val="auto"/>
              </w:rPr>
              <w:t>Name:</w:t>
            </w: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38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Toby J. Williams</w:t>
            </w:r>
          </w:p>
        </w:tc>
        <w:tc>
          <w:tcPr>
            <w:tcW w:w="0" w:type="dxa"/>
            <w:vAlign w:val="bottom"/>
          </w:tcPr>
          <w:p>
            <w:pPr>
              <w:spacing w:after="0"/>
              <w:rPr>
                <w:sz w:val="1"/>
                <w:szCs w:val="1"/>
                <w:color w:val="auto"/>
              </w:rPr>
            </w:pPr>
          </w:p>
        </w:tc>
      </w:tr>
      <w:tr>
        <w:trPr>
          <w:trHeight w:val="176"/>
        </w:trPr>
        <w:tc>
          <w:tcPr>
            <w:tcW w:w="5180" w:type="dxa"/>
            <w:vAlign w:val="bottom"/>
          </w:tcPr>
          <w:p>
            <w:pPr>
              <w:ind w:left="4540"/>
              <w:spacing w:after="0" w:line="176" w:lineRule="exact"/>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Chief Financial Officer (Principal Financial</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3"/>
              </w:rPr>
              <w:t>Officer)</w:t>
            </w:r>
          </w:p>
        </w:tc>
        <w:tc>
          <w:tcPr>
            <w:tcW w:w="0" w:type="dxa"/>
            <w:vAlign w:val="bottom"/>
          </w:tcPr>
          <w:p>
            <w:pPr>
              <w:spacing w:after="0"/>
              <w:rPr>
                <w:sz w:val="1"/>
                <w:szCs w:val="1"/>
                <w:color w:val="auto"/>
              </w:rPr>
            </w:pPr>
          </w:p>
        </w:tc>
      </w:tr>
      <w:tr>
        <w:trPr>
          <w:trHeight w:val="704"/>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23" w:lineRule="exact"/>
        <w:rPr>
          <w:sz w:val="20"/>
          <w:szCs w:val="20"/>
          <w:color w:val="auto"/>
        </w:rPr>
      </w:pPr>
    </w:p>
    <w:p>
      <w:pPr>
        <w:ind w:right="100" w:firstLine="441"/>
        <w:spacing w:after="0" w:line="214" w:lineRule="auto"/>
        <w:rPr>
          <w:sz w:val="20"/>
          <w:szCs w:val="20"/>
          <w:color w:val="auto"/>
        </w:rPr>
      </w:pPr>
      <w:r>
        <w:rPr>
          <w:rFonts w:ascii="Arial" w:cs="Arial" w:eastAsia="Arial" w:hAnsi="Arial"/>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December 31, 2019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20"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February 5, 2020</w:t>
      </w:r>
      <w:r>
        <w:rPr>
          <w:sz w:val="20"/>
          <w:szCs w:val="20"/>
          <w:color w:val="auto"/>
        </w:rPr>
        <w:tab/>
      </w:r>
      <w:r>
        <w:rPr>
          <w:rFonts w:ascii="Arial" w:cs="Arial" w:eastAsia="Arial" w:hAnsi="Arial"/>
          <w:sz w:val="15"/>
          <w:szCs w:val="15"/>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jc w:val="center"/>
        <w:ind w:left="4540"/>
        <w:spacing w:after="0" w:line="203" w:lineRule="auto"/>
        <w:rPr>
          <w:sz w:val="20"/>
          <w:szCs w:val="20"/>
          <w:color w:val="auto"/>
        </w:rPr>
      </w:pPr>
      <w:r>
        <w:rPr>
          <w:rFonts w:ascii="Arial" w:cs="Arial" w:eastAsia="Arial" w:hAnsi="Arial"/>
          <w:sz w:val="18"/>
          <w:szCs w:val="18"/>
          <w:b w:val="1"/>
          <w:bCs w:val="1"/>
          <w:color w:val="auto"/>
        </w:rPr>
        <w:t>Steven R. Beauchamp</w:t>
      </w:r>
    </w:p>
    <w:p>
      <w:pPr>
        <w:jc w:val="center"/>
        <w:ind w:left="4540"/>
        <w:spacing w:after="0" w:line="229" w:lineRule="auto"/>
        <w:rPr>
          <w:sz w:val="20"/>
          <w:szCs w:val="20"/>
          <w:color w:val="auto"/>
        </w:rPr>
      </w:pPr>
      <w:r>
        <w:rPr>
          <w:rFonts w:ascii="Arial" w:cs="Arial" w:eastAsia="Arial" w:hAnsi="Arial"/>
          <w:sz w:val="16"/>
          <w:szCs w:val="16"/>
          <w:b w:val="1"/>
          <w:bCs w:val="1"/>
          <w:color w:val="auto"/>
        </w:rPr>
        <w:t>Chief Executive Officer (Principal Executive Officer) and</w:t>
      </w:r>
    </w:p>
    <w:p>
      <w:pPr>
        <w:spacing w:after="0" w:line="1" w:lineRule="exact"/>
        <w:rPr>
          <w:sz w:val="20"/>
          <w:szCs w:val="20"/>
          <w:color w:val="auto"/>
        </w:rPr>
      </w:pPr>
    </w:p>
    <w:p>
      <w:pPr>
        <w:jc w:val="center"/>
        <w:ind w:left="4540"/>
        <w:spacing w:after="0"/>
        <w:rPr>
          <w:sz w:val="20"/>
          <w:szCs w:val="20"/>
          <w:color w:val="auto"/>
        </w:rPr>
      </w:pPr>
      <w:r>
        <w:rPr>
          <w:rFonts w:ascii="Arial" w:cs="Arial" w:eastAsia="Arial" w:hAnsi="Arial"/>
          <w:sz w:val="18"/>
          <w:szCs w:val="18"/>
          <w:b w:val="1"/>
          <w:bCs w:val="1"/>
          <w:color w:val="auto"/>
        </w:rPr>
        <w:t>Director</w:t>
      </w:r>
    </w:p>
    <w:p>
      <w:pPr>
        <w:spacing w:after="0" w:line="128"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414020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23" w:lineRule="exact"/>
        <w:rPr>
          <w:sz w:val="20"/>
          <w:szCs w:val="20"/>
          <w:color w:val="auto"/>
        </w:rPr>
      </w:pPr>
    </w:p>
    <w:p>
      <w:pPr>
        <w:ind w:right="100" w:firstLine="441"/>
        <w:spacing w:after="0" w:line="214" w:lineRule="auto"/>
        <w:rPr>
          <w:sz w:val="20"/>
          <w:szCs w:val="20"/>
          <w:color w:val="auto"/>
        </w:rPr>
      </w:pPr>
      <w:r>
        <w:rPr>
          <w:rFonts w:ascii="Arial" w:cs="Arial" w:eastAsia="Arial" w:hAnsi="Arial"/>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December 31, 2019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33"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 February 5, 2020</w:t>
      </w:r>
      <w:r>
        <w:rPr>
          <w:sz w:val="20"/>
          <w:szCs w:val="20"/>
          <w:color w:val="auto"/>
        </w:rPr>
        <w:tab/>
      </w:r>
      <w:r>
        <w:rPr>
          <w:rFonts w:ascii="Arial" w:cs="Arial" w:eastAsia="Arial" w:hAnsi="Arial"/>
          <w:sz w:val="16"/>
          <w:szCs w:val="16"/>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-635</wp:posOffset>
            </wp:positionV>
            <wp:extent cx="30784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jc w:val="center"/>
        <w:ind w:left="4220"/>
        <w:spacing w:after="0" w:line="203" w:lineRule="auto"/>
        <w:rPr>
          <w:sz w:val="20"/>
          <w:szCs w:val="20"/>
          <w:color w:val="auto"/>
        </w:rPr>
      </w:pPr>
      <w:r>
        <w:rPr>
          <w:rFonts w:ascii="Arial" w:cs="Arial" w:eastAsia="Arial" w:hAnsi="Arial"/>
          <w:sz w:val="18"/>
          <w:szCs w:val="18"/>
          <w:b w:val="1"/>
          <w:bCs w:val="1"/>
          <w:color w:val="auto"/>
        </w:rPr>
        <w:t>Toby J. Williams</w:t>
      </w:r>
    </w:p>
    <w:p>
      <w:pPr>
        <w:jc w:val="center"/>
        <w:ind w:left="422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128"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414020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lowerLetter"/>
      <w:start w:val="2"/>
    </w:lvl>
  </w:abstractNum>
  <w:abstractNum w:abstractNumId="5">
    <w:nsid w:val="6B68079A"/>
    <w:multiLevelType w:val="hybridMultilevel"/>
    <w:lvl w:ilvl="0">
      <w:lvlJc w:val="left"/>
      <w:lvlText w:val="(%1)"/>
      <w:numFmt w:val="lowerLetter"/>
      <w:start w:val="3"/>
    </w:lvl>
  </w:abstractNum>
  <w:abstractNum w:abstractNumId="6">
    <w:nsid w:val="4E6AFB66"/>
    <w:multiLevelType w:val="hybridMultilevel"/>
    <w:lvl w:ilvl="0">
      <w:lvlJc w:val="left"/>
      <w:lvlText w:val="(%1)"/>
      <w:numFmt w:val="lowerLetter"/>
      <w:start w:val="4"/>
    </w:lvl>
  </w:abstractNum>
  <w:abstractNum w:abstractNumId="7">
    <w:nsid w:val="25E45D32"/>
    <w:multiLevelType w:val="hybridMultilevel"/>
    <w:lvl w:ilvl="0">
      <w:lvlJc w:val="left"/>
      <w:lvlText w:val="(%1)"/>
      <w:numFmt w:val="lowerLetter"/>
      <w:start w:val="5"/>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2"/>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2"/>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lvl w:ilvl="1">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67" Type="http://schemas.openxmlformats.org/officeDocument/2006/relationships/hyperlink" Target="http://www.sec.gov/Archives/edgar/data/1591698/000104746914000931/a2218171zex-3_2.htm" TargetMode="External"/><Relationship Id="rId68" Type="http://schemas.openxmlformats.org/officeDocument/2006/relationships/hyperlink" Target="http://www.sec.gov/Archives/edgar/data/1591698/000155837017006561/pcty-20170630ex321ac616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2020-02-05T12:06:42Z</dcterms:created>
  <dcterms:modified xsi:type="dcterms:W3CDTF">2020-02-05T12:06:42Z</dcterms:modified>
</cp:coreProperties>
</file>