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21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PAYLOCITY HOLDING CORPORATION</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46-4066644</w:t>
            </w:r>
          </w:p>
        </w:tc>
      </w:tr>
      <w:tr>
        <w:trPr>
          <w:trHeight w:val="216"/>
        </w:trPr>
        <w:tc>
          <w:tcPr>
            <w:tcW w:w="640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0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40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3850 N. Wilke Road</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Arlington Heights, Illinois</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60004</w:t>
            </w:r>
          </w:p>
        </w:tc>
      </w:tr>
      <w:tr>
        <w:trPr>
          <w:trHeight w:val="234"/>
        </w:trPr>
        <w:tc>
          <w:tcPr>
            <w:tcW w:w="640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4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(847) 463-3200</w:t>
            </w:r>
          </w:p>
        </w:tc>
        <w:tc>
          <w:tcPr>
            <w:tcW w:w="1520" w:type="dxa"/>
            <w:vAlign w:val="bottom"/>
          </w:tcPr>
          <w:p>
            <w:pPr>
              <w:spacing w:after="0"/>
              <w:rPr>
                <w:sz w:val="24"/>
                <w:szCs w:val="24"/>
                <w:color w:val="auto"/>
              </w:rPr>
            </w:pPr>
          </w:p>
        </w:tc>
      </w:tr>
      <w:tr>
        <w:trPr>
          <w:trHeight w:val="234"/>
        </w:trPr>
        <w:tc>
          <w:tcPr>
            <w:tcW w:w="640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00"/>
          </w:cols>
          <w:pgMar w:left="240" w:top="229" w:right="259" w:bottom="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4">
            <w:col w:w="1700" w:space="720"/>
            <w:col w:w="3980" w:space="720"/>
            <w:col w:w="2480" w:space="720"/>
            <w:col w:w="1080"/>
          </w:cols>
          <w:pgMar w:left="240" w:top="229" w:right="25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0" w:lineRule="exact"/>
        <w:rPr>
          <w:sz w:val="24"/>
          <w:szCs w:val="24"/>
          <w:color w:val="auto"/>
        </w:rPr>
      </w:pPr>
    </w:p>
    <w:p>
      <w:pPr>
        <w:sectPr>
          <w:pgSz w:w="11900" w:h="16838" w:orient="portrait"/>
          <w:cols w:equalWidth="0" w:num="4">
            <w:col w:w="1700" w:space="720"/>
            <w:col w:w="3980" w:space="720"/>
            <w:col w:w="2480" w:space="720"/>
            <w:col w:w="1080"/>
          </w:cols>
          <w:pgMar w:left="240" w:top="229" w:right="259" w:bottom="0" w:gutter="0" w:footer="0" w:header="0"/>
          <w:type w:val="continuous"/>
        </w:sectPr>
      </w:pPr>
    </w:p>
    <w:p>
      <w:pPr>
        <w:spacing w:after="0" w:line="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3">
            <w:col w:w="9120" w:space="180"/>
            <w:col w:w="220" w:space="120"/>
            <w:col w:w="1760"/>
          </w:cols>
          <w:pgMar w:left="240" w:top="229" w:right="259" w:bottom="0" w:gutter="0" w:footer="0" w:header="0"/>
          <w:type w:val="continuous"/>
        </w:sectPr>
      </w:pPr>
    </w:p>
    <w:p>
      <w:pPr>
        <w:spacing w:after="0" w:line="25" w:lineRule="exact"/>
        <w:rPr>
          <w:sz w:val="24"/>
          <w:szCs w:val="24"/>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51,010,873 shares of Common Stock, $0.001 par value per share, as of April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ectPr>
          <w:pgSz w:w="11900" w:h="16838" w:orient="portrait"/>
          <w:cols w:equalWidth="0" w:num="1">
            <w:col w:w="11400"/>
          </w:cols>
          <w:pgMar w:left="240" w:top="229" w:right="25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9"/>
          </w:tcPr>
          <w:p>
            <w:pPr>
              <w:jc w:val="center"/>
              <w:ind w:right="1140"/>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PART I. FINANCIAL INFORMATION</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820" w:type="dxa"/>
            <w:vAlign w:val="bottom"/>
            <w:gridSpan w:val="1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 FINANCIAL STATEMENTS</w:t>
              </w:r>
            </w:hyperlink>
          </w:p>
        </w:tc>
        <w:tc>
          <w:tcPr>
            <w:tcW w:w="2880" w:type="dxa"/>
            <w:vAlign w:val="bottom"/>
            <w:tcBorders>
              <w:top w:val="single" w:sz="8" w:color="0000EE"/>
            </w:tcBorders>
            <w:gridSpan w:val="6"/>
          </w:tcPr>
          <w:p>
            <w:pPr>
              <w:spacing w:after="0"/>
              <w:rPr>
                <w:sz w:val="24"/>
                <w:szCs w:val="24"/>
                <w:color w:val="auto"/>
              </w:rPr>
            </w:pPr>
          </w:p>
        </w:tc>
        <w:tc>
          <w:tcPr>
            <w:tcW w:w="114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r>
      <w:tr>
        <w:trPr>
          <w:trHeight w:val="412"/>
        </w:trPr>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Unaudited Consolidated Balance Sheets</w:t>
              </w:r>
            </w:hyperlink>
          </w:p>
        </w:tc>
        <w:tc>
          <w:tcPr>
            <w:tcW w:w="494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3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Statements of Operations</w:t>
              </w:r>
            </w:hyperlink>
          </w:p>
        </w:tc>
        <w:tc>
          <w:tcPr>
            <w:tcW w:w="422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 of Changes in Stockholders’ Equity</w:t>
              </w:r>
            </w:hyperlink>
          </w:p>
        </w:tc>
        <w:tc>
          <w:tcPr>
            <w:tcW w:w="27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3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Cash Flows</w:t>
              </w:r>
            </w:hyperlink>
          </w:p>
        </w:tc>
        <w:tc>
          <w:tcPr>
            <w:tcW w:w="416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Notes to the Unaudited Consolidated Financial Statements</w:t>
              </w:r>
            </w:hyperlink>
          </w:p>
        </w:tc>
        <w:tc>
          <w:tcPr>
            <w:tcW w:w="36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9960" w:type="dxa"/>
            <w:vAlign w:val="bottom"/>
            <w:gridSpan w:val="28"/>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6820" w:type="dxa"/>
            <w:vAlign w:val="bottom"/>
            <w:tcBorders>
              <w:top w:val="single" w:sz="8" w:color="0000EE"/>
              <w:bottom w:val="single" w:sz="8" w:color="0000EE"/>
            </w:tcBorders>
            <w:gridSpan w:val="22"/>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ITEM 3. QUANTITATIVE AND QUALITATIVE DISCLOSURES ABOUT MARKET RISK</w:t>
              </w:r>
            </w:hyperlink>
          </w:p>
        </w:tc>
        <w:tc>
          <w:tcPr>
            <w:tcW w:w="10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4. CONTROLS AND PROCEDURES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PART II. OTHER INFORMATION</w:t>
              </w:r>
            </w:hyperlink>
          </w:p>
        </w:tc>
        <w:tc>
          <w:tcPr>
            <w:tcW w:w="128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1. LEGAL PROCEEDINGS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2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ITEM 1A. RISK FACTORS</w:t>
              </w:r>
            </w:hyperlink>
          </w:p>
        </w:tc>
        <w:tc>
          <w:tcPr>
            <w:tcW w:w="480" w:type="dxa"/>
            <w:vAlign w:val="bottom"/>
            <w:tcBorders>
              <w:top w:val="single" w:sz="8" w:color="0000EE"/>
            </w:tcBorders>
          </w:tcPr>
          <w:p>
            <w:pPr>
              <w:spacing w:after="0"/>
              <w:rPr>
                <w:sz w:val="24"/>
                <w:szCs w:val="24"/>
                <w:color w:val="auto"/>
              </w:rPr>
            </w:pPr>
          </w:p>
        </w:tc>
        <w:tc>
          <w:tcPr>
            <w:tcW w:w="5300" w:type="dxa"/>
            <w:vAlign w:val="bottom"/>
            <w:gridSpan w:val="17"/>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 UNREGISTERED SALES OF EQUITY SECURITIES AND USE OF PROCEEDS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38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3. DEFAULTS UPON SENIOR SECURITIES</w:t>
              </w:r>
            </w:hyperlink>
          </w:p>
        </w:tc>
        <w:tc>
          <w:tcPr>
            <w:tcW w:w="2880" w:type="dxa"/>
            <w:vAlign w:val="bottom"/>
            <w:tcBorders>
              <w:top w:val="single" w:sz="8" w:color="0000EE"/>
            </w:tcBorders>
            <w:gridSpan w:val="6"/>
          </w:tcPr>
          <w:p>
            <w:pPr>
              <w:spacing w:after="0"/>
              <w:rPr>
                <w:sz w:val="24"/>
                <w:szCs w:val="24"/>
                <w:color w:val="auto"/>
              </w:rPr>
            </w:pPr>
          </w:p>
        </w:tc>
        <w:tc>
          <w:tcPr>
            <w:tcW w:w="11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3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4. MINE SAFETY DISCLOSURES</w:t>
              </w:r>
            </w:hyperlink>
          </w:p>
        </w:tc>
        <w:tc>
          <w:tcPr>
            <w:tcW w:w="472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2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5. OTHER INFORMATION</w:t>
              </w:r>
            </w:hyperlink>
          </w:p>
        </w:tc>
        <w:tc>
          <w:tcPr>
            <w:tcW w:w="5280" w:type="dxa"/>
            <w:vAlign w:val="bottom"/>
            <w:gridSpan w:val="16"/>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15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6. EXHIBITS</w:t>
              </w:r>
            </w:hyperlink>
          </w:p>
        </w:tc>
        <w:tc>
          <w:tcPr>
            <w:tcW w:w="6340" w:type="dxa"/>
            <w:vAlign w:val="bottom"/>
            <w:gridSpan w:val="19"/>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SIGNATURES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453"/>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60" w:type="dxa"/>
            <w:vAlign w:val="bottom"/>
            <w:gridSpan w:val="17"/>
          </w:tcPr>
          <w:p>
            <w:pPr>
              <w:jc w:val="center"/>
              <w:ind w:left="367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0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gridSpan w:val="5"/>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80" w:type="dxa"/>
            <w:vAlign w:val="bottom"/>
            <w:gridSpan w:val="2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8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81,258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89,707</w:t>
            </w:r>
          </w:p>
        </w:tc>
        <w:tc>
          <w:tcPr>
            <w:tcW w:w="40" w:type="dxa"/>
            <w:vAlign w:val="bottom"/>
          </w:tcPr>
          <w:p>
            <w:pPr>
              <w:spacing w:after="0"/>
              <w:rPr>
                <w:sz w:val="18"/>
                <w:szCs w:val="18"/>
                <w:color w:val="auto"/>
              </w:rPr>
            </w:pPr>
          </w:p>
        </w:tc>
      </w:tr>
      <w:tr>
        <w:trPr>
          <w:trHeight w:val="216"/>
        </w:trPr>
        <w:tc>
          <w:tcPr>
            <w:tcW w:w="784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4,416</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7,059</w:t>
            </w:r>
          </w:p>
        </w:tc>
        <w:tc>
          <w:tcPr>
            <w:tcW w:w="40" w:type="dxa"/>
            <w:vAlign w:val="bottom"/>
          </w:tcPr>
          <w:p>
            <w:pPr>
              <w:spacing w:after="0"/>
              <w:rPr>
                <w:sz w:val="18"/>
                <w:szCs w:val="18"/>
                <w:color w:val="auto"/>
              </w:rPr>
            </w:pPr>
          </w:p>
        </w:tc>
      </w:tr>
      <w:tr>
        <w:trPr>
          <w:trHeight w:val="216"/>
        </w:trPr>
        <w:tc>
          <w:tcPr>
            <w:tcW w:w="784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tcPr>
          <w:p>
            <w:pPr>
              <w:spacing w:after="0"/>
              <w:rPr>
                <w:sz w:val="18"/>
                <w:szCs w:val="18"/>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tcPr>
          <w:p>
            <w:pPr>
              <w:ind w:left="38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87,564</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98,878</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591,219</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1,422,976</w:t>
            </w: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678,783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1,521,854</w:t>
            </w:r>
          </w:p>
        </w:tc>
        <w:tc>
          <w:tcPr>
            <w:tcW w:w="40" w:type="dxa"/>
            <w:vAlign w:val="bottom"/>
          </w:tcPr>
          <w:p>
            <w:pPr>
              <w:spacing w:after="0"/>
              <w:rPr>
                <w:sz w:val="18"/>
                <w:szCs w:val="18"/>
                <w:color w:val="auto"/>
              </w:rPr>
            </w:pPr>
          </w:p>
        </w:tc>
      </w:tr>
      <w:tr>
        <w:trPr>
          <w:trHeight w:val="216"/>
        </w:trPr>
        <w:tc>
          <w:tcPr>
            <w:tcW w:w="78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7,357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10,181</w:t>
            </w:r>
          </w:p>
        </w:tc>
        <w:tc>
          <w:tcPr>
            <w:tcW w:w="40" w:type="dxa"/>
            <w:vAlign w:val="bottom"/>
          </w:tcPr>
          <w:p>
            <w:pPr>
              <w:spacing w:after="0"/>
              <w:rPr>
                <w:sz w:val="18"/>
                <w:szCs w:val="18"/>
                <w:color w:val="auto"/>
              </w:rPr>
            </w:pPr>
          </w:p>
        </w:tc>
      </w:tr>
      <w:tr>
        <w:trPr>
          <w:trHeight w:val="216"/>
        </w:trPr>
        <w:tc>
          <w:tcPr>
            <w:tcW w:w="78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16,061</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24,934</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11,941</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10,799</w:t>
            </w:r>
          </w:p>
        </w:tc>
        <w:tc>
          <w:tcPr>
            <w:tcW w:w="4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6,003</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6,003</w:t>
            </w:r>
          </w:p>
        </w:tc>
        <w:tc>
          <w:tcPr>
            <w:tcW w:w="40" w:type="dxa"/>
            <w:vAlign w:val="bottom"/>
          </w:tcPr>
          <w:p>
            <w:pPr>
              <w:spacing w:after="0"/>
              <w:rPr>
                <w:sz w:val="18"/>
                <w:szCs w:val="18"/>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-4443730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-4443730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720,548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1,574,627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related to acquisitions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16,430</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18,268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591,219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1,422,976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609,487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1,448,791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612,968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1,454,033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2015 and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31, 2016</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2015 and March 31, 2016; 50,703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June 30, 2015 and 50,984 shares issued and outstanding at March 31,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155,672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(48,143)</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720,548</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1,574,627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12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43,335</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66,279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104,532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601</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43,936</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105,886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47,272</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112,694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12,606</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34,616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18,164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19,282</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52,780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3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59,914</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12,673</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31,152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14,351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24,068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26,285</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69,571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6,161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0.03</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top w:val="single" w:sz="8" w:color="CCEEFF"/>
            </w:tcBorders>
            <w:vMerge w:val="restart"/>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0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8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500" w:type="dxa"/>
            <w:vAlign w:val="bottom"/>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shares used in computing net income (loss)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 share: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50,533</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50,962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49,954</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50,865</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Borders>
              <w:bottom w:val="single" w:sz="8" w:color="auto"/>
            </w:tcBorders>
          </w:tcPr>
          <w:p>
            <w:pPr>
              <w:ind w:left="880"/>
              <w:spacing w:after="0" w:line="196" w:lineRule="exact"/>
              <w:rPr>
                <w:sz w:val="20"/>
                <w:szCs w:val="20"/>
                <w:color w:val="auto"/>
              </w:rPr>
            </w:pPr>
            <w:r>
              <w:rPr>
                <w:rFonts w:ascii="Times New Roman" w:cs="Times New Roman" w:eastAsia="Times New Roman" w:hAnsi="Times New Roman"/>
                <w:sz w:val="18"/>
                <w:szCs w:val="18"/>
                <w:color w:val="auto"/>
                <w:w w:val="92"/>
              </w:rPr>
              <w:t>52,203</w:t>
            </w:r>
          </w:p>
        </w:tc>
        <w:tc>
          <w:tcPr>
            <w:tcW w:w="3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53,424</w:t>
            </w:r>
          </w:p>
        </w:tc>
        <w:tc>
          <w:tcPr>
            <w:tcW w:w="2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49,954</w:t>
            </w:r>
          </w:p>
        </w:tc>
        <w:tc>
          <w:tcPr>
            <w:tcW w:w="2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53,431</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-599440</wp:posOffset>
            </wp:positionV>
            <wp:extent cx="72466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-179705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8" w:lineRule="exact"/>
        <w:rPr>
          <w:sz w:val="20"/>
          <w:szCs w:val="20"/>
          <w:color w:val="auto"/>
        </w:rPr>
      </w:pPr>
    </w:p>
    <w:p>
      <w:pPr>
        <w:sectPr>
          <w:pgSz w:w="11900" w:h="16897" w:orient="portrait"/>
          <w:cols w:equalWidth="0" w:num="2">
            <w:col w:w="4460" w:space="540"/>
            <w:col w:w="6420"/>
          </w:cols>
          <w:pgMar w:left="240" w:top="121"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2340" w:type="dxa"/>
            <w:vAlign w:val="bottom"/>
            <w:gridSpan w:val="3"/>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234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50,703</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settlement for taxes and/or exercise price related to</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9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(6,758)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50,984</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(46,582</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Trade accounts payable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(314,355)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(326,215)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314,355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follow-on offering, net of cash paid for issuance costs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1" w:right="23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14,379</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78,848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81,258</w:t>
            </w: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104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93,227</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Build-out allowance received from landlords</w:t>
            </w:r>
          </w:p>
        </w:tc>
        <w:tc>
          <w:tcPr>
            <w:tcW w:w="15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197"/>
        </w:trPr>
        <w:tc>
          <w:tcPr>
            <w:tcW w:w="7260" w:type="dxa"/>
            <w:vAlign w:val="bottom"/>
            <w:tcBorders>
              <w:top w:val="single" w:sz="8" w:color="CCEEFF"/>
              <w:bottom w:val="single" w:sz="8" w:color="CCEEFF"/>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Purchase of property and equipment and internal-use software, accrued but not paid</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5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September 2015, the Company completed a secondary offering in which its existing shareholders sold 3,740 shares of common stock at a public offering price of $29.75 per share. The Company did not receive any proceeds from the sale of common stock by the existing shareholders.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October 2015, the underwriters for the Company’s secondary offering exercised their option to purchase 561 additional shares from certain shareholders of the Company as described in the final prospectus filed with the Securities and Exchange Commission (“SEC”) on September 25, 2015. The Company did not receive any proceeds from the sale of common stock by the existing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Consolidation and Use of Estimates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8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results of operations, financial position, changes in stockholders’ equity and cash flows. The results of operations for the three and nine months ended March 31, 2016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2015 included in the Company’s Annual Report on Form 10-K filed with the SEC on August 14, 2015.</w:t>
      </w:r>
    </w:p>
    <w:p>
      <w:pPr>
        <w:spacing w:after="0" w:line="18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Differences in the normal relationship between the income tax benefit (expense) and pre-tax income (loss) materially result from the existence of a valuation allowance recorded against the preponderance of the net deferred tax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ectPr>
          <w:pgSz w:w="11900" w:h="16838" w:orient="portrait"/>
          <w:cols w:equalWidth="0" w:num="1">
            <w:col w:w="11420"/>
          </w:cols>
          <w:pgMar w:left="240" w:top="121" w:right="239" w:bottom="0" w:gutter="0" w:footer="0" w:header="0"/>
        </w:sectPr>
      </w:pPr>
    </w:p>
    <w:bookmarkStart w:id="5" w:name="page6"/>
    <w:bookmarkEnd w:id="5"/>
    <w:p>
      <w:pPr>
        <w:spacing w:after="0" w:line="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80"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the FASB issued ASU 2016-08, </w:t>
      </w:r>
      <w:r>
        <w:rPr>
          <w:rFonts w:ascii="Times New Roman" w:cs="Times New Roman" w:eastAsia="Times New Roman" w:hAnsi="Times New Roman"/>
          <w:sz w:val="18"/>
          <w:szCs w:val="18"/>
          <w:i w:val="1"/>
          <w:iCs w:val="1"/>
          <w:color w:val="auto"/>
        </w:rPr>
        <w:t>Revenue from Contracts with Customers (Topic 606): Principal versus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Considerations (Reporting Revenue Gross versus Net) </w:t>
      </w:r>
      <w:r>
        <w:rPr>
          <w:rFonts w:ascii="Times New Roman" w:cs="Times New Roman" w:eastAsia="Times New Roman" w:hAnsi="Times New Roman"/>
          <w:sz w:val="18"/>
          <w:szCs w:val="18"/>
          <w:color w:val="auto"/>
        </w:rPr>
        <w:t>(“ASU 2016-08”) to amend certain guidance in ASU 2014-09. These amendments are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the operability and understandability of the implementation guidance on principal versus agent considerations. Topic 606 allows for 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w:t>
      </w:r>
    </w:p>
    <w:p>
      <w:pPr>
        <w:spacing w:after="0" w:line="193"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(Topic 740) (“ASU 2015-17”). ASU 2015-17 requires all deferred income tax assets and liabilities to be classified as non-current in a classified balance sheet. This ASU would first apply prospectively or retrospectively for fiscal years beginning after December 15, 2016. Earlier adoption is permitted as of the beginning of an interim or annual reporting period. The Company is currently assessing the potential effects of these changes to its consolidated financial statements and is evaluating the adoption method and timing.</w:t>
      </w:r>
    </w:p>
    <w:p>
      <w:pPr>
        <w:spacing w:after="0" w:line="180"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is currently assessing the potential effects of these changes to its consolidated financial statements and is evaluating the timing of adoption.</w:t>
      </w:r>
    </w:p>
    <w:p>
      <w:pPr>
        <w:spacing w:after="0" w:line="18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Balance Sheet Information</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2015</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(21,245)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280" w:type="dxa"/>
            <w:vAlign w:val="bottom"/>
            <w:tcBorders>
              <w:top w:val="single" w:sz="8" w:color="auto"/>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included in Cost of Revenues-Recurring Revenues and amounted to $643 and $1,504 for the three months ended March 31, 2015 and 2016, respectively and $1,921 and $3,869 for the nine months ended March 31, 2015 and 2016,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11,783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16,486</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2,423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5,112</w:t>
            </w:r>
          </w:p>
        </w:tc>
      </w:tr>
      <w:tr>
        <w:trPr>
          <w:trHeight w:val="205"/>
        </w:trPr>
        <w:tc>
          <w:tcPr>
            <w:tcW w:w="6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line="205" w:lineRule="exact"/>
              <w:rPr>
                <w:sz w:val="20"/>
                <w:szCs w:val="20"/>
                <w:color w:val="auto"/>
              </w:rPr>
            </w:pPr>
            <w:r>
              <w:rPr>
                <w:rFonts w:ascii="Times New Roman" w:cs="Times New Roman" w:eastAsia="Times New Roman" w:hAnsi="Times New Roman"/>
                <w:sz w:val="18"/>
                <w:szCs w:val="18"/>
                <w:color w:val="auto"/>
              </w:rPr>
              <w:t>6,639</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10,465</w:t>
            </w:r>
          </w:p>
        </w:tc>
      </w:tr>
    </w:tbl>
    <w:p>
      <w:pPr>
        <w:sectPr>
          <w:pgSz w:w="11900" w:h="16900" w:orient="portrait"/>
          <w:cols w:equalWidth="0" w:num="1">
            <w:col w:w="11420"/>
          </w:cols>
          <w:pgMar w:left="240" w:top="121" w:right="239" w:bottom="0" w:gutter="0" w:footer="0" w:header="0"/>
        </w:sectPr>
      </w:pPr>
    </w:p>
    <w:bookmarkStart w:id="6" w:name="page7"/>
    <w:bookmarkEnd w:id="6"/>
    <w:p>
      <w:pPr>
        <w:spacing w:after="0" w:line="8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4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3,914</w:t>
            </w:r>
          </w:p>
        </w:tc>
      </w:tr>
      <w:tr>
        <w:trPr>
          <w:trHeight w:val="210"/>
        </w:trPr>
        <w:tc>
          <w:tcPr>
            <w:tcW w:w="6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(17,472)</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$1,252 and $1,835 for the three months ended March 31, 2015 and 2016, respectively and $3,754 and $4,864 for the nine months ended March 31, 2015 and 2016,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4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years</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 years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8"/>
          <w:szCs w:val="18"/>
          <w:color w:val="auto"/>
        </w:rPr>
        <w:t xml:space="preserve">Amortization expense for acquired intangible assets was $190 and $381 for the three months </w:t>
      </w:r>
      <w:r>
        <w:rPr>
          <w:rFonts w:ascii="Times New Roman" w:cs="Times New Roman" w:eastAsia="Times New Roman" w:hAnsi="Times New Roman"/>
          <w:sz w:val="17"/>
          <w:szCs w:val="17"/>
          <w:color w:val="auto"/>
        </w:rPr>
        <w:t>ended March 31, 2015 and 2016, respectively and $570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and $1,142 for the nine months ended March 31, 2015 and 2016, respectively. Future amortization expense for acquired intangible assets is as follows, as of March 31, 2016:</w:t>
      </w:r>
    </w:p>
    <w:p>
      <w:pPr>
        <w:spacing w:after="0" w:line="19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2016</w:t>
            </w:r>
          </w:p>
        </w:tc>
        <w:tc>
          <w:tcPr>
            <w:tcW w:w="22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r>
      <w:tr>
        <w:trPr>
          <w:trHeight w:val="210"/>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3,577</w:t>
            </w:r>
          </w:p>
        </w:tc>
        <w:tc>
          <w:tcPr>
            <w:tcW w:w="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applies the fair value measurement and disclosure provisions of ASC 820, Fair Value Measurements and Disclosures, and ASU 2011-04, </w:t>
      </w:r>
      <w:r>
        <w:rPr>
          <w:rFonts w:ascii="Times New Roman" w:cs="Times New Roman" w:eastAsia="Times New Roman" w:hAnsi="Times New Roman"/>
          <w:sz w:val="18"/>
          <w:szCs w:val="18"/>
          <w:i w:val="1"/>
          <w:iCs w:val="1"/>
          <w:color w:val="auto"/>
        </w:rPr>
        <w:t>Fair Value Measurement (Topic 820): Amendments to Achieve Common Fair Value Measurement and Disclosure Requirements in U.S. GAAP and IFRS</w:t>
      </w:r>
      <w:r>
        <w:rPr>
          <w:rFonts w:ascii="Times New Roman" w:cs="Times New Roman" w:eastAsia="Times New Roman" w:hAnsi="Times New Roman"/>
          <w:sz w:val="18"/>
          <w:szCs w:val="18"/>
          <w:color w:val="auto"/>
        </w:rPr>
        <w:t>.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4" w:lineRule="exact"/>
        <w:rPr>
          <w:sz w:val="20"/>
          <w:szCs w:val="20"/>
          <w:color w:val="auto"/>
        </w:rPr>
      </w:pPr>
    </w:p>
    <w:p>
      <w:pPr>
        <w:ind w:left="900" w:hanging="13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760" w:right="520" w:firstLine="4"/>
        <w:spacing w:after="0" w:line="282"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760" w:right="520" w:firstLine="4"/>
        <w:spacing w:after="0" w:line="266"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76"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and accounts payable, to approximate the fair value of the respective assets and liabilities at June 30, 2015 and March 31, 2016 based upon the short-term nature of the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Benefit Plans</w:t>
      </w:r>
    </w:p>
    <w:p>
      <w:pPr>
        <w:spacing w:after="0" w:line="225"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w:t>
      </w:r>
    </w:p>
    <w:p>
      <w:pPr>
        <w:sectPr>
          <w:pgSz w:w="11900" w:h="16925" w:orient="portrait"/>
          <w:cols w:equalWidth="0" w:num="1">
            <w:col w:w="11460"/>
          </w:cols>
          <w:pgMar w:left="240" w:top="121" w:right="199" w:bottom="0" w:gutter="0" w:footer="0" w:header="0"/>
        </w:sectPr>
      </w:pPr>
    </w:p>
    <w:bookmarkStart w:id="7" w:name="page8"/>
    <w:bookmarkEnd w:id="7"/>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of directors. The Company’s board of directors determined that, effective January 1, 2016, it would increase the number of common shares in reserve for issuance under the 2014 Plan by 2,293 shares.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2016, the Company had 10,810 shares allocated to the plans, of which 4,676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 The following table summarizes changes in the number of shares available for grant under our equity incentive plans during the nine months ended March 31, 2016:</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3"/>
        </w:trPr>
        <w:tc>
          <w:tcPr>
            <w:tcW w:w="6060" w:type="dxa"/>
            <w:vAlign w:val="bottom"/>
          </w:tcPr>
          <w:p>
            <w:pPr>
              <w:spacing w:after="0"/>
              <w:rPr>
                <w:sz w:val="15"/>
                <w:szCs w:val="15"/>
                <w:color w:val="auto"/>
              </w:rPr>
            </w:pPr>
          </w:p>
        </w:tc>
        <w:tc>
          <w:tcPr>
            <w:tcW w:w="14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July 1,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2016 Evergreen provision</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 exercise price</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removed</w:t>
            </w: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 at March 31, 2016</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 payment of exercise price related to grants made under the 2008 Plan. As noted above, no new awards will be issued under the 2008 Plan.</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w:t>
      </w:r>
    </w:p>
    <w:p>
      <w:pPr>
        <w:spacing w:after="0" w:line="143"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98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recurring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non-recurring</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3,313</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5,628</w:t>
            </w:r>
          </w:p>
        </w:tc>
        <w:tc>
          <w:tcPr>
            <w:tcW w:w="80" w:type="dxa"/>
            <w:vAlign w:val="bottom"/>
            <w:shd w:val="clear" w:color="auto" w:fill="CCEEFF"/>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$180 and $281 of stock-based compensation expense in its internal-use software in the three months ended March 31, 2015 and 2016, respectively and $490 and $823 in the nine months ended March 31, 2015 and 2016,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As the Company has a limited history of trading as a public company, the Company utilizes the simplified method due to the lack of sufficient historical exercise data to provide a reasonable basis upon which to otherwise estimate the expected 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assumptions used for estimating the fair value of stock options granted for the nine months ended March 31:</w:t>
      </w:r>
    </w:p>
    <w:p>
      <w:pPr>
        <w:spacing w:after="0" w:line="21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Period ended</w:t>
      </w: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6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Valuation assumptions: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r>
    </w:tbl>
    <w:p>
      <w:pPr>
        <w:sectPr>
          <w:pgSz w:w="11900" w:h="16838" w:orient="portrait"/>
          <w:cols w:equalWidth="0" w:num="1">
            <w:col w:w="11400"/>
          </w:cols>
          <w:pgMar w:left="240" w:top="121" w:right="259" w:bottom="0" w:gutter="0" w:footer="0" w:header="0"/>
        </w:sectPr>
      </w:pPr>
    </w:p>
    <w:bookmarkStart w:id="8" w:name="page9"/>
    <w:bookmarkEnd w:id="8"/>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table below presents stock option activity during the nine months ended March 31, 2016:</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2015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35.28</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8.93</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March 31, 2016</w:t>
            </w:r>
          </w:p>
        </w:tc>
        <w:tc>
          <w:tcPr>
            <w:tcW w:w="8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2,342</w:t>
            </w:r>
          </w:p>
        </w:tc>
        <w:tc>
          <w:tcPr>
            <w:tcW w:w="3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9.10</w:t>
            </w:r>
          </w:p>
        </w:tc>
        <w:tc>
          <w:tcPr>
            <w:tcW w:w="28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6.51</w:t>
            </w: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55,365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 at March 31, 2016</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3,627</w:t>
            </w: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11.80</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6.97</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76,297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77" w:lineRule="auto"/>
        <w:rPr>
          <w:sz w:val="20"/>
          <w:szCs w:val="20"/>
          <w:color w:val="auto"/>
        </w:rPr>
      </w:pPr>
      <w:r>
        <w:rPr>
          <w:rFonts w:ascii="Times New Roman" w:cs="Times New Roman" w:eastAsia="Times New Roman" w:hAnsi="Times New Roman"/>
          <w:sz w:val="17"/>
          <w:szCs w:val="17"/>
          <w:color w:val="auto"/>
        </w:rPr>
        <w:t>There were no options granted during either of the three months ended March 31, 2015 and 2016. The weighted average grant date fair value of options granted during the nine months ended March 31, 2015 and 2016 was $11.15 and $12.92, respectively. The total intrinsic value of options exercised was $5,054 and $908 during the three-month periods ended March 31, 2015 and 2016, respectively and $7,117 and $8,496 during the nine-month periods ended March 31, 2015 and 2016, respectively. At March 31, 2016, there was $3,589 of total unrecognized compensation cost, net of estimated forfeitures, related to unvested stock option granted under the Plan. That cost is expected to be recognized over a weighted average period of 1.58 years.</w:t>
      </w:r>
    </w:p>
    <w:p>
      <w:pPr>
        <w:spacing w:after="0" w:line="16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attainment of certain performance benchmarks. The following table represents restricted stock unit activity during the nine months ended March 31, 2016:</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July 1, 2015</w:t>
            </w: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cancelled/forfeited</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March 31, 2016</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RSUs expected to vest at March 31, 2016</w:t>
            </w: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862</w:t>
            </w: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At March 31, 2016, there was $17,416 of total unrecognized compensation cost, net of estimated forfeitures, related to unvested restricted stock awards granted under the Plan. That cost is expected to be recognized over a weighted average period of 2.19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Company’s 2014 Employee Stock Purchase Plan (“ESPP”) was adopted by the Company’s board of directors and approved by the stockholders on February 6, 2014 and was effective upon completion of the Company’s initial public offering.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8"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As of March 31, 2016, a total of 1,003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 For fiscal year 2016, the Company’s board of directors determined that it would not increase the number of common shares reserved for issuance under the ESPP.</w:t>
      </w:r>
    </w:p>
    <w:p>
      <w:pPr>
        <w:spacing w:after="0" w:line="16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50 shares upon the completion of its six-month offering period ending November 15, 2015. The Company recorded compensation expense attributable to the ESPP of $176 and $283 for the three months ended March 31, 2015 and 2016, respectively and $460 and $791 for the nine months ended March 31, 2015 and 2016, respectively, which is included in the summary of stock-based compensation expense above. The grant date fair value of the ESPP offering periods during the nine months ended March 31 was estimated using the following weighted average assumptions:</w:t>
      </w:r>
    </w:p>
    <w:p>
      <w:pPr>
        <w:spacing w:after="0" w:line="174"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Period ended</w:t>
      </w: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8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Valuation assumptions: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 — 41.7%</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44.1 - 48.4%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 — 0.5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 — 0.06%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0.11 - 0.31%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401(k) Plan</w:t>
      </w:r>
    </w:p>
    <w:p>
      <w:pPr>
        <w:sectPr>
          <w:pgSz w:w="11900" w:h="16852" w:orient="portrait"/>
          <w:cols w:equalWidth="0" w:num="1">
            <w:col w:w="11420"/>
          </w:cols>
          <w:pgMar w:left="240" w:top="121" w:right="239" w:bottom="0" w:gutter="0" w:footer="0" w:header="0"/>
        </w:sectPr>
      </w:pPr>
    </w:p>
    <w:bookmarkStart w:id="9" w:name="page10"/>
    <w:bookmarkEnd w:id="9"/>
    <w:p>
      <w:pPr>
        <w:spacing w:after="0" w:line="1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with a safe harbor matching provision that covers all eligible employees. Up to December 31, 2015, the Company matched 50% of the employees’ contributions up to 6% of their gross pay. Effective January 1, 2016, the Company increased its match to 50% of employees’ contributions up to 8% of their gross pay. Contributions were $474 and $821 for the three-month periods ended March 31, 2015 and 2016, respectively and were $1,183 and $1,937 for the nine-month periods ended March 31, 2015 and 2016,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(Loss) Per Share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computed using the weighted-average number of common shares outstanding during the period. Diluted net income (loss)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and are reflected in diluted earnings per share by application of the treasury stock method. The following table presents the calculation of basic and diluted net income (loss) per share:</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1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(9,543)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50,962</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50,865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5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Employee stock options, restricted stock units and employee stock</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 shares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w:t>
            </w:r>
          </w:p>
        </w:tc>
        <w:tc>
          <w:tcPr>
            <w:tcW w:w="2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Pr>
          <w:p>
            <w:pPr>
              <w:spacing w:after="0"/>
              <w:rPr>
                <w:sz w:val="20"/>
                <w:szCs w:val="20"/>
                <w:color w:val="auto"/>
              </w:rPr>
            </w:pPr>
          </w:p>
        </w:tc>
      </w:tr>
      <w:tr>
        <w:trPr>
          <w:trHeight w:val="210"/>
        </w:trPr>
        <w:tc>
          <w:tcPr>
            <w:tcW w:w="5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49,954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15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96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4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4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2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an estimated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income tax benefit (expense) of $(4) and $43 for the three-month periods ended March 31, 2015 and 2016, respectively and $(66) and $(143) for the nine-month periods ended March 31, 2015 and 2016, respectively. The Company’s effective tax rate for the three and nine months ended March 31, 2015 and 2016 differs from statutory rates primarily due to the existence of a valuation allowance recorded against the preponderance of the net deferred tax assets.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2015 and for the nine months ending March 31, 2016. As of March 31, 2016, the Company had no unrecognized tax benefits.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20" w:firstLine="41"/>
        <w:spacing w:after="0" w:line="282" w:lineRule="auto"/>
        <w:rPr>
          <w:sz w:val="20"/>
          <w:szCs w:val="20"/>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7"/>
          <w:szCs w:val="17"/>
          <w:i w:val="1"/>
          <w:iCs w:val="1"/>
          <w:color w:val="auto"/>
        </w:rPr>
        <w:t>he statements included herein that are not based solely on historical facts are “forward looking statements.” Such forward-looking statements 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i w:val="1"/>
          <w:iCs w:val="1"/>
          <w:color w:val="auto"/>
        </w:rPr>
        <w:t>current expectations and assumptions that are subject to risks and uncertainties. Our actual results could differ materially from those anticipated by us in these</w:t>
      </w:r>
    </w:p>
    <w:p>
      <w:pPr>
        <w:sectPr>
          <w:pgSz w:w="11900" w:h="16850" w:orient="portrait"/>
          <w:cols w:equalWidth="0" w:num="1">
            <w:col w:w="11420"/>
          </w:cols>
          <w:pgMar w:left="240" w:top="337" w:right="23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forward-looking statements as a result of various factors, including those discussed below and under Part II, Item 1A: “Risk Factors.”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380" w:firstLine="648"/>
        <w:spacing w:after="0" w:line="281" w:lineRule="auto"/>
        <w:rPr>
          <w:sz w:val="20"/>
          <w:szCs w:val="20"/>
          <w:color w:val="auto"/>
        </w:rPr>
      </w:pPr>
      <w:r>
        <w:rPr>
          <w:rFonts w:ascii="Times New Roman" w:cs="Times New Roman" w:eastAsia="Times New Roman" w:hAnsi="Times New Roman"/>
          <w:sz w:val="17"/>
          <w:szCs w:val="17"/>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w:t>
      </w:r>
    </w:p>
    <w:p>
      <w:pPr>
        <w:spacing w:after="0" w:line="16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operating subsidiary Paylocity Corporation was incorporated in July 1997 as an Illinois corporation. In November 2013, we formed Paylocity Holding Corporation, a Delaware corporation, of which Paylocity Corporation is a wholly-owned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Growth</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$105.9 million for the nine months ended March 31, 2015 to $162.3 million for the nine months ended March 31, 2016, representing a 53% year-over-year increase. Recurring revenue represented 94% and 95% of total revenue during the nine month periods ended March 31, 2015 and 2016, respectively. Recurring revenue increased from $43.9 million for the three months ended March 31, 2015 to $67.1 million for the three months ended March 31, 2016, representing a 53% year-over-year increase. Recurring revenue represented 93% and 95% of total revenue during the three month periods ended March 31, 2015 and 2016,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Fees from New Clients</w:t>
      </w:r>
    </w:p>
    <w:p>
      <w:pPr>
        <w:sectPr>
          <w:pgSz w:w="11900" w:h="16838" w:orient="portrait"/>
          <w:cols w:equalWidth="0" w:num="1">
            <w:col w:w="11420"/>
          </w:cols>
          <w:pgMar w:left="240" w:top="123" w:right="239" w:bottom="108" w:gutter="0" w:footer="0" w:header="0"/>
        </w:sectPr>
      </w:pPr>
    </w:p>
    <w:bookmarkStart w:id="11" w:name="page12"/>
    <w:bookmarkEnd w:id="11"/>
    <w:p>
      <w:pPr>
        <w:spacing w:after="0" w:line="3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47% and 48% for the three months ended March 31, 2015 and 2016, respectively, and 42% and 43% for the nine months ended March 31, 2015 and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Adjusted Recurring Gross Profit and Adjusted EBITDA</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(loss)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(loss) before interest expense, income tax expense, depreciation and amortization, stock-based compensation expense, and employer payroll taxes related to stock releases and option exercises. The table below sets forth our Adjusted Gross Profit, Adjusted Recurring Gross Profit and Adjusted EBITDA for the periods presented.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left="3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left="3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29,435</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45,627</w:t>
            </w: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64,130</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105,449</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32,415</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50,469</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74,447</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119,648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7,526</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14,612</w:t>
            </w: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7,651</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25,139</w:t>
            </w:r>
          </w:p>
        </w:tc>
      </w:tr>
      <w:tr>
        <w:trPr>
          <w:trHeight w:val="340"/>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left="3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left="3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from Gross Profit to</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27,990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43,361</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59,914</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99,358</w:t>
            </w: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capitalized internal-use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costs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3,869</w:t>
            </w: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 payroll taxes related to stock</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releases and option exercises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802</w:t>
            </w:r>
          </w:p>
        </w:tc>
        <w:tc>
          <w:tcPr>
            <w:tcW w:w="3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w:t>
            </w:r>
          </w:p>
        </w:tc>
      </w:tr>
      <w:tr>
        <w:trPr>
          <w:trHeight w:val="210"/>
        </w:trPr>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Gross Profit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left="3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left="3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from Total Recurring</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Revenues to Adjusted Recurring Gross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revenues</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43,936</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67,082</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105,886</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162,320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12,606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47,858</w:t>
            </w:r>
          </w:p>
        </w:tc>
      </w:tr>
      <w:tr>
        <w:trPr>
          <w:trHeight w:val="21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gross profit</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114,462</w:t>
            </w:r>
          </w:p>
        </w:tc>
        <w:tc>
          <w:tcPr>
            <w:tcW w:w="100" w:type="dxa"/>
            <w:vAlign w:val="bottom"/>
          </w:tcPr>
          <w:p>
            <w:pPr>
              <w:spacing w:after="0"/>
              <w:rPr>
                <w:sz w:val="18"/>
                <w:szCs w:val="18"/>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capitalized internal-use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costs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3,869</w:t>
            </w: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 payroll taxes related to stock</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releases and option exercises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r>
      <w:tr>
        <w:trPr>
          <w:trHeight w:val="210"/>
        </w:trPr>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left="3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left="3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from Net Income (Loss) to</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1,752</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6,161</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(9,543)</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2,085</w:t>
            </w: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9,875</w:t>
            </w:r>
          </w:p>
        </w:tc>
      </w:tr>
      <w:tr>
        <w:trPr>
          <w:trHeight w:val="210"/>
        </w:trPr>
        <w:tc>
          <w:tcPr>
            <w:tcW w:w="3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and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3,685</w:t>
            </w:r>
          </w:p>
        </w:tc>
        <w:tc>
          <w:tcPr>
            <w:tcW w:w="3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13,560</w:t>
            </w:r>
          </w:p>
        </w:tc>
      </w:tr>
    </w:tbl>
    <w:p>
      <w:pPr>
        <w:sectPr>
          <w:pgSz w:w="11900" w:h="16875" w:orient="portrait"/>
          <w:cols w:equalWidth="0" w:num="1">
            <w:col w:w="11360"/>
          </w:cols>
          <w:pgMar w:left="240" w:top="121" w:right="2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 payroll taxes related to stock</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releases and option exercises</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4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clients have consistently had on average between 95 and 115 employees. We derive revenue from a client based on the solutions purchased by the client, the number of client employees as well as the amount, type and timing of services provided in respect of those client employees. As such, the number of client employees on our system is not a good indicator of our financial results in any period. Recurring fees attributable to our cloud-based payroll and HCM solutions accounted for 92% and 94% of our total revenues during the three months ended March 31, 2015 and 2016, respectively, and 93% and 94% of our total revenues during the nine month periods ended March 31, 2015 and 2016, respectively.</w:t>
      </w:r>
    </w:p>
    <w:p>
      <w:pPr>
        <w:spacing w:after="0" w:line="18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Costs of recurring revenues are generally expensed as incurred, and include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third-party reseller costs, delivery costs, computing costs and amortization of capitalized internal-use software costs, as well as bank fees associated with client fund transfers. We expect to realize cost efficiencies over the long term as our business scales, resulting in improved operating leverage and increased margins.</w:t>
      </w:r>
    </w:p>
    <w:p>
      <w:pPr>
        <w:spacing w:after="0" w:line="184"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internal-use software costs, which are then all amortized as a cost of recurring revenues. We amortized $0.6 million and $1.5 million during the three months ended March 31, 2015 and 2016, respectively, and $1.9 million and $3.9 million during the nine months ended March 31, 2015 and 2016,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Cost of implementation services and other consists almost entirely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expanding our client base, and doing so will require increased personnel to implement our</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solutions. Therefore our cost of implementation services and other is expected to increase in absolute dollars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ectPr>
          <w:pgSz w:w="11900" w:h="16838" w:orient="portrait"/>
          <w:cols w:equalWidth="0" w:num="1">
            <w:col w:w="11460"/>
          </w:cols>
          <w:pgMar w:left="240" w:top="121" w:right="199" w:bottom="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ectPr>
          <w:pgSz w:w="11900" w:h="16838" w:orient="portrait"/>
          <w:cols w:equalWidth="0" w:num="1">
            <w:col w:w="11460"/>
          </w:cols>
          <w:pgMar w:left="240" w:top="121" w:right="199" w:bottom="0" w:gutter="0" w:footer="0" w:header="0"/>
          <w:type w:val="continuous"/>
        </w:sectPr>
      </w:pPr>
    </w:p>
    <w:bookmarkStart w:id="13" w:name="page14"/>
    <w:bookmarkEnd w:id="13"/>
    <w:p>
      <w:pPr>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8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benefits and bonuses.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2015 and 2016.</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100" w:type="dxa"/>
            <w:vAlign w:val="bottom"/>
            <w:gridSpan w:val="5"/>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72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7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5,053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18,987</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72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9,135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other employee-related costs, including wages, benefits, stock-based compensation and bonuses for our administrative, finance, accounting, and human resources departments. Additional expenses include consulting and professional fees, insurance and other corporate expenses.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in absolute dollars as a result of our operation as a public company. These expenses will also include costs associated with compliance with regulations governing public companies, costs of directors’ and officers’ liability insurance and professional services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received on our cash and cash equivalents and disposals of property and equipment.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center"/>
              <w:ind w:left="4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43,335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66,279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160,374</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r>
      <w:tr>
        <w:trPr>
          <w:trHeight w:val="210"/>
        </w:trPr>
        <w:tc>
          <w:tcPr>
            <w:tcW w:w="4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8,542</w:t>
            </w:r>
          </w:p>
        </w:tc>
      </w:tr>
      <w:tr>
        <w:trPr>
          <w:trHeight w:val="210"/>
        </w:trPr>
        <w:tc>
          <w:tcPr>
            <w:tcW w:w="4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170,862</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4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47,858</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23,646</w:t>
            </w:r>
          </w:p>
        </w:tc>
      </w:tr>
      <w:tr>
        <w:trPr>
          <w:trHeight w:val="210"/>
        </w:trPr>
        <w:tc>
          <w:tcPr>
            <w:tcW w:w="4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59,914</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00" w:type="dxa"/>
            <w:vAlign w:val="bottom"/>
            <w:tcBorders>
              <w:bottom w:val="single" w:sz="8" w:color="CCEEFF"/>
            </w:tcBorders>
          </w:tcPr>
          <w:p>
            <w:pPr>
              <w:spacing w:after="0"/>
              <w:rPr>
                <w:sz w:val="18"/>
                <w:szCs w:val="18"/>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31,152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44,471</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18,987</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24,068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34,410</w:t>
            </w:r>
          </w:p>
        </w:tc>
      </w:tr>
      <w:tr>
        <w:trPr>
          <w:trHeight w:val="210"/>
        </w:trPr>
        <w:tc>
          <w:tcPr>
            <w:tcW w:w="4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69,571</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97,868</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33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(9,657)</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10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10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400" w:type="dxa"/>
            <w:vAlign w:val="bottom"/>
            <w:tcBorders>
              <w:bottom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5"/>
          </w:tcPr>
          <w:p>
            <w:pPr>
              <w:jc w:val="center"/>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5"/>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4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2015 and 2016</w:t>
            </w: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Recurring fees for the three months ended March 31, 2016 increased by $22.9 million, or 53%, to $66.3 million from $43.3 million for the three months ended March 31, 2015. Recurring fees increased primarily as a result of incremental revenues from new and existing clients, including revenue related to our Affordable Care Act (“ACA”) compliance solution offered to new and existing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March 31, 2016 increased by $0.2 million, or 34% to $0.8 million from $0.6 million for the three months ended March 31, 2015. Interest income on funds held for clients increased primarily as a result of an increased average daily balance for funds held due to the addition of new clients to our client base.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revenue for the three months ended March 31, 2016 increased by $0.2 million, or 5%, to $3.5 million from $3.3 million for the three months ended March 31, 2015. Implementation services and other revenue increased primarily as a result of an increase in the number of new clients during the three months ended March 31, 2016 in comparison to the three months ended March 31, 2015.</w:t>
      </w:r>
    </w:p>
    <w:p>
      <w:pPr>
        <w:sectPr>
          <w:pgSz w:w="11900" w:h="16838" w:orient="portrait"/>
          <w:cols w:equalWidth="0" w:num="1">
            <w:col w:w="11460"/>
          </w:cols>
          <w:pgMar w:left="240" w:top="121" w:right="19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4"/>
          </w:tcPr>
          <w:p>
            <w:pPr>
              <w:jc w:val="center"/>
              <w:ind w:left="57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12,606</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18,576</w:t>
            </w: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5,970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1,957</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 implementation services and other revenue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3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Cost of recurring revenues for the three months ended March 31, 2016 increased by $6.0 million, or 47%, to $18.6 million from $12.6 million for the three months ended March 31, 2015. Cost of recurring revenues increased primarily as a result of the continued growth of our business, in particular</w:t>
      </w:r>
    </w:p>
    <w:p>
      <w:pPr>
        <w:ind w:right="120"/>
        <w:spacing w:after="0" w:line="253" w:lineRule="auto"/>
        <w:rPr>
          <w:sz w:val="20"/>
          <w:szCs w:val="20"/>
          <w:color w:val="auto"/>
        </w:rPr>
      </w:pPr>
      <w:r>
        <w:rPr>
          <w:rFonts w:ascii="Times New Roman" w:cs="Times New Roman" w:eastAsia="Times New Roman" w:hAnsi="Times New Roman"/>
          <w:sz w:val="18"/>
          <w:szCs w:val="18"/>
          <w:color w:val="auto"/>
        </w:rPr>
        <w:t>$3.3 million in employee-related costs resulting from additional personnel necessary to provide services to new and existing clients, $2.7 million in fees related to the delivery of our services and $0.9 million in increased internal-use software amortization, partially offset by a $0.9 million decrease in reseller expenses primarily due to our acquisition of our remaining reseller during fiscal 2015. Recurring gross margin increased from 71% for the three months ended March 31, 2015 to 72% for the three months ended March 31, 2016, primarily due to a reduction in reseller expenses, partially offset by an increase in internal-use software amortization and employee-related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implementation services and other for the three months ended March 31, 2016 increased by $2.0 million, or 29%, to $8.6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 million for the three months ended March 31, 2015. Cost of implementation services and other increased primarily due to an increase of $2.1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employee-related and other costs to implement our solutions for new and existing clients during the three months ended March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2016 increased by $5.0 million, or 40%, to $17.7 million from $12.7 million for the three months ended March 31, 2015. The increase in sales and marketing expenses was primarily the result of $4.1 million of additional employee-related expenses incurred due to the expansion of our sales force by 60 personnel (including management, sales engineers, direct sales and sales administration), our sales lead generation group by 27 personnel and our marketing team by 5 personnel.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for the three months ended March 31, 2016 increased by $1.7 million, or 34%, to $6.8 million from $5.1 million for the three months ended March 31, 2015. The increase in research and development expense was primarily as a result of $2.5 million in employee-related expenses related to 54 additional development personnel, partially offset by higher year-over-year internal-use software capitalization of $1.1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2016 increased by $4.2 million, or 49%, to $12.7 million from</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$8.6 million for the three months ended March 31, 2015. The increase was primarily the result of $1.7 million of additional employee-related expenses related to 40 additional personnel, $0.8 million of additional stock-based compensation expense, $0.8 million of increased professional services fees and $0.4 million of increased occupancy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ectPr>
          <w:pgSz w:w="11900" w:h="16838" w:orient="portrait"/>
          <w:cols w:equalWidth="0" w:num="1">
            <w:col w:w="11420"/>
          </w:cols>
          <w:pgMar w:left="240" w:top="333"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gridSpan w:val="3"/>
          </w:tcPr>
          <w:p>
            <w:pPr>
              <w:jc w:val="center"/>
              <w:ind w:right="48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for the three months ended March 31, 2016 was not materially different as compared to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3"/>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gridSpan w:val="3"/>
          </w:tcPr>
          <w:p>
            <w:pPr>
              <w:jc w:val="center"/>
              <w:ind w:right="5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Income tax benefit (expense) for the three months ended March 31, 2016 was not materially different as compared to the three months ended March 31, 2015.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2015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1,354</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6,808</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1,734</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Recurring fees for the nine months ended March 31, 2016 increased by $55.8 million, or 53%, to $160.4 million from $104.5 million for the nine months ended March 31, 2015. Recurring fees increased primarily as a result of incremental revenues from new and existing clients, including revenue related to our Affordable Care Act (“ACA”) compliance solution offered to new and existing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2016 increased by $0.6 million, or 44% to $1.9 million from $1.4 million for the nine months ended March 31, 2015. Interest income on funds held for clients increased primarily as a result of an increased average daily balance for funds held due to the addition of new clients to our client base.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revenue for the nine months ended March 31, 2016 increased by $1.7 million, or 25%, to $8.5 million from $6.8 million for the nine months ended March 31, 2015. Implementation services and other revenue increased primarily as a result of an increase in the number of new clients during the nine months ended March 31, 2016 in comparison to the nine months ended March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4"/>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4"/>
          </w:tcPr>
          <w:p>
            <w:pPr>
              <w:jc w:val="center"/>
              <w:ind w:left="59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34,616</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47,858</w:t>
            </w: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13,242</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18,164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23,646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5,482</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 implementation services and other</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3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8" w:right="239"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recurring revenues for the nine months ended March 31, 2016 increased by $13.2 million, or 38%, to $47.9 million from $34.6 million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March 31, 2015. Cost of recurring revenues increased primarily as a result of the continued growth of our business, in particular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million in employee-related costs resulting from additional personnel necessary to provide services to new and existing clients and $5.9 million in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delivery of our services, and a $1.9 million increase in internal-use software amortization, partially offset by a $2.2 million decrease in reseller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primarily due to our acquisition of our remaining reseller during fiscal 2015. Recurring gross margin increased from 67%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 to 71% for the nine months ended March 31, 2016, primarily due to a reduction in reseller expenses and a decrease in fees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our services as a percentage of total recurring revenue, partially offset by an increase in internal-use software amortization.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implementation services and other for the nine months ended March 31, 2016 increased by $5.5 million, or 30%, to $23.6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 million for the nine months ended March 31, 2015. Cost of implementation services and other increased primarily due to an increase of $5.6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employee-related costs to implement our solutions for new and existing clients during the nine months ended March 31, 2016, partially offset by a $0.2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decrease in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6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2016 increased by $13.3 million, or 43%, to $44.5 million from $31.2 million for the nine months ended March 31, 2015. The increase in sales and marketing expenses was primarily the result of $11.4 million of additional employee-related expenses incurred due to the expansion of our sales force by 60 personnel (including management, sales engineers, direct sales and sales administration), our sales lead generation group by 27 personnel and our marketing team by 5 personnel. The increase was also attributable to $0.7 million of additional stock-based compensation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6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for the nine months ended March 31, 2016 increased by $4.6 million, or 32%, to $19.0 million from $14.4 million for the nine months ended March 31, 2015. The increase in research and development expense was primarily as a result of $7.5 million in employee-related expenses related to 54 additional development personnel, partially offset by higher year-over-year internal-use software capitalization of $3.5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6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2016 increased by $10.3 million, or 43%, to $34.4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 million for the nine months ended March 31, 2015. The increase was primarily the result of $4.8 million of additional employee-related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40 additional personnel, $2.0 million of additional stock-based compensation expense, $1.0 million of increased occupancy costs incurred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our requirement for additional office space, $0.9 million of additional professional services fees, $0.6 million of additional intangible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$0.4 million in costs associated with the secondary offering completed during the first quarter of fiscal 2016.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40" w:type="dxa"/>
            <w:vAlign w:val="bottom"/>
            <w:gridSpan w:val="4"/>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4"/>
          </w:tcPr>
          <w:p>
            <w:pPr>
              <w:jc w:val="center"/>
              <w:ind w:right="44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0" w:gutter="0" w:footer="0" w:header="0"/>
        </w:sectPr>
      </w:pPr>
    </w:p>
    <w:bookmarkStart w:id="18" w:name="page19"/>
    <w:bookmarkEnd w:id="18"/>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for the nine months ended March 31, 2016 was not materially different as compared to the nine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40" w:type="dxa"/>
            <w:vAlign w:val="bottom"/>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center"/>
              <w:ind w:right="48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nine months ended March 31, 2016 was not materially different as compared to the nine months ended March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nine months ended March 31, 2016, there were no material changes to our critical accounting policies and use of estimates, which are disclosed in our audited consolidated financial statements for the year ended June 30, 2015 included in our Annual Report on Form 10-K filed with the SEC on August 14,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March 31, 2016, our principal source of liquidity was $89.7 million of cash and cash equivalents.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infrastructure generally.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borrowing capacity to satisfy those needs.</w:t>
      </w:r>
    </w:p>
    <w:p>
      <w:pPr>
        <w:spacing w:after="0" w:line="18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7620</wp:posOffset>
            </wp:positionV>
            <wp:extent cx="1903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7900"/>
        <w:spacing w:after="0"/>
        <w:tabs>
          <w:tab w:leader="none" w:pos="952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p>
    <w:tbl>
      <w:tblPr>
        <w:tblLayout w:type="fixed"/>
        <w:tblInd w:w="660" w:type="dxa"/>
        <w:tblCellMar>
          <w:top w:w="0" w:type="dxa"/>
          <w:left w:w="0" w:type="dxa"/>
          <w:bottom w:w="0" w:type="dxa"/>
          <w:right w:w="0" w:type="dxa"/>
        </w:tblCellMar>
      </w:tblP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6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337" w:right="239" w:bottom="0" w:gutter="0" w:footer="0" w:header="0"/>
        </w:sectPr>
      </w:pPr>
    </w:p>
    <w:bookmarkStart w:id="19" w:name="page20"/>
    <w:bookmarkEnd w:id="1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(2,544)</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(5,807)</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(6,331)</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(11,746)</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(2,985)</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(314,355)</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(831,757)</w:t>
            </w:r>
          </w:p>
        </w:tc>
      </w:tr>
      <w:tr>
        <w:trPr>
          <w:trHeight w:val="210"/>
        </w:trPr>
        <w:tc>
          <w:tcPr>
            <w:tcW w:w="55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(326,215)</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(849,793)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831,757</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follow-on offering, net of issuance costs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18,367</w:t>
            </w: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(3,171)</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(4,122)</w:t>
            </w:r>
          </w:p>
        </w:tc>
      </w:tr>
      <w:tr>
        <w:trPr>
          <w:trHeight w:val="210"/>
        </w:trPr>
        <w:tc>
          <w:tcPr>
            <w:tcW w:w="55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330,393</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2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$29.1 million for the nine months ended March 31, 2016 as compared to $10.2 million for the nine months ended March 31, 2015. The increase in net cash provided by operating activities from the nine months ended March 31, 2015 to the nine months ended March 31, 2016 was primarily due to improved operating results after adjusting for non-cash items including stock-based compensation and depreciation and amortization.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$849.8 million for the nine months ended March 31, 2016 as compared to $326.2 million for the nine months ended March 31, 2015 primarily due to the increase in funds held for clients.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Changes in net cash used in investing activities are significantly influenced by the amount of funds held for clients at the end of a reporting period. Changes in the amount of funds held for client from period to period will vary substantially. Our payroll processing activities involve the movement of significant funds from the account of an employer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Excluding the net change in funds held for clients, our net cash used in investing activities was $18.0 million for the nine months ended March 31, 2016 as compared to $11.9 million for the nine months ended March 31, 2015. The increase in net cash used in investing activities is primarily due to higher purchases of property and equipment and capitalized internal-use software costs, partially offset by lower payments for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$829.2 million for the nine months ended March 31, 2016 as compared to $330.4 million for the nine months ended March 31, 2015. The change in cash provided by financing activities was primarily the result of the increase in client fund obligations, partially offset by $18.4 million of proceeds related to the follow-on offering, net of issuance costs in the nine months ended March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March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10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3,301</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expect to increase capital spending as we continue to grow our business and expand and enhance our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$6.3 million and $11.7 million for the nine months ended March 31, 2015 and 2016, respectively, exclusive of capitalized internal-use software costs of $2.5 million and $5.8 million for the same periods,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ectPr>
          <w:pgSz w:w="11900" w:h="16838" w:orient="portrait"/>
          <w:cols w:equalWidth="0" w:num="1">
            <w:col w:w="11420"/>
          </w:cols>
          <w:pgMar w:left="240" w:top="140" w:right="239" w:bottom="0" w:gutter="0" w:footer="0" w:header="0"/>
        </w:sectPr>
      </w:pPr>
    </w:p>
    <w:bookmarkStart w:id="20" w:name="page21"/>
    <w:bookmarkEnd w:id="20"/>
    <w:p>
      <w:pPr>
        <w:spacing w:after="0" w:line="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March 31, 2016,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in the ordinary course of business. Management believes that there are no claims or actions pending or threatened against the Company, from which the ultimate disposition would have a material impact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in the past, and we may not be able to achieve or sustain profitability for the foreseeable future.</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We have incurred net losses from time to time. We incurred net losses of $130,000, $7,110,000, and $13,972,000 in fiscal 2011, fiscal 2014 and fiscal 2015, respectively.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w:t>
      </w:r>
    </w:p>
    <w:p>
      <w:pPr>
        <w:sectPr>
          <w:pgSz w:w="11900" w:h="16923" w:orient="portrait"/>
          <w:cols w:equalWidth="0" w:num="1">
            <w:col w:w="11380"/>
          </w:cols>
          <w:pgMar w:left="240" w:top="337" w:right="279" w:bottom="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us to achieve and maintain profitability. We also may incur losses in the future for a number of other unforeseen reasons. Accordingly, we may incur losses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causing the value of our common stock to decline substantially.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number of new clients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other risk factors listed in this section, some of the important factors that may cause fluctuations in our quarterly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enhancements and updates to our existing products on a timely basis;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the introduction of enhanced products and services from competitors;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recognition of revenues and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with our products or interruptions in our services;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requirements and environment related to the products and services which we offer;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0"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ectPr>
          <w:pgSz w:w="11900" w:h="16838" w:orient="portrait"/>
          <w:cols w:equalWidth="0" w:num="1">
            <w:col w:w="11420"/>
          </w:cols>
          <w:pgMar w:left="240" w:top="121" w:right="239" w:bottom="0" w:gutter="0" w:footer="0" w:header="0"/>
        </w:sectPr>
      </w:pPr>
    </w:p>
    <w:bookmarkStart w:id="22" w:name="page23"/>
    <w:bookmarkEnd w:id="22"/>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and other regional providers, and HCM point solutions, such as Cornerstone OnDemand, Inc.</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The Patient Protection and Affordable Care Act (“PPACA”) remains subject to continuing legislative scrutiny, including efforts by Congress to amend or repeal, or delay implementation of, a number of its provisions. In addition, numerous lawsuits have challenged and continue to challenge the constitutionality and other aspects of the PPACA, and regulations and regulatory guidance continue to be issued on various aspects of PPACA that may affect our business. Changes in tax, benefit and other laws and regulations, including the PPACA, could require us to make significant modifications to our products or delay or cease sales of certain products, which could result in reduced revenues or revenue growth and our incurring substantial expenses and write-offs.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ectPr>
          <w:pgSz w:w="11900" w:h="16838" w:orient="portrait"/>
          <w:cols w:equalWidth="0" w:num="1">
            <w:col w:w="11400"/>
          </w:cols>
          <w:pgMar w:left="240" w:top="121" w:right="259" w:bottom="104"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04"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9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direct sales force with qualified and productive persons, we may not be able to grow our business effectively.</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referral network participants reduce their referrals to us, we may not be able to grow our client base or revenues in the future.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25% of our new sales in fiscal 2015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ectPr>
          <w:pgSz w:w="11900" w:h="16838" w:orient="portrait"/>
          <w:cols w:equalWidth="0" w:num="1">
            <w:col w:w="11420"/>
          </w:cols>
          <w:pgMar w:left="240" w:top="121" w:right="239" w:bottom="0" w:gutter="0" w:footer="0" w:header="0"/>
        </w:sectPr>
      </w:pPr>
    </w:p>
    <w:bookmarkStart w:id="24" w:name="page25"/>
    <w:bookmarkEnd w:id="24"/>
    <w:p>
      <w:pPr>
        <w:spacing w:after="0" w:line="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employees and relevant taxing authorities. For example, in fiscal 2015 we processed almost $54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economic or political conditions could adversely affect our operating results and our business.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last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8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ectPr>
          <w:pgSz w:w="11900" w:h="16840" w:orient="portrait"/>
          <w:cols w:equalWidth="0" w:num="1">
            <w:col w:w="11420"/>
          </w:cols>
          <w:pgMar w:left="240" w:top="333" w:right="2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laws or other domestic regulations may reduce the effectiveness of our applications and adversely affect our business.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affected if we are unable to accommodate increased demand for our implementation services resulting from growth in our business.</w:t>
      </w:r>
    </w:p>
    <w:p>
      <w:pPr>
        <w:spacing w:after="0" w:line="15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client services may adversely affect our relationships with our clients and our financial results.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9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8" w:lineRule="exact"/>
        <w:rPr>
          <w:sz w:val="20"/>
          <w:szCs w:val="20"/>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ectPr>
          <w:pgSz w:w="11900" w:h="16838" w:orient="portrait"/>
          <w:cols w:equalWidth="0" w:num="1">
            <w:col w:w="11420"/>
          </w:cols>
          <w:pgMar w:left="240" w:top="333" w:right="239" w:bottom="0" w:gutter="0" w:footer="0" w:header="0"/>
        </w:sectPr>
      </w:pPr>
    </w:p>
    <w:bookmarkStart w:id="26" w:name="page27"/>
    <w:bookmarkEnd w:id="26"/>
    <w:p>
      <w:pPr>
        <w:spacing w:after="0" w:line="32" w:lineRule="exact"/>
        <w:rPr>
          <w:sz w:val="20"/>
          <w:szCs w:val="20"/>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denial-of-service attacks and similar disruptive problems;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in the operation of our data centers could adversely affect our business.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8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70" w:orient="portrait"/>
          <w:cols w:equalWidth="0" w:num="1">
            <w:col w:w="11420"/>
          </w:cols>
          <w:pgMar w:left="240" w:top="337" w:right="239" w:bottom="0" w:gutter="0" w:footer="0" w:header="0"/>
        </w:sectPr>
      </w:pPr>
    </w:p>
    <w:bookmarkStart w:id="27" w:name="page28"/>
    <w:bookmarkEnd w:id="27"/>
    <w:p>
      <w:pPr>
        <w:spacing w:after="0" w:line="3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8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9" w:lineRule="exact"/>
        <w:rPr>
          <w:sz w:val="20"/>
          <w:szCs w:val="20"/>
          <w:color w:val="auto"/>
        </w:rPr>
      </w:pPr>
    </w:p>
    <w:p>
      <w:pPr>
        <w:ind w:right="340" w:firstLine="648"/>
        <w:spacing w:after="0" w:line="289" w:lineRule="auto"/>
        <w:rPr>
          <w:sz w:val="20"/>
          <w:szCs w:val="20"/>
          <w:color w:val="auto"/>
        </w:rPr>
      </w:pPr>
      <w:r>
        <w:rPr>
          <w:rFonts w:ascii="Times New Roman" w:cs="Times New Roman" w:eastAsia="Times New Roman" w:hAnsi="Times New Roman"/>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w:t>
      </w:r>
    </w:p>
    <w:p>
      <w:pPr>
        <w:sectPr>
          <w:pgSz w:w="11900" w:h="16869" w:orient="portrait"/>
          <w:cols w:equalWidth="0" w:num="1">
            <w:col w:w="11420"/>
          </w:cols>
          <w:pgMar w:left="240" w:top="337" w:right="239" w:bottom="0" w:gutter="0" w:footer="0" w:header="0"/>
        </w:sectPr>
      </w:pPr>
    </w:p>
    <w:bookmarkStart w:id="28" w:name="page29"/>
    <w:bookmarkEnd w:id="28"/>
    <w:p>
      <w:pPr>
        <w:spacing w:after="0" w:line="2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nature of open source software, it may be more likely that third parties might assert copyright and other intellectual property infringement claims against us based on our use of these open source software programs.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software used in our products is not adequately maintained or updated, our business could be materially adversely affected.</w:t>
      </w:r>
    </w:p>
    <w:p>
      <w:pPr>
        <w:spacing w:after="0" w:line="229"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18"/>
          <w:szCs w:val="18"/>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59"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w:t>
      </w:r>
    </w:p>
    <w:p>
      <w:pPr>
        <w:sectPr>
          <w:pgSz w:w="11900" w:h="16863" w:orient="portrait"/>
          <w:cols w:equalWidth="0" w:num="1">
            <w:col w:w="11420"/>
          </w:cols>
          <w:pgMar w:left="240" w:top="121" w:right="239" w:bottom="0" w:gutter="0" w:footer="0" w:header="0"/>
        </w:sectPr>
      </w:pPr>
    </w:p>
    <w:bookmarkStart w:id="29" w:name="page30"/>
    <w:bookmarkEnd w:id="29"/>
    <w:p>
      <w:pPr>
        <w:spacing w:after="0" w:line="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conducted via the Internet. These laws or charges could limit the growth of Internet-related commerce or communications generally, resulting in reductions in the demand for Internet-based applications such as ours.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8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 Accordingly, we might need to engage in equity or debt financings to secure additional funds. In addition, we will need to expand our ACH capacity as we grow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present the potential for embezzlement, identity theft, or other similar illegal behavior by our associates with respect to third parties.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w:t>
      </w:r>
    </w:p>
    <w:p>
      <w:pPr>
        <w:sectPr>
          <w:pgSz w:w="11900" w:h="16866" w:orient="portrait"/>
          <w:cols w:equalWidth="0" w:num="1">
            <w:col w:w="11400"/>
          </w:cols>
          <w:pgMar w:left="240" w:top="121" w:right="25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consummated.</w:t>
      </w:r>
    </w:p>
    <w:p>
      <w:pPr>
        <w:spacing w:after="0" w:line="225"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76" w:lineRule="exact"/>
        <w:rPr>
          <w:sz w:val="20"/>
          <w:szCs w:val="20"/>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225"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if an acquired business fails to meet our expectations, our operating results, business and financial position may suffer.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April 29, 2016 our directors, executive officers and holders of more than 5% of our common stock, together with their respective affiliates, beneficially owned, in the aggregate, approximately 52.0%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various factors, some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 those discussed in this “Risk Factors” section of this Quarterly Report on Form 10-Q and others such as:</w:t>
      </w:r>
    </w:p>
    <w:p>
      <w:pPr>
        <w:spacing w:after="0" w:line="207" w:lineRule="exact"/>
        <w:rPr>
          <w:sz w:val="20"/>
          <w:szCs w:val="20"/>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executive officers and affiliates;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ectPr>
          <w:pgSz w:w="11900" w:h="16838" w:orient="portrait"/>
          <w:cols w:equalWidth="0" w:num="1">
            <w:col w:w="11360"/>
          </w:cols>
          <w:pgMar w:left="240" w:top="121" w:right="299" w:bottom="0" w:gutter="0" w:footer="0" w:header="0"/>
        </w:sectPr>
      </w:pPr>
    </w:p>
    <w:bookmarkStart w:id="31" w:name="page32"/>
    <w:bookmarkEnd w:id="31"/>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as a result of being an emerging growth company under the JOBS Act;</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w:t>
      </w:r>
    </w:p>
    <w:p>
      <w:pPr>
        <w:spacing w:after="0" w:line="225" w:lineRule="exact"/>
        <w:rPr>
          <w:rFonts w:ascii="Times New Roman" w:cs="Times New Roman" w:eastAsia="Times New Roman" w:hAnsi="Times New Roman"/>
          <w:sz w:val="18"/>
          <w:szCs w:val="18"/>
          <w:color w:val="auto"/>
        </w:rPr>
      </w:pPr>
    </w:p>
    <w:p>
      <w:pPr>
        <w:jc w:val="both"/>
        <w:ind w:left="1300" w:right="180" w:hanging="320"/>
        <w:spacing w:after="0" w:line="266" w:lineRule="auto"/>
        <w:tabs>
          <w:tab w:leader="none" w:pos="1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those resulting from ongoing budget negotiations and intermittent government shutdowns in the United States, acts of God, war, incidents of terrorism, or responses to such events).</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since going public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could depress the market price of our common stock.</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April 29, 2016, we had an aggregate of 51,010,873 outstanding shares of common stock. The 17,362,750 shares sold in our initial public, follow-on and secondary offerings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76"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registered 12,778,598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When we lose our status as an “emerging growth company,” as defined by the Jumpstart Our Business Startups Act of 2012, or the JOBS Act, management’s report on the internal controls over financial reporting will be required to be attested to by our independent registered public accounting firm. The aggregate worldwide market value of our common stock held by non-affiliates as of December 31, 2015 (the last business day of our most recently completed second fiscal quarter) exceeded $700 million, and we therefore will cease to satisfy the conditions of remaining an emerging growth company as of June 30, 2016.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9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32" w:name="page33"/>
    <w:bookmarkEnd w:id="32"/>
    <w:p>
      <w:pPr>
        <w:spacing w:after="0" w:line="5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significant expenses and devoted substantial management effort toward ensuring compliance with the requirements of Section 404 of the Sarbanes-Oxley Act, which will increase when we are no longer an emerging growth company, as defined by the JOBS Act. At such time as we are no longer an emerging growth company, as defined by the JOBS Act, we will need to hire additional accounting and financial staff with appropriate public company experience and technical accounting knowledge. We cannot predict or estimate the amount of additional costs we may incur or the timing of such costs. The aggregate worldwide market value of our common stock held by non-affiliates as of December 31, 2015 (the last business day of our most recently completed second fiscal quarter) exceeded $700 million, and we therefore will cease to satisfy the conditions of remaining an emerging growth company as of June 30, 2016.</w:t>
      </w:r>
    </w:p>
    <w:p>
      <w:pPr>
        <w:spacing w:after="0" w:line="18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84" w:lineRule="exact"/>
        <w:rPr>
          <w:sz w:val="20"/>
          <w:szCs w:val="20"/>
          <w:color w:val="auto"/>
        </w:rPr>
      </w:pPr>
    </w:p>
    <w:p>
      <w:pPr>
        <w:ind w:left="1300" w:right="480" w:hanging="320"/>
        <w:spacing w:after="0" w:line="282" w:lineRule="auto"/>
        <w:tabs>
          <w:tab w:leader="none" w:pos="1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supermajority stockholder vote;</w:t>
      </w:r>
    </w:p>
    <w:p>
      <w:pPr>
        <w:spacing w:after="0" w:line="225"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 rather than by stockholders;</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JOBS Act, emerging growth companies can delay adopting new or revised accounting standards until such time as those standards apply to private companies.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intend to take advantage of certain other exemptions from various reporting requirements that are applicable to other public companies including, but not limited to,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exemptions from the requirements of auditor attestation reports on the effectiveness of our internal control over financial reporting.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Although we are eligible under the JOBS Act to delay adoption of new or revised financial accounting standards until they are applicable to private companies, we have elected not to avail ourselves of this exclusion. This election by us is irrevocable.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aggregate worldwide market value of our common stock held by non-affiliates as of December 31, 2015 (the last business day of our most recently completed second fiscal quarter) exceeded $700 million, and we therefore will cease to satisfy the conditions of remaining an emerging growth company as of June 30,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980" w:right="8020" w:hanging="324"/>
        <w:spacing w:after="0" w:line="537" w:lineRule="auto"/>
        <w:tabs>
          <w:tab w:leader="none" w:pos="98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w:t>
      </w:r>
      <w:r>
        <w:rPr>
          <w:rFonts w:ascii="Times New Roman" w:cs="Times New Roman" w:eastAsia="Times New Roman" w:hAnsi="Times New Roman"/>
          <w:sz w:val="18"/>
          <w:szCs w:val="18"/>
          <w:color w:val="auto"/>
        </w:rPr>
        <w:t>Not applicable.</w:t>
      </w:r>
    </w:p>
    <w:p>
      <w:pPr>
        <w:sectPr>
          <w:pgSz w:w="11900" w:h="16896" w:orient="portrait"/>
          <w:cols w:equalWidth="0" w:num="1">
            <w:col w:w="11420"/>
          </w:cols>
          <w:pgMar w:left="240" w:top="364" w:right="239" w:bottom="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$9.5 million for the purchase of substantially all of the assets of BFKMS Inc. and paid $9.5 million for the purchase of substantially all of the assets of Synergy Payroll, LLC.</w:t>
      </w:r>
    </w:p>
    <w:p>
      <w:pPr>
        <w:spacing w:after="0" w:line="18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from that described in the final prospectus filed with the SEC pursuant to Rule 424(b) on December 12, 2014.</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4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Paylocity Holding Corporation’s Form S-1 Registration</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Statement (Registration No. 333-193661).</w:t>
            </w: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(filed as Exhibit 3.2 of Paylocity Holding Corporation’s Quarterly</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Report on Form 10-Q for the quarter ended December 31, 2015 (File No. 001-36348)).</w:t>
            </w: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Certification pursuant to 18 U.S.C. 1350, adopted pursuant to Section 906 of the Sarbanes-Oxley Act of 2002, by Chief Financial Officer.</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160" w:type="dxa"/>
            <w:vAlign w:val="bottom"/>
            <w:tcBorders>
              <w:top w:val="single" w:sz="8" w:color="0000EE"/>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0" w:type="dxa"/>
            <w:vAlign w:val="bottom"/>
          </w:tcPr>
          <w:p>
            <w:pPr>
              <w:spacing w:after="0"/>
              <w:rPr>
                <w:sz w:val="24"/>
                <w:szCs w:val="24"/>
                <w:color w:val="auto"/>
              </w:rPr>
            </w:pPr>
          </w:p>
        </w:tc>
      </w:tr>
      <w:tr>
        <w:trPr>
          <w:trHeight w:val="43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0" w:type="dxa"/>
            <w:vAlign w:val="bottom"/>
          </w:tcPr>
          <w:p>
            <w:pPr>
              <w:spacing w:after="0"/>
              <w:rPr>
                <w:sz w:val="24"/>
                <w:szCs w:val="24"/>
                <w:color w:val="auto"/>
              </w:rPr>
            </w:pPr>
          </w:p>
        </w:tc>
      </w:tr>
      <w:tr>
        <w:trPr>
          <w:trHeight w:val="43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0" w:type="dxa"/>
            <w:vAlign w:val="bottom"/>
          </w:tcPr>
          <w:p>
            <w:pPr>
              <w:spacing w:after="0"/>
              <w:rPr>
                <w:sz w:val="24"/>
                <w:szCs w:val="24"/>
                <w:color w:val="auto"/>
              </w:rPr>
            </w:pPr>
          </w:p>
        </w:tc>
      </w:tr>
      <w:tr>
        <w:trPr>
          <w:trHeight w:val="43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0" w:type="dxa"/>
            <w:vAlign w:val="bottom"/>
          </w:tcPr>
          <w:p>
            <w:pPr>
              <w:spacing w:after="0"/>
              <w:rPr>
                <w:sz w:val="24"/>
                <w:szCs w:val="24"/>
                <w:color w:val="auto"/>
              </w:rPr>
            </w:pPr>
          </w:p>
        </w:tc>
      </w:tr>
      <w:tr>
        <w:trPr>
          <w:trHeight w:val="43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433"/>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40" w:hanging="433"/>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460"/>
          </w:cols>
          <w:pgMar w:left="240" w:top="117" w:right="199" w:bottom="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20" w:type="dxa"/>
            <w:vAlign w:val="bottom"/>
            <w:gridSpan w:val="3"/>
          </w:tcPr>
          <w:p>
            <w:pPr>
              <w:ind w:left="4200"/>
              <w:spacing w:after="0"/>
              <w:rPr>
                <w:sz w:val="20"/>
                <w:szCs w:val="20"/>
                <w:color w:val="auto"/>
              </w:rPr>
            </w:pPr>
            <w:r>
              <w:rPr>
                <w:rFonts w:ascii="Times New Roman" w:cs="Times New Roman" w:eastAsia="Times New Roman" w:hAnsi="Times New Roman"/>
                <w:sz w:val="18"/>
                <w:szCs w:val="18"/>
                <w:color w:val="auto"/>
              </w:rPr>
              <w:t>PAYLOCITY HOLDING CORPORATION</w:t>
            </w:r>
          </w:p>
        </w:tc>
        <w:tc>
          <w:tcPr>
            <w:tcW w:w="40" w:type="dxa"/>
            <w:vAlign w:val="bottom"/>
          </w:tcPr>
          <w:p>
            <w:pPr>
              <w:spacing w:after="0"/>
              <w:rPr>
                <w:sz w:val="20"/>
                <w:szCs w:val="20"/>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6, 2016</w:t>
            </w:r>
          </w:p>
        </w:tc>
        <w:tc>
          <w:tcPr>
            <w:tcW w:w="80" w:type="dxa"/>
            <w:vAlign w:val="bottom"/>
          </w:tcPr>
          <w:p>
            <w:pPr>
              <w:spacing w:after="0"/>
              <w:rPr>
                <w:sz w:val="24"/>
                <w:szCs w:val="24"/>
                <w:color w:val="auto"/>
              </w:rPr>
            </w:pPr>
          </w:p>
        </w:tc>
        <w:tc>
          <w:tcPr>
            <w:tcW w:w="5120" w:type="dxa"/>
            <w:vAlign w:val="bottom"/>
            <w:gridSpan w:val="2"/>
          </w:tcPr>
          <w:p>
            <w:pPr>
              <w:ind w:left="420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 Steven R. Beauchamp</w:t>
            </w:r>
          </w:p>
        </w:tc>
        <w:tc>
          <w:tcPr>
            <w:tcW w:w="40" w:type="dxa"/>
            <w:vAlign w:val="bottom"/>
          </w:tcPr>
          <w:p>
            <w:pPr>
              <w:spacing w:after="0"/>
              <w:rPr>
                <w:sz w:val="24"/>
                <w:szCs w:val="24"/>
                <w:color w:val="auto"/>
              </w:rPr>
            </w:pPr>
          </w:p>
        </w:tc>
      </w:tr>
      <w:tr>
        <w:trPr>
          <w:trHeight w:val="187"/>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60" w:type="dxa"/>
            <w:vAlign w:val="bottom"/>
          </w:tcPr>
          <w:p>
            <w:pPr>
              <w:ind w:left="420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Steven R. Beauchamp</w:t>
            </w:r>
          </w:p>
        </w:tc>
        <w:tc>
          <w:tcPr>
            <w:tcW w:w="40" w:type="dxa"/>
            <w:vAlign w:val="bottom"/>
          </w:tcPr>
          <w:p>
            <w:pPr>
              <w:spacing w:after="0"/>
              <w:rPr>
                <w:sz w:val="16"/>
                <w:szCs w:val="16"/>
                <w:color w:val="auto"/>
              </w:rPr>
            </w:pPr>
          </w:p>
        </w:tc>
      </w:tr>
      <w:tr>
        <w:trPr>
          <w:trHeight w:val="238"/>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40" w:type="dxa"/>
            <w:vAlign w:val="bottom"/>
          </w:tcPr>
          <w:p>
            <w:pPr>
              <w:spacing w:after="0"/>
              <w:rPr>
                <w:sz w:val="20"/>
                <w:szCs w:val="20"/>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6, 2016</w:t>
            </w:r>
          </w:p>
        </w:tc>
        <w:tc>
          <w:tcPr>
            <w:tcW w:w="80" w:type="dxa"/>
            <w:vAlign w:val="bottom"/>
          </w:tcPr>
          <w:p>
            <w:pPr>
              <w:spacing w:after="0"/>
              <w:rPr>
                <w:sz w:val="24"/>
                <w:szCs w:val="24"/>
                <w:color w:val="auto"/>
              </w:rPr>
            </w:pPr>
          </w:p>
        </w:tc>
        <w:tc>
          <w:tcPr>
            <w:tcW w:w="5120" w:type="dxa"/>
            <w:vAlign w:val="bottom"/>
            <w:gridSpan w:val="2"/>
          </w:tcPr>
          <w:p>
            <w:pPr>
              <w:ind w:left="420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 Peter J. McGrail</w:t>
            </w:r>
          </w:p>
        </w:tc>
        <w:tc>
          <w:tcPr>
            <w:tcW w:w="40" w:type="dxa"/>
            <w:vAlign w:val="bottom"/>
          </w:tcPr>
          <w:p>
            <w:pPr>
              <w:spacing w:after="0"/>
              <w:rPr>
                <w:sz w:val="24"/>
                <w:szCs w:val="24"/>
                <w:color w:val="auto"/>
              </w:rPr>
            </w:pPr>
          </w:p>
        </w:tc>
      </w:tr>
      <w:tr>
        <w:trPr>
          <w:trHeight w:val="187"/>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60" w:type="dxa"/>
            <w:vAlign w:val="bottom"/>
          </w:tcPr>
          <w:p>
            <w:pPr>
              <w:ind w:left="420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Peter J. McGrail</w:t>
            </w:r>
          </w:p>
        </w:tc>
        <w:tc>
          <w:tcPr>
            <w:tcW w:w="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2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and Accounting</w:t>
            </w:r>
          </w:p>
        </w:tc>
        <w:tc>
          <w:tcPr>
            <w:tcW w:w="4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2"/>
          </w:tcPr>
          <w:p>
            <w:pPr>
              <w:ind w:left="42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42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tcBorders>
              <w:bottom w:val="single" w:sz="8" w:color="auto"/>
            </w:tcBorders>
            <w:gridSpan w:val="3"/>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the Paylocity Holding Corporation’s Form S-1</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Registration Statement (Registration No. 333-193661).</w:t>
            </w: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(filed as Exhibit 3.2 of Paylocity Holding Corporation’s Quarterly</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Report on Form 10-Q for the quarter ended December 31, 2015 (File No. 001-36348)).</w:t>
            </w: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Certification pursuant to 18 U.S.C. 1350, adopted pursuant to Section 906 of the Sarbanes-Oxley Act of 2002, by Chief Financial Officer.</w:t>
            </w:r>
          </w:p>
        </w:tc>
        <w:tc>
          <w:tcPr>
            <w:tcW w:w="40" w:type="dxa"/>
            <w:vAlign w:val="bottom"/>
          </w:tcPr>
          <w:p>
            <w:pPr>
              <w:spacing w:after="0"/>
              <w:rPr>
                <w:sz w:val="24"/>
                <w:szCs w:val="24"/>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5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-4881245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-4881245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205740</wp:posOffset>
            </wp:positionV>
            <wp:extent cx="17583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433"/>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40" w:hanging="433"/>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5" w:name="page36"/>
    <w:bookmarkEnd w:id="3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225" w:lineRule="exact"/>
        <w:rPr>
          <w:sz w:val="20"/>
          <w:szCs w:val="20"/>
          <w:color w:val="auto"/>
        </w:rPr>
      </w:pPr>
    </w:p>
    <w:p>
      <w:pPr>
        <w:ind w:left="1060" w:hanging="171"/>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225"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40" w:right="140" w:firstLine="449"/>
        <w:spacing w:after="0" w:line="282" w:lineRule="auto"/>
        <w:tabs>
          <w:tab w:leader="none" w:pos="10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120" w:firstLine="449"/>
        <w:spacing w:after="0" w:line="266" w:lineRule="auto"/>
        <w:tabs>
          <w:tab w:leader="none" w:pos="10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500" w:hanging="170"/>
        <w:spacing w:after="0"/>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88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260" w:firstLine="450"/>
        <w:spacing w:after="0" w:line="282" w:lineRule="auto"/>
        <w:tabs>
          <w:tab w:leader="none" w:pos="14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80" w:firstLine="450"/>
        <w:spacing w:after="0" w:line="266" w:lineRule="auto"/>
        <w:tabs>
          <w:tab w:leader="none" w:pos="15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2016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480" w:firstLine="450"/>
        <w:spacing w:after="0" w:line="282" w:lineRule="auto"/>
        <w:tabs>
          <w:tab w:leader="none" w:pos="14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2016</w:t>
            </w: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c>
          <w:tcPr>
            <w:tcW w:w="40" w:type="dxa"/>
            <w:vAlign w:val="bottom"/>
          </w:tcPr>
          <w:p>
            <w:pPr>
              <w:spacing w:after="0"/>
              <w:rPr>
                <w:sz w:val="20"/>
                <w:szCs w:val="20"/>
                <w:color w:val="auto"/>
              </w:rPr>
            </w:pPr>
          </w:p>
        </w:tc>
      </w:tr>
      <w:tr>
        <w:trPr>
          <w:trHeight w:val="187"/>
        </w:trPr>
        <w:tc>
          <w:tcPr>
            <w:tcW w:w="6560" w:type="dxa"/>
            <w:vAlign w:val="bottom"/>
          </w:tcPr>
          <w:p>
            <w:pPr>
              <w:ind w:left="578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Steven R. Beauchamp</w:t>
            </w:r>
          </w:p>
        </w:tc>
        <w:tc>
          <w:tcPr>
            <w:tcW w:w="40" w:type="dxa"/>
            <w:vAlign w:val="bottom"/>
          </w:tcPr>
          <w:p>
            <w:pPr>
              <w:spacing w:after="0"/>
              <w:rPr>
                <w:sz w:val="16"/>
                <w:szCs w:val="16"/>
                <w:color w:val="auto"/>
              </w:rPr>
            </w:pPr>
          </w:p>
        </w:tc>
      </w:tr>
      <w:tr>
        <w:trPr>
          <w:trHeight w:val="238"/>
        </w:trPr>
        <w:tc>
          <w:tcPr>
            <w:tcW w:w="6560" w:type="dxa"/>
            <w:vAlign w:val="bottom"/>
          </w:tcPr>
          <w:p>
            <w:pPr>
              <w:ind w:left="57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40" w:type="dxa"/>
            <w:vAlign w:val="bottom"/>
          </w:tcPr>
          <w:p>
            <w:pPr>
              <w:spacing w:after="0"/>
              <w:rPr>
                <w:sz w:val="20"/>
                <w:szCs w:val="20"/>
                <w:color w:val="auto"/>
              </w:rPr>
            </w:pPr>
          </w:p>
        </w:tc>
      </w:tr>
      <w:tr>
        <w:trPr>
          <w:trHeight w:val="348"/>
        </w:trPr>
        <w:tc>
          <w:tcPr>
            <w:tcW w:w="656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6" w:name="page37"/>
    <w:bookmarkEnd w:id="3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McGrail, certify that:</w:t>
      </w:r>
    </w:p>
    <w:p>
      <w:pPr>
        <w:spacing w:after="0" w:line="225" w:lineRule="exact"/>
        <w:rPr>
          <w:sz w:val="20"/>
          <w:szCs w:val="20"/>
          <w:color w:val="auto"/>
        </w:rPr>
      </w:pPr>
    </w:p>
    <w:p>
      <w:pPr>
        <w:ind w:left="1060" w:hanging="171"/>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225"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40" w:right="140" w:firstLine="449"/>
        <w:spacing w:after="0" w:line="282"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120" w:firstLine="449"/>
        <w:spacing w:after="0" w:line="266"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500" w:hanging="170"/>
        <w:spacing w:after="0"/>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88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260" w:firstLine="450"/>
        <w:spacing w:after="0" w:line="282" w:lineRule="auto"/>
        <w:tabs>
          <w:tab w:leader="none" w:pos="149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80" w:firstLine="450"/>
        <w:spacing w:after="0" w:line="266" w:lineRule="auto"/>
        <w:tabs>
          <w:tab w:leader="none" w:pos="15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2016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480" w:firstLine="450"/>
        <w:spacing w:after="0" w:line="282" w:lineRule="auto"/>
        <w:tabs>
          <w:tab w:leader="none" w:pos="149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6, 2016</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J. McGrail</w:t>
            </w:r>
          </w:p>
        </w:tc>
        <w:tc>
          <w:tcPr>
            <w:tcW w:w="40" w:type="dxa"/>
            <w:vAlign w:val="bottom"/>
          </w:tcPr>
          <w:p>
            <w:pPr>
              <w:spacing w:after="0"/>
              <w:rPr>
                <w:sz w:val="20"/>
                <w:szCs w:val="20"/>
                <w:color w:val="auto"/>
              </w:rPr>
            </w:pPr>
          </w:p>
        </w:tc>
      </w:tr>
      <w:tr>
        <w:trPr>
          <w:trHeight w:val="187"/>
        </w:trPr>
        <w:tc>
          <w:tcPr>
            <w:tcW w:w="6040" w:type="dxa"/>
            <w:vAlign w:val="bottom"/>
          </w:tcPr>
          <w:p>
            <w:pPr>
              <w:ind w:left="532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5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Peter J. McGrail</w:t>
            </w:r>
          </w:p>
        </w:tc>
        <w:tc>
          <w:tcPr>
            <w:tcW w:w="40" w:type="dxa"/>
            <w:vAlign w:val="bottom"/>
          </w:tcPr>
          <w:p>
            <w:pPr>
              <w:spacing w:after="0"/>
              <w:rPr>
                <w:sz w:val="16"/>
                <w:szCs w:val="16"/>
                <w:color w:val="auto"/>
              </w:rPr>
            </w:pPr>
          </w:p>
        </w:tc>
      </w:tr>
      <w:tr>
        <w:trPr>
          <w:trHeight w:val="238"/>
        </w:trPr>
        <w:tc>
          <w:tcPr>
            <w:tcW w:w="6040" w:type="dxa"/>
            <w:vAlign w:val="bottom"/>
          </w:tcPr>
          <w:p>
            <w:pPr>
              <w:ind w:left="53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 Officer)</w:t>
            </w:r>
          </w:p>
        </w:tc>
        <w:tc>
          <w:tcPr>
            <w:tcW w:w="40" w:type="dxa"/>
            <w:vAlign w:val="bottom"/>
          </w:tcPr>
          <w:p>
            <w:pPr>
              <w:spacing w:after="0"/>
              <w:rPr>
                <w:sz w:val="20"/>
                <w:szCs w:val="20"/>
                <w:color w:val="auto"/>
              </w:rPr>
            </w:pPr>
          </w:p>
        </w:tc>
      </w:tr>
      <w:tr>
        <w:trPr>
          <w:trHeight w:val="348"/>
        </w:trPr>
        <w:tc>
          <w:tcPr>
            <w:tcW w:w="604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March 31, 2016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4" w:lineRule="exact"/>
        <w:rPr>
          <w:sz w:val="20"/>
          <w:szCs w:val="20"/>
          <w:color w:val="auto"/>
        </w:rPr>
      </w:pPr>
    </w:p>
    <w:p>
      <w:pPr>
        <w:spacing w:after="0"/>
        <w:tabs>
          <w:tab w:leader="none" w:pos="7640" w:val="left"/>
        </w:tabs>
        <w:rPr>
          <w:sz w:val="20"/>
          <w:szCs w:val="20"/>
          <w:color w:val="auto"/>
        </w:rPr>
      </w:pPr>
      <w:r>
        <w:rPr>
          <w:rFonts w:ascii="Times New Roman" w:cs="Times New Roman" w:eastAsia="Times New Roman" w:hAnsi="Times New Roman"/>
          <w:sz w:val="18"/>
          <w:szCs w:val="18"/>
          <w:color w:val="auto"/>
        </w:rPr>
        <w:t>Dated: May 6, 2016</w:t>
      </w:r>
      <w:r>
        <w:rPr>
          <w:sz w:val="20"/>
          <w:szCs w:val="20"/>
          <w:color w:val="auto"/>
        </w:rPr>
        <w:tab/>
      </w:r>
      <w:r>
        <w:rPr>
          <w:rFonts w:ascii="Times New Roman" w:cs="Times New Roman" w:eastAsia="Times New Roman" w:hAnsi="Times New Roman"/>
          <w:sz w:val="18"/>
          <w:szCs w:val="18"/>
          <w:color w:val="auto"/>
        </w:rPr>
        <w:t>/s/ Steven R. Beauchamp</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7"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March 31, 2016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96" w:lineRule="exact"/>
        <w:rPr>
          <w:sz w:val="20"/>
          <w:szCs w:val="20"/>
          <w:color w:val="auto"/>
        </w:rPr>
      </w:pPr>
    </w:p>
    <w:p>
      <w:pPr>
        <w:ind w:left="60"/>
        <w:spacing w:after="0"/>
        <w:tabs>
          <w:tab w:leader="none" w:pos="7880" w:val="left"/>
        </w:tabs>
        <w:rPr>
          <w:sz w:val="20"/>
          <w:szCs w:val="20"/>
          <w:color w:val="auto"/>
        </w:rPr>
      </w:pPr>
      <w:r>
        <w:rPr>
          <w:rFonts w:ascii="Times New Roman" w:cs="Times New Roman" w:eastAsia="Times New Roman" w:hAnsi="Times New Roman"/>
          <w:sz w:val="18"/>
          <w:szCs w:val="18"/>
          <w:color w:val="auto"/>
        </w:rPr>
        <w:t>Dated: May 6, 2016</w:t>
      </w:r>
      <w:r>
        <w:rPr>
          <w:sz w:val="20"/>
          <w:szCs w:val="20"/>
          <w:color w:val="auto"/>
        </w:rPr>
        <w:tab/>
      </w:r>
      <w:r>
        <w:rPr>
          <w:rFonts w:ascii="Times New Roman" w:cs="Times New Roman" w:eastAsia="Times New Roman" w:hAnsi="Times New Roman"/>
          <w:sz w:val="17"/>
          <w:szCs w:val="17"/>
          <w:color w:val="auto"/>
        </w:rPr>
        <w:t>/s/ Peter J. McGrail</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 Officer)</w:t>
      </w:r>
    </w:p>
    <w:p>
      <w:pPr>
        <w:spacing w:after="0" w:line="207"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1"/>
    </w:lvl>
  </w:abstractNum>
  <w:abstractNum w:abstractNumId="1">
    <w:nsid w:val="7FDCC233"/>
    <w:multiLevelType w:val="hybridMultilevel"/>
    <w:lvl w:ilvl="0">
      <w:lvlJc w:val="left"/>
      <w:lvlText w:val="(%1)"/>
      <w:numFmt w:val="lowerLetter"/>
      <w:start w:val="2"/>
    </w:lvl>
  </w:abstractNum>
  <w:abstractNum w:abstractNumId="2">
    <w:nsid w:val="1BEFD79F"/>
    <w:multiLevelType w:val="hybridMultilevel"/>
    <w:lvl w:ilvl="0">
      <w:lvlJc w:val="left"/>
      <w:lvlText w:val="(%1)"/>
      <w:numFmt w:val="lowerLetter"/>
      <w:start w:val="3"/>
    </w:lvl>
  </w:abstractNum>
  <w:abstractNum w:abstractNumId="3">
    <w:nsid w:val="41A7C4C9"/>
    <w:multiLevelType w:val="hybridMultilevel"/>
    <w:lvl w:ilvl="0">
      <w:lvlJc w:val="left"/>
      <w:lvlText w:val="(%1)"/>
      <w:numFmt w:val="lowerLetter"/>
      <w:start w:val="4"/>
    </w:lvl>
  </w:abstractNum>
  <w:abstractNum w:abstractNumId="4">
    <w:nsid w:val="6B68079A"/>
    <w:multiLevelType w:val="hybridMultilevel"/>
    <w:lvl w:ilvl="0">
      <w:lvlJc w:val="left"/>
      <w:lvlText w:val="(%1)"/>
      <w:numFmt w:val="lowerLetter"/>
      <w:start w:val="5"/>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2019-12-29T11:29:08Z</dcterms:created>
  <dcterms:modified xsi:type="dcterms:W3CDTF">2019-12-29T11:29:08Z</dcterms:modified>
</cp:coreProperties>
</file>