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55,746,768 shares of Common Stock, $0.001 par value per share, as of October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34,317</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40,583</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955,862</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2,340,411</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3,296,273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357,159</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4,024,781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16,039</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2,328,665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2,500,705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3,212,396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2,918,869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2024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2024 and September 30, 2024; 55,514</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at June 30, 2024 and 55,738 shares issued and outstanding at September 30, 2024</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376,952</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723,029</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1,105,912</w:t>
            </w: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4,024,781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291,685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333,105</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362,956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114,960</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247,996</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47,260</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183,852</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0.61</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56,881</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56,266</w:t>
            </w:r>
          </w:p>
        </w:tc>
      </w:tr>
      <w:tr>
        <w:trPr>
          <w:trHeight w:val="21"/>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13"/>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920" w:type="dxa"/>
            <w:vAlign w:val="bottom"/>
            <w:gridSpan w:val="6"/>
          </w:tcPr>
          <w:p>
            <w:pPr>
              <w:ind w:lef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47"/>
        </w:trPr>
        <w:tc>
          <w:tcPr>
            <w:tcW w:w="41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7"/>
                <w:szCs w:val="7"/>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2023</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380,632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466,690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842,863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equity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w w:val="99"/>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(29,048)</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56,167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395,771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501,207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892,639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4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13"/>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192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920" w:type="dxa"/>
            <w:vAlign w:val="bottom"/>
            <w:gridSpan w:val="6"/>
          </w:tcPr>
          <w:p>
            <w:pPr>
              <w:ind w:left="520"/>
              <w:spacing w:after="0" w:line="13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41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Comprehensive Income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4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55,514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360,488</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673,456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(936)</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1,033,064</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equity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w w:val="99"/>
              </w:rPr>
              <w:t>(163)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(24,358)</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(24,358)</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49,573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49,573</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55,738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376,952</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723,029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5,875</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1,105,912</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91,455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(13,328)</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(621,746)</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(122,402)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(318,293)</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(240,166)</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2,351,648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2,605,503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778,549</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2,046,617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1,826,954</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2,351,648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2,605,503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2024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2024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ASU is effective for fiscal years beginning after December 15, 2023 and interim periods within fiscal years beginning after December 15, 2024, with early adoption permitted, and will be applied retrospectively to all prior periods presented in the financial statements. The Company continues to evaluate the impact of this ASU on its consolidated financial statement disclosures including the timing of adoption.</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continues to evaluate the impact of this ASU on its consolidated financial statement disclosures including the method and timing of adoption.</w:t>
      </w:r>
    </w:p>
    <w:p>
      <w:pPr>
        <w:spacing w:after="0" w:line="1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revenue from contracts from recurring service fees. While the majority of its agreements are generally cancellable by the client on 60 days’ notice or less, the Company also offers term agreements to its clients, which are generally two years in length. Recurring fees are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 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6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monthly as services are provided based on a per-employee-per-month fee. As such, the Company does not generally recognize contract assets or liabilities related to recurring revenue.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6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25,397</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$19,200 in fiscal 2025, $5,697 in fiscal 2026 and $500 in fiscal 2027 and thereafter.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224,409</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163,817</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255,023</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204,549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70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$84,706 as of September 30, 2024,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5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allocation of the purchase price for Trace was approximately $6,809 of goodwill, $4,200 of proprietary technology and other immaterial assets and liabilities which reflects certain immaterial measurement period adjustments recorded during the three months ended September 30, 2024. The Company accounted for this transaction as a business combination and recorded the assets acquired and liabilities assumed at their respective estimated fair values as of the date of the acquisition with the excess consideration paid recorded as goodwill.</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transaction and are not material to the Company. Pro forma information is not presented because the effects of the acquisition are not material to the Company’s consolidated financial statements. The goodwill related to this transaction is primarily attributable to the assembled workforce and growth opportunities from the expansion and enhancement of the Company’s product offerings. The goodwill associated with the Trace acquisition is not deductible for income tax purposes. Direct costs related to the acquisition were immaterial and were expensed as incurred as General and administrative expense in the Unaudited Consolidated Statements of Operations and Comprehensive Income.</w:t>
      </w:r>
    </w:p>
    <w:p>
      <w:pPr>
        <w:sectPr>
          <w:pgSz w:w="11900" w:h="16838" w:orient="portrait"/>
          <w:cols w:equalWidth="0" w:num="1">
            <w:col w:w="11240"/>
          </w:cols>
          <w:pgMar w:left="320" w:top="256" w:right="339" w:bottom="1440" w:gutter="0" w:footer="0" w:header="0"/>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140" w:hanging="1027"/>
        <w:spacing w:after="0"/>
        <w:tabs>
          <w:tab w:leader="none" w:pos="2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2,375</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September 30,</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324,269</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343,566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(207,857)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(221,634)</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5"/>
              </w:rPr>
              <w:t>116,412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121,932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$9,535 and $13,777 for the three months ended September 30, 2023 and 2024,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10,029</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amounted to $5,050 and $5,228 for the three months ended September 30, 2023 and 2024, respectively.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three months ended September 30,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108,937</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4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108,863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15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(47,025)</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25,744</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$2,536 and $2,547 for the three months ended September 30, 2023 and 2024, respectively, and is included in Cost of revenues and General and administrative.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September 30, 2024 is as follows: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9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5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25,744</w:t>
            </w:r>
          </w:p>
        </w:tc>
      </w:tr>
      <w:tr>
        <w:trPr>
          <w:trHeight w:val="20"/>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44,542</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Cash and Cash Equivalents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0" w:type="dxa"/>
            <w:vAlign w:val="bottom"/>
          </w:tcPr>
          <w:p>
            <w:pPr>
              <w:spacing w:after="0"/>
              <w:rPr>
                <w:sz w:val="16"/>
                <w:szCs w:val="16"/>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509,145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3,354,814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0" w:type="dxa"/>
            <w:vAlign w:val="bottom"/>
          </w:tcPr>
          <w:p>
            <w:pPr>
              <w:spacing w:after="0"/>
              <w:rPr>
                <w:sz w:val="16"/>
                <w:szCs w:val="16"/>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1,826,954</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120,449</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504,959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513,457</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3,110,462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3,118,960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2024 and September 30, 2024.</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2024 and September 30, 2024.</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2,340,411</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3,118,960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116,936</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121,141</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276,376</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52,885</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198"/>
        </w:trPr>
        <w:tc>
          <w:tcPr>
            <w:tcW w:w="200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102,004</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months ended September 30, 2023 or 2024. All securities in the Company’s portfolio held an A-1 rating or better as of September 30, 2024.</w:t>
      </w:r>
    </w:p>
    <w:p>
      <w:pPr>
        <w:spacing w:after="0" w:line="14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months ended September 30, 2023 or 2024. There were no realized gains or losses on the sale of available-for-sale securities for the three months ended September 30, 2023 or 2024.</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September 30,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185,185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191,303</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used to measure fair value. The hierarchy requires entities to maximize the use of observable inputs and minimize the use of unobservable inputs. The three levels of inputs used to measure fair value are as follows:</w:t>
      </w:r>
    </w:p>
    <w:p>
      <w:pPr>
        <w:spacing w:after="0" w:line="12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2024 and September 30, 2024 based upon the short-term nature of these assets and liabilities.</w:t>
      </w:r>
    </w:p>
    <w:p>
      <w:pPr>
        <w:spacing w:after="0" w:line="15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certificates of deposit,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2024 or September 30, 2024.</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2,845,669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1,826,954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513,457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513,457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3,118,960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2,605,503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513,457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borrowings outstanding will mature and be payable upon expiration. The Company had no outstanding borrowings under the credit facility at June 30, 2024. During the three months ended September 30, 2024, the Company borrowed $325,000 to fund the acquisition of Airbase Inc. in October 2024, which remained outstanding at September 30, 2024. Refer to Note 13 for further details on the Company's acquisition of Airbase Inc.</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Secured Overnight Financing Rate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September 30, 2024, the Company was in compliance with all of the aforementioned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maintained a 2014 Equity Incentive Plan (the “2014 Plan”) and continues to maintain a 2023 Equity Incentive Plan (the “2023 Plan”). The 2023 Plan serves as the successor to the 2014 Plan and permits the granting of market share units ("MSUs"), performance stock units ("PSUs"), restricted stock units ("RSUs") and other equity incentives at the discretion of the compensation committee of the Company’s board of directors ("Committee"). No new awards have been or will be issued under the 2014 Plan since the effective date of the 2023 Plan. Outstanding awards under the 2014 Plan continue to be subject to the terms and conditions of the 2014 Plan.</w:t>
      </w:r>
    </w:p>
    <w:p>
      <w:pPr>
        <w:spacing w:after="0" w:line="1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1,432 shares available for future grant under the 2023 Plan, and 2,138 shares were subject to outstanding options or awards. Generally, the Company issues previously unissued shares for the exercise of stock options or vesting of awards; however, shares previously subject to granted awards that are forfeited or net settled at exercise or release may be reissued under the 2023 Plan to satisfy future issuances.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MSUs, PSUs, RSUs and the Employee Stock Purchase Plan is included in the following line items in the accompanying Unaudited Consolidated Statements of Operations and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15,079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39,005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$4,049 and $3,831 of stock-based compensation expense in its capitalized internal-use software costs in the three months ended September 30, 2023 and 2024, respectively.</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September 30, 2024. The table below presents stock option activity during the three months ended September 30,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July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September 30,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intrinsic value of options exercised was $2,494 and $13,497 during the three months ended September 30, 2023 and 2024, respectively.</w:t>
      </w:r>
    </w:p>
    <w:p>
      <w:pPr>
        <w:spacing w:after="0" w:line="185"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its equity incentive plan with terms determined at the discretion of the Committee. RSUs are time-based awards that generally vest over four years following the grant date.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three months ended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September 30,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also grants PSUs under its equity incentive plan with terms determined at the discretion of the Committee. During the three months ended September 30, 2024, the Company granted approximately 55 PSUs with a grant date fair value of $155.95 per share, all which remained outstanding at September 30, 2024. The actual number of PSUs that will be eligible to vest is based on the achievement of Recurring and other revenue targets over a one-year period with vesting taking place annually over three years. Up to 200% of the target number of shares subject to each PSU are eligible to be earned.</w:t>
      </w:r>
    </w:p>
    <w:p>
      <w:pPr>
        <w:spacing w:after="0" w:line="1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grants MSUs under its equity incentive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Index over approximately three years. The MSUs vest at the end of each TSR measurement period, and up to 200% of the target number of shares subject to each MSU are eligible to be earned.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three months ended September 30,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335.79</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w:t>
            </w: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345.51</w:t>
            </w:r>
          </w:p>
        </w:tc>
      </w:tr>
      <w:tr>
        <w:trPr>
          <w:trHeight w:val="277"/>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September 30, 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4"/>
                <w:szCs w:val="14"/>
                <w:color w:val="auto"/>
              </w:rPr>
            </w:pPr>
          </w:p>
        </w:tc>
      </w:tr>
      <w:tr>
        <w:trPr>
          <w:trHeight w:val="190"/>
        </w:trPr>
        <w:tc>
          <w:tcPr>
            <w:tcW w:w="8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896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5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5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9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r>
    </w:tbl>
    <w:p>
      <w:pPr>
        <w:spacing w:after="0" w:line="25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there was $214,976 of total unrecognized compensation cost, net of estimated forfeitures, related to unvested MSUs, PSUs and RSUs. That cost is expected to be recognized over a weighted average period of 1.8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On September 11, 2023, a second potential class action complaint was filed against the Company with the Circuit Court of Cook County that alleges violations of the Illinois Biometric Information Privacy Act that overlap with claims in the first action. The Company is unable to estimate any reasonably possible loss, or range of loss, with respect to these matters at this time. The Company intends to vigorously defend against these lawsuits.</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of these matters that are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22.3% and 28.0% for the three months ended September 30, 2023 and 2024, respectively. The Company's effective tax rate for the three months ended September 30, 2023 was higher than the federal statutory rate of 21% primarily due to state and local income taxes, partially offset by federal research and development tax</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credits. The Company's effective tax rate for the three months ended September 30, 2024 was higher than the federal statutory rate of 21% primarily due to state and local income taxes.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as of the balance sheet date. The following table presents the calculation of basic and diluted net income per share:</w:t>
      </w:r>
    </w:p>
    <w:p>
      <w:pPr>
        <w:spacing w:after="0" w:line="20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34,517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w:t>
            </w:r>
          </w:p>
        </w:tc>
      </w:tr>
      <w:tr>
        <w:trPr>
          <w:trHeight w:val="277"/>
        </w:trPr>
        <w:tc>
          <w:tcPr>
            <w:tcW w:w="8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performance stock units and market share units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5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56,881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56,266</w:t>
            </w:r>
          </w:p>
        </w:tc>
      </w:tr>
      <w:tr>
        <w:trPr>
          <w:trHeight w:val="270"/>
        </w:trPr>
        <w:tc>
          <w:tcPr>
            <w:tcW w:w="8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market share units, performance stock units and restricted stock units as of September 30, 2023 and 2024 that were excluded from the diluted per share calculation for the periods presented because to include them would have been antidilutive:</w:t>
      </w:r>
    </w:p>
    <w:p>
      <w:pPr>
        <w:spacing w:after="0" w:line="16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6"/>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
        </w:trPr>
        <w:tc>
          <w:tcPr>
            <w:tcW w:w="8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Airbase Inc. ("Airbase") for cash consideration of $321,889, net of cash acquired and other preliminary purchase price adjustments, which was funded by borrowings under its credit facility. Refer to Note 8 for more information on the credit facility. Airbase is a modern finance and spend management software solution that combines bill pay/accounts payable automation, expense management, corporate cards and procurement capabilities. This acquisition will enable the Company to provide a comprehensive solution and modern client experience for managing payroll and non-payroll spend on a single integrated platform. Due to the timing of this acquisition, the Company is in the process of evaluating its impact on the consolidated financial statements. This acquisition will be accounted for as a business combination in accordance with ASC 805: Business Combinations using the acquisition method of accounting, and the Company will recognize assets and liabilities at fair value as of the date of acquisition.</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2024 filed with the SEC on August 2,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3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3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will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$317.6 million for the three months ended September 30, 2023 to $363.0 million for the three months ended September 30, 2024, representing a 14% year-over-year increase. The increase in year-over-year revenue growth was driven by the strong performance by our sales team. Uncertainties around market and economic conditions may impact revenue growth, which we have recently experienced and may continue to experience, through</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60"/>
        <w:spacing w:after="0" w:line="461" w:lineRule="auto"/>
        <w:rPr>
          <w:sz w:val="20"/>
          <w:szCs w:val="20"/>
          <w:color w:val="auto"/>
        </w:rPr>
      </w:pPr>
      <w:r>
        <w:rPr>
          <w:rFonts w:ascii="Times New Roman" w:cs="Times New Roman" w:eastAsia="Times New Roman" w:hAnsi="Times New Roman"/>
          <w:sz w:val="18"/>
          <w:szCs w:val="18"/>
          <w:color w:val="auto"/>
        </w:rPr>
        <w:t xml:space="preserve">fluctuations in client employee counts, elongated sales cycles, client losses, and a changing interest rate environment, among other factors. </w:t>
      </w:r>
      <w:r>
        <w:rPr>
          <w:rFonts w:ascii="Times New Roman" w:cs="Times New Roman" w:eastAsia="Times New Roman" w:hAnsi="Times New Roman"/>
          <w:sz w:val="18"/>
          <w:szCs w:val="18"/>
          <w:b w:val="1"/>
          <w:bCs w:val="1"/>
          <w:i w:val="1"/>
          <w:iCs w:val="1"/>
          <w:color w:val="auto"/>
        </w:rPr>
        <w:t>Adjusted Gross Profit and Adjusted EBITDA</w:t>
      </w:r>
    </w:p>
    <w:p>
      <w:pPr>
        <w:spacing w:after="0" w:line="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defined below.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8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216,119</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247,996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 option exercises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82"/>
        </w:trPr>
        <w:tc>
          <w:tcPr>
            <w:tcW w:w="8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 option exercises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8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100" w:hanging="652"/>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 adjustments related to certain roles that have been eliminated. We exclude one-off severance costs that we incur as part of the normal course of our business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560" w:hanging="652"/>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nonrecurring transaction-related costs and severance costs related to certain roles that have been eliminated. We exclude one-off severance costs that we incur as part of the normal course of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HCM and payroll software solutions, which are recurring in nature.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necessarily a good indicator of our financial results in any given period. Recurring and other revenue accounted for 92% of our total revenues for both the three months ended September 30, 2023 and 2024.</w:t>
      </w:r>
    </w:p>
    <w:p>
      <w:pPr>
        <w:spacing w:after="0" w:line="153"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4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$9.5 million and $13.8 million of capitalized internal-use software costs during the three months ended September 30, 2023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2023 and 2024.</w:t>
      </w:r>
    </w:p>
    <w:p>
      <w:pPr>
        <w:spacing w:after="0" w:line="18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18,930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44,605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63,535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66,557</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increase in absolute dollars as our company continues to grow, we expect to realize cost efficiencies as our business scales.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2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4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4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333,105</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362,956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114,960</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88,431</w:t>
            </w:r>
          </w:p>
        </w:tc>
        <w:tc>
          <w:tcPr>
            <w:tcW w:w="0" w:type="dxa"/>
            <w:vAlign w:val="bottom"/>
          </w:tcPr>
          <w:p>
            <w:pPr>
              <w:spacing w:after="0"/>
              <w:rPr>
                <w:sz w:val="1"/>
                <w:szCs w:val="1"/>
                <w:color w:val="auto"/>
              </w:rPr>
            </w:pP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183,852</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64,144</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29"/>
        </w:trPr>
        <w:tc>
          <w:tcPr>
            <w:tcW w:w="8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8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3"/>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9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2023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291,685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333,105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25,901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29,851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September 30, 2024 increased by $41.4 million, or 14%, to $333.1 million from $291.7 million for the three months ended September 30, 2023.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on funds held for clients for the three months ended September 30, 2024 increased by $4.0 million, or 15%, to $29.9 million from</w:t>
      </w:r>
    </w:p>
    <w:p>
      <w:pPr>
        <w:spacing w:after="0" w:line="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$25.9 million for the three months ended September 30, 2023. Interest income on funds held for clients increased primarily due to higher average daily balances for funds held due to the addition of new clients to our client base as compared to the prior fiscal year.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300" w:type="dxa"/>
            <w:vAlign w:val="bottom"/>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30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101,467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114,960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2024 increased by $13.5 million, or 13%, to $115.0 million from $101.5 million for the three months ended September 30, 2023. Cost of revenues increased primarily as a result of the continued growth of our business, in particular, $6.4 million in additional employee-related costs, $4.2 million in additional amortization of internal use software, and $3.2 million in additional processing and delivery related costs. Gross margin remained consistent at 68% for both the three months ended September 30, 2023 and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00" w:type="dxa"/>
            <w:vAlign w:val="bottom"/>
            <w:gridSpan w:val="3"/>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2300" w:type="dxa"/>
            <w:vAlign w:val="bottom"/>
            <w:tcBorders>
              <w:bottom w:val="single" w:sz="8" w:color="auto"/>
            </w:tcBorders>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80,403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88,431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2024 increased by $8.0 million, or 10%, to $88.4 million from $80.4 million for the three months ended September 30, 2023. The increase in sales and marketing expense was primarily due to $7.9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300" w:type="dxa"/>
            <w:vAlign w:val="bottom"/>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300" w:type="dxa"/>
            <w:vAlign w:val="bottom"/>
            <w:tcBorders>
              <w:bottom w:val="single" w:sz="8" w:color="auto"/>
            </w:tcBorders>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44,605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2024 increased by $2.7 million, or 6%, to $47.3 million from</w:t>
      </w:r>
    </w:p>
    <w:p>
      <w:pPr>
        <w:spacing w:after="0" w:line="5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$44.6 million for the three months ended September 30, 2023. The increase in research and development expenses was primarily due to $3.2 million of additional employee-related costs related to additional development personnel.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00" w:type="dxa"/>
            <w:vAlign w:val="bottom"/>
            <w:gridSpan w:val="3"/>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300" w:type="dxa"/>
            <w:vAlign w:val="bottom"/>
            <w:tcBorders>
              <w:bottom w:val="single" w:sz="8" w:color="auto"/>
            </w:tcBorders>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48,161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2024 decreased by $1.8 million, or 4%, to $48.2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$49.9 million for the three months ended September 30, 2023. General and administrative expenses decreased primarily due to a $4.9 million reduction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attributable to executive award forfeitures, partially offset by $1.9 million in additional employee-related costs.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September 30, 2024 increased by $1.5 million as compared to the three months ended September 30, 2023. The change in other income was primarily due to higher interest income earned on our cash and cash equivalents as a result of higher average daily balances of those corporate cash and cash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22.3% and 28.0% for the three months ended September 30, 2023 and 2024, respectively. Our effective tax rate for the three months ended September 30, 2023 was higher than the federal statutory rate of 21% primarily due to state and local income taxes, partially offset by federal research and development credits. Our effective tax rate for the three months ended September 30, 2024 was higher than the federal statutory rate of 21% primarily due to state and local income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6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2024 included in our Annual Report on Form 10-K filed with the SEC on August 2,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primary liquidity needs are related to the funding of general business requirements, including working capital requirements, research and development, and capital expenditures. As of September 30, 2024, our principal source of liquidity was </w:t>
      </w:r>
      <w:r>
        <w:rPr>
          <w:rFonts w:ascii="Times New Roman" w:cs="Times New Roman" w:eastAsia="Times New Roman" w:hAnsi="Times New Roman"/>
          <w:sz w:val="16"/>
          <w:szCs w:val="16"/>
          <w:color w:val="auto"/>
        </w:rPr>
        <w:t>$453.5</w:t>
      </w:r>
      <w:r>
        <w:rPr>
          <w:rFonts w:ascii="Times New Roman" w:cs="Times New Roman" w:eastAsia="Times New Roman" w:hAnsi="Times New Roman"/>
          <w:sz w:val="18"/>
          <w:szCs w:val="18"/>
          <w:color w:val="auto"/>
        </w:rPr>
        <w:t xml:space="preserve"> million of cash and cash equivalents, excluding the proceeds drawn from our credit facility further described below. We maintain a credit agreement that provides for a $550.0 million revolving credit facility, which may be increased up to $825.0 million. In September 2024, we borrowed $325.0 million under this credit facility to fund the acquisition of Airbase Inc. in October 2024, which remained outstanding at September 30, 2024. Refer to Notes 8 and 13 of the Notes to the Unaudited Consolidated Financial Statements for additional detail on the credit agreement and Airbase acquisition, respectively.</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$500.0 million of our common stock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As of September 30, 2024, approximately $350.0 million remains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authorized for repurchases under the Repurchase Program, and there were no repurchases of our common stock during the three months ended September 30, 2024.</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bonds, asset-backed securities, certificates of deposit, U.S. treasury securities, and other securities with credit quality ratings of A-1 or higher as well as in money market funds. As of September 30, 2024, we did not have any corporate investments classified as available-for-sale securities.</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14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5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(621,746)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$62.1 million and $91.5 million for the three months ended September 30, 2023 and 2024, respectively. The change in net cash provided by operating activities from the three months ended September 30, 2023 to the three months ended September 30, 2024 was primarily due to net changes in operating assets and liabilities, accompanied by improved operating results after adjusting for non-cash items including stock-based compensation expense, depreciation and amortization expense and deferred income tax expense (benefit) during the three months ended September 30, 2024 as compared to the three months ended September 30,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$9.4 million and $13.3 million for the three months ended September 30, 2023 and 2024,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3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$76.2 million in less proceeds from the sales and maturities of available-for-sale securities, partially offset by a $72.4 million decrease in purchases of available-for-sale securities during the three months ended September 30, 2024 as compared to the three months ended September 30,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$122.4 million and $318.3 million for the three months ended September 30, 2023 and 2024, respectively. The change in net cash used in financing activities was primarily the result of an increase in the net change in client fund obligations of $528.2 million due to the timing of client funds collected and related remittance of those funds to client employees and taxing authorities, partially offset by $325.0</w:t>
      </w:r>
    </w:p>
    <w:p>
      <w:pPr>
        <w:ind w:right="240"/>
        <w:spacing w:after="0" w:line="282" w:lineRule="auto"/>
        <w:rPr>
          <w:sz w:val="20"/>
          <w:szCs w:val="20"/>
          <w:color w:val="auto"/>
        </w:rPr>
      </w:pPr>
      <w:r>
        <w:rPr>
          <w:rFonts w:ascii="Times New Roman" w:cs="Times New Roman" w:eastAsia="Times New Roman" w:hAnsi="Times New Roman"/>
          <w:sz w:val="18"/>
          <w:szCs w:val="18"/>
          <w:color w:val="auto"/>
        </w:rPr>
        <w:t>million in borrowings under our credit facility during the three months ended September 30, 2024 as compared to the three months ended September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our principal commitments consisted of $325.0 million in borrowings on our revolving credit facility, which is contractually not due in the next twelve months, and related interest payments, as well as $62.5 million in operating lease obligations, of which $9.8 million is due in the next twelve months. We also had $70.9 million in purchase obligations, of which $41.7 million is due in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$3.5 million and $2.3 million for the three months ended September 30, 2023 and 2024, respectively, exclusive of capitalized internal-use software costs of $14.2 million and $15.2 million for the same periods,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2, 2024 for risks related to our business.</w:t>
      </w:r>
    </w:p>
    <w:p>
      <w:pPr>
        <w:spacing w:after="0" w:line="14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$778.5 million and funds held for clients of $2,340.4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bonds, asset-backed securities, certificates of deposit, U.S. treasury securities, and other securities, as well as in money market funds.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$10.3 million as of September 30, 2024.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$10.3 million as of September 30, 2024.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 xml:space="preserve">$325.0 million in borrowings outstanding under our credit facility. </w:t>
      </w:r>
      <w:r>
        <w:rPr>
          <w:rFonts w:ascii="Times New Roman" w:cs="Times New Roman" w:eastAsia="Times New Roman" w:hAnsi="Times New Roman"/>
          <w:sz w:val="18"/>
          <w:szCs w:val="18"/>
          <w:color w:val="212529"/>
        </w:rPr>
        <w:t>Because interest rates applicable to the credit facility are variable, we are exposed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market risk from changes in the underlying index rates, which affects our interest expense. A hypothetical change of 100 basis points in interest rates would not have had a significant impact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September 30, 2024,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2024 filed with the SEC on August 2,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54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0" w:lineRule="exact"/>
        <w:rPr>
          <w:sz w:val="20"/>
          <w:szCs w:val="20"/>
          <w:color w:val="auto"/>
        </w:rPr>
      </w:pPr>
    </w:p>
    <w:p>
      <w:pPr>
        <w:jc w:val="center"/>
        <w:ind w:right="8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56" w:right="6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September 30, 2024, the following officer adopted a “Rule 10b5-1 trading arrangement,” as defined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408(a) of Regulation S-K intending to satisfy the affirmative defense of Rule 10b5-1(c):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Shares of Common</w:t>
            </w:r>
          </w:p>
        </w:tc>
        <w:tc>
          <w:tcPr>
            <w:tcW w:w="2300" w:type="dxa"/>
            <w:vAlign w:val="bottom"/>
            <w:vMerge w:val="restart"/>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Duration (3)</w:t>
            </w:r>
          </w:p>
        </w:tc>
        <w:tc>
          <w:tcPr>
            <w:tcW w:w="2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2380" w:type="dxa"/>
            <w:vAlign w:val="bottom"/>
            <w:vMerge w:val="continue"/>
          </w:tcPr>
          <w:p>
            <w:pPr>
              <w:spacing w:after="0"/>
              <w:rPr>
                <w:sz w:val="21"/>
                <w:szCs w:val="21"/>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Stock to be Sold (1) (2)</w:t>
            </w:r>
          </w:p>
        </w:tc>
        <w:tc>
          <w:tcPr>
            <w:tcW w:w="2300" w:type="dxa"/>
            <w:vAlign w:val="bottom"/>
            <w:vMerge w:val="continue"/>
          </w:tcPr>
          <w:p>
            <w:pPr>
              <w:spacing w:after="0"/>
              <w:rPr>
                <w:sz w:val="21"/>
                <w:szCs w:val="21"/>
                <w:color w:val="auto"/>
              </w:rPr>
            </w:pPr>
          </w:p>
        </w:tc>
        <w:tc>
          <w:tcPr>
            <w:tcW w:w="210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Cappotelli</w:t>
            </w:r>
          </w:p>
        </w:tc>
        <w:tc>
          <w:tcPr>
            <w:tcW w:w="2760" w:type="dxa"/>
            <w:vAlign w:val="bottom"/>
            <w:shd w:val="clear" w:color="auto" w:fill="CCEEFF"/>
          </w:tcPr>
          <w:p>
            <w:pPr>
              <w:spacing w:after="0"/>
              <w:rPr>
                <w:sz w:val="20"/>
                <w:szCs w:val="20"/>
                <w:color w:val="auto"/>
              </w:rPr>
            </w:pPr>
          </w:p>
        </w:tc>
        <w:tc>
          <w:tcPr>
            <w:tcW w:w="2300" w:type="dxa"/>
            <w:vAlign w:val="bottom"/>
            <w:vMerge w:val="restart"/>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December 17, 2024 - June</w:t>
            </w:r>
          </w:p>
        </w:tc>
        <w:tc>
          <w:tcPr>
            <w:tcW w:w="2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 to 1,972</w:t>
            </w:r>
          </w:p>
        </w:tc>
        <w:tc>
          <w:tcPr>
            <w:tcW w:w="230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September 17,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 2025</w:t>
            </w:r>
          </w:p>
        </w:tc>
        <w:tc>
          <w:tcPr>
            <w:tcW w:w="0" w:type="dxa"/>
            <w:vAlign w:val="bottom"/>
          </w:tcPr>
          <w:p>
            <w:pPr>
              <w:spacing w:after="0"/>
              <w:rPr>
                <w:sz w:val="1"/>
                <w:szCs w:val="1"/>
                <w:color w:val="auto"/>
              </w:rPr>
            </w:pPr>
          </w:p>
        </w:tc>
      </w:tr>
      <w:tr>
        <w:trPr>
          <w:trHeight w:val="90"/>
        </w:trPr>
        <w:tc>
          <w:tcPr>
            <w:tcW w:w="2380" w:type="dxa"/>
            <w:vAlign w:val="bottom"/>
            <w:vMerge w:val="continue"/>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300" w:type="dxa"/>
            <w:vAlign w:val="bottom"/>
            <w:shd w:val="clear" w:color="auto" w:fill="CCEEFF"/>
          </w:tcPr>
          <w:p>
            <w:pPr>
              <w:jc w:val="right"/>
              <w:ind w:right="263"/>
              <w:spacing w:after="0" w:line="90" w:lineRule="exact"/>
              <w:rPr>
                <w:sz w:val="20"/>
                <w:szCs w:val="20"/>
                <w:color w:val="auto"/>
              </w:rPr>
            </w:pPr>
            <w:r>
              <w:rPr>
                <w:rFonts w:ascii="Times New Roman" w:cs="Times New Roman" w:eastAsia="Times New Roman" w:hAnsi="Times New Roman"/>
                <w:sz w:val="10"/>
                <w:szCs w:val="10"/>
                <w:color w:val="auto"/>
              </w:rPr>
              <w:t>20, 2025</w:t>
            </w:r>
          </w:p>
        </w:tc>
        <w:tc>
          <w:tcPr>
            <w:tcW w:w="210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7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sold is determined, in part, based on pricing triggers outlined in the adopting person's trading arrangement.</w:t>
      </w:r>
    </w:p>
    <w:p>
      <w:pPr>
        <w:spacing w:after="0" w:line="49" w:lineRule="exact"/>
        <w:rPr>
          <w:rFonts w:ascii="Times New Roman" w:cs="Times New Roman" w:eastAsia="Times New Roman" w:hAnsi="Times New Roman"/>
          <w:sz w:val="18"/>
          <w:szCs w:val="18"/>
          <w:color w:val="auto"/>
        </w:rPr>
      </w:pPr>
    </w:p>
    <w:p>
      <w:pPr>
        <w:ind w:left="660" w:right="40" w:hanging="652"/>
        <w:spacing w:after="0" w:line="236"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subject to certain outstanding equity awards with time-based vesting conditions. The actual number of shares that may be sold will be net of the number of shares withheld by the Company to satisfy tax withholding obligations arising from the vesting of such awards, which is not determinable at this time.</w:t>
      </w:r>
    </w:p>
    <w:p>
      <w:pPr>
        <w:spacing w:after="0" w:line="10"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3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spacing w:after="0" w:line="23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September 30, 2024.</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60" w:type="dxa"/>
            <w:vAlign w:val="bottom"/>
            <w:gridSpan w:val="17"/>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5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Agreement and Plan of Merger, dated August 29, 2024, by and among Paylocity Corporation, Project Alpine Merger Sub, Inc. Airbase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9840" w:type="dxa"/>
            <w:vAlign w:val="bottom"/>
            <w:gridSpan w:val="25"/>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Inc and Shareholder Representative Services LLC (filed as Exhibit 2.1 of Paylocity Holding Corporation's Current Report on Form 8-K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on September 4, 2024 (File No. 001-36348)).</w:t>
              </w:r>
            </w:hyperlink>
          </w:p>
        </w:tc>
        <w:tc>
          <w:tcPr>
            <w:tcW w:w="65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2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8-K on December 4, 2023 (File No. 001-36348)).</w:t>
              </w:r>
            </w:hyperlink>
          </w:p>
        </w:tc>
        <w:tc>
          <w:tcPr>
            <w:tcW w:w="1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2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Restricted Stock Unit Notice of Grant and Award Agreement (For California Participants Executive and Board) under 2023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Equity Incentive Plan.</w:t>
            </w:r>
          </w:p>
        </w:tc>
        <w:tc>
          <w:tcPr>
            <w:tcW w:w="7900" w:type="dxa"/>
            <w:vAlign w:val="bottom"/>
            <w:tcBorders>
              <w:top w:val="single" w:sz="8" w:color="0000FF"/>
            </w:tcBorders>
            <w:gridSpan w:val="15"/>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Performance Stock Unit Notice of Grant and Award Agreement under 2023 Equity Incentive Plan.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Performance Stock Unit Notice of Grant and Award Agreement (California) under 2023 Equity Incentive Plan.</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Market Stock Unit Notice of Grant and Award Agreement under 2023 Equity Incentive Plan.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Market Stock Unit Notice of Grant and Award Agreement (California) under 2023 Equity Incentive Plan.</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340" w:type="dxa"/>
            <w:vAlign w:val="bottom"/>
            <w:gridSpan w:val="6"/>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Second Amendment to Executive Employment Agreement between Paylocity Corporation, Paylocity Holding Corporation and Toby J.</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Williams, dated July 26, 2024.</w:t>
            </w: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7*</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Amendment to Executive Employment Agreement between Paylocity Corporation, Paylocity Holding Corporation and Steven 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Beauchamp, dated July 26, 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13a-4 and 15d-14 as adopted pursuant to Section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Executive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4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80" w:type="dxa"/>
            <w:vAlign w:val="bottom"/>
            <w:gridSpan w:val="14"/>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34"/>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31, 2024</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31, 2024</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r>
        <w:trPr>
          <w:trHeight w:val="904"/>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33</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5"/>
          <w:szCs w:val="25"/>
          <w:b w:val="1"/>
          <w:bCs w:val="1"/>
          <w:color w:val="auto"/>
        </w:rPr>
        <w:t>RSU Grant Notice with Quarterly Vesting Schedule</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GRANT OF RESTRICTED STOCK 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(Contains a Non-Competition Covenant)</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Paylocity Holding Corporation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has granted to the Participant an award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of certain units pursuant to the Paylocity Holding Corporation 2023 Equity Incentive Plan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each of which represents the right to receive on the applicable Settlement Date one (1)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2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2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Stock,</w:t>
            </w:r>
          </w:p>
        </w:tc>
        <w:tc>
          <w:tcPr>
            <w:tcW w:w="25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as</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4"/>
              </w:rPr>
              <w:t>follows:</w:t>
            </w:r>
          </w:p>
        </w:tc>
      </w:tr>
      <w:tr>
        <w:trPr>
          <w:trHeight w:val="23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2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23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23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Units:</w:t>
            </w:r>
          </w:p>
        </w:tc>
        <w:tc>
          <w:tcPr>
            <w:tcW w:w="77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_________ Subject to adjustment as provided by the Restricted Stock Units Agreement.</w:t>
            </w:r>
          </w:p>
        </w:tc>
        <w:tc>
          <w:tcPr>
            <w:tcW w:w="1100" w:type="dxa"/>
            <w:vAlign w:val="bottom"/>
          </w:tcPr>
          <w:p>
            <w:pPr>
              <w:spacing w:after="0"/>
              <w:rPr>
                <w:sz w:val="22"/>
                <w:szCs w:val="22"/>
                <w:color w:val="auto"/>
              </w:rPr>
            </w:pP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Except as provided by the Restricted Stock Units Agreement, the date on which a Unit becomes a Vested Unit.</w:t>
            </w:r>
          </w:p>
        </w:tc>
      </w:tr>
      <w:tr>
        <w:trPr>
          <w:trHeight w:val="25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23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Except as provided in the Restricted Stock Units Agreement and provided that the Participant’s Service has not</w:t>
            </w:r>
          </w:p>
        </w:tc>
      </w:tr>
      <w:tr>
        <w:trPr>
          <w:trHeight w:val="198"/>
        </w:trPr>
        <w:tc>
          <w:tcPr>
            <w:tcW w:w="2340" w:type="dxa"/>
            <w:vAlign w:val="bottom"/>
          </w:tcPr>
          <w:p>
            <w:pPr>
              <w:spacing w:after="0"/>
              <w:rPr>
                <w:sz w:val="17"/>
                <w:szCs w:val="17"/>
                <w:color w:val="auto"/>
              </w:rPr>
            </w:pPr>
          </w:p>
        </w:tc>
        <w:tc>
          <w:tcPr>
            <w:tcW w:w="8880" w:type="dxa"/>
            <w:vAlign w:val="bottom"/>
            <w:gridSpan w:val="6"/>
          </w:tcPr>
          <w:p>
            <w:pPr>
              <w:ind w:left="440"/>
              <w:spacing w:after="0" w:line="199" w:lineRule="exact"/>
              <w:rPr>
                <w:sz w:val="20"/>
                <w:szCs w:val="20"/>
                <w:color w:val="auto"/>
              </w:rPr>
            </w:pPr>
            <w:r>
              <w:rPr>
                <w:rFonts w:ascii="Times New Roman" w:cs="Times New Roman" w:eastAsia="Times New Roman" w:hAnsi="Times New Roman"/>
                <w:sz w:val="18"/>
                <w:szCs w:val="18"/>
                <w:color w:val="auto"/>
              </w:rPr>
              <w:t>terminated prior to the applicable date, the number of Vested Units (disregarding any resulting fractional Unit) as of</w:t>
            </w:r>
          </w:p>
        </w:tc>
      </w:tr>
      <w:tr>
        <w:trPr>
          <w:trHeight w:val="207"/>
        </w:trPr>
        <w:tc>
          <w:tcPr>
            <w:tcW w:w="2340" w:type="dxa"/>
            <w:vAlign w:val="bottom"/>
          </w:tcPr>
          <w:p>
            <w:pPr>
              <w:spacing w:after="0"/>
              <w:rPr>
                <w:sz w:val="17"/>
                <w:szCs w:val="17"/>
                <w:color w:val="auto"/>
              </w:rPr>
            </w:pPr>
          </w:p>
        </w:tc>
        <w:tc>
          <w:tcPr>
            <w:tcW w:w="8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 xml:space="preserve">any date is determined by multiplying the Total Number of Units by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determined as of such date,</w:t>
            </w:r>
          </w:p>
        </w:tc>
      </w:tr>
      <w:tr>
        <w:trPr>
          <w:trHeight w:val="234"/>
        </w:trPr>
        <w:tc>
          <w:tcPr>
            <w:tcW w:w="234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follows:</w:t>
            </w:r>
          </w:p>
        </w:tc>
        <w:tc>
          <w:tcPr>
            <w:tcW w:w="2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Vested Ratio</w:t>
            </w:r>
          </w:p>
        </w:tc>
        <w:tc>
          <w:tcPr>
            <w:tcW w:w="1100" w:type="dxa"/>
            <w:vAlign w:val="bottom"/>
          </w:tcPr>
          <w:p>
            <w:pPr>
              <w:spacing w:after="0"/>
              <w:rPr>
                <w:sz w:val="18"/>
                <w:szCs w:val="18"/>
                <w:color w:val="auto"/>
              </w:rPr>
            </w:pPr>
          </w:p>
        </w:tc>
      </w:tr>
      <w:tr>
        <w:trPr>
          <w:trHeight w:val="245"/>
        </w:trPr>
        <w:tc>
          <w:tcPr>
            <w:tcW w:w="2340" w:type="dxa"/>
            <w:vAlign w:val="bottom"/>
          </w:tcPr>
          <w:p>
            <w:pPr>
              <w:spacing w:after="0"/>
              <w:rPr>
                <w:sz w:val="21"/>
                <w:szCs w:val="21"/>
                <w:color w:val="auto"/>
              </w:rPr>
            </w:pPr>
          </w:p>
        </w:tc>
        <w:tc>
          <w:tcPr>
            <w:tcW w:w="5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 each period of 3 full months of the Participant’s</w:t>
            </w:r>
          </w:p>
        </w:tc>
        <w:tc>
          <w:tcPr>
            <w:tcW w:w="1100" w:type="dxa"/>
            <w:vAlign w:val="bottom"/>
          </w:tcPr>
          <w:p>
            <w:pPr>
              <w:spacing w:after="0"/>
              <w:rPr>
                <w:sz w:val="21"/>
                <w:szCs w:val="21"/>
                <w:color w:val="auto"/>
              </w:rPr>
            </w:pPr>
          </w:p>
        </w:tc>
        <w:tc>
          <w:tcPr>
            <w:tcW w:w="9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3"/>
        </w:trPr>
        <w:tc>
          <w:tcPr>
            <w:tcW w:w="2340" w:type="dxa"/>
            <w:vAlign w:val="bottom"/>
          </w:tcPr>
          <w:p>
            <w:pPr>
              <w:spacing w:after="0"/>
              <w:rPr>
                <w:sz w:val="17"/>
                <w:szCs w:val="17"/>
                <w:color w:val="auto"/>
              </w:rPr>
            </w:pPr>
          </w:p>
        </w:tc>
        <w:tc>
          <w:tcPr>
            <w:tcW w:w="5200" w:type="dxa"/>
            <w:vAlign w:val="bottom"/>
            <w:gridSpan w:val="2"/>
          </w:tcPr>
          <w:p>
            <w:pPr>
              <w:ind w:left="440"/>
              <w:spacing w:after="0" w:line="202" w:lineRule="exact"/>
              <w:rPr>
                <w:sz w:val="20"/>
                <w:szCs w:val="20"/>
                <w:color w:val="auto"/>
              </w:rPr>
            </w:pPr>
            <w:r>
              <w:rPr>
                <w:rFonts w:ascii="Times New Roman" w:cs="Times New Roman" w:eastAsia="Times New Roman" w:hAnsi="Times New Roman"/>
                <w:sz w:val="18"/>
                <w:szCs w:val="18"/>
                <w:color w:val="auto"/>
              </w:rPr>
              <w:t>Service from the Initial Vesting Date until the Vested</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Ratio equals 1/1,</w:t>
            </w:r>
          </w:p>
        </w:tc>
        <w:tc>
          <w:tcPr>
            <w:tcW w:w="2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pacing w:after="0" w:line="30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w:t>
      </w:r>
    </w:p>
    <w:p>
      <w:pPr>
        <w:spacing w:after="0" w:line="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this document, and by the Superseding Agreement, if any. The Participant acknowledges that copies of the Plan, the Restricted Stock Units Agreement and the prospectus for the Plan are posted to the participant’s online account through the Company designated stock compensation administration provider and</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337"/>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Toby Williams</w:t>
            </w:r>
          </w:p>
        </w:tc>
        <w:tc>
          <w:tcPr>
            <w:tcW w:w="33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20" w:type="dxa"/>
            <w:vAlign w:val="bottom"/>
            <w:vMerge w:val="restart"/>
          </w:tcPr>
          <w:p>
            <w:pPr>
              <w:spacing w:after="0"/>
              <w:rPr>
                <w:sz w:val="4"/>
                <w:szCs w:val="4"/>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Paylocity Corporation</w:t>
            </w:r>
          </w:p>
        </w:tc>
        <w:tc>
          <w:tcPr>
            <w:tcW w:w="3320" w:type="dxa"/>
            <w:vAlign w:val="bottom"/>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2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33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252"/>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3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1400 American Lane</w:t>
            </w: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3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Schaumburg, IL 60173</w:t>
            </w:r>
          </w:p>
        </w:tc>
        <w:tc>
          <w:tcPr>
            <w:tcW w:w="5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320" w:type="dxa"/>
            <w:vAlign w:val="bottom"/>
            <w:vMerge w:val="continue"/>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185420</wp:posOffset>
            </wp:positionV>
            <wp:extent cx="3505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2023 Equity Incentive Plan, as amended to the Date of Grant; Restricted Stock Units Agreement and Plan Prospectus</w:t>
      </w:r>
    </w:p>
    <w:p>
      <w:pPr>
        <w:sectPr>
          <w:pgSz w:w="11900" w:h="16838" w:orient="portrait"/>
          <w:cols w:equalWidth="0" w:num="1">
            <w:col w:w="11240"/>
          </w:cols>
          <w:pgMar w:left="320" w:top="347"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jc w:val="center"/>
        <w:ind w:right="-19"/>
        <w:spacing w:after="0" w:line="225" w:lineRule="auto"/>
        <w:rPr>
          <w:sz w:val="20"/>
          <w:szCs w:val="20"/>
          <w:color w:val="auto"/>
        </w:rPr>
      </w:pPr>
      <w:r>
        <w:rPr>
          <w:rFonts w:ascii="Times New Roman" w:cs="Times New Roman" w:eastAsia="Times New Roman" w:hAnsi="Times New Roman"/>
          <w:sz w:val="20"/>
          <w:szCs w:val="20"/>
          <w:b w:val="1"/>
          <w:bCs w:val="1"/>
          <w:color w:val="auto"/>
        </w:rPr>
        <w:t>RESTRICTED STOCK UNITS AGREEMENT</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California Participants Executive and Board)</w:t>
      </w:r>
    </w:p>
    <w:p>
      <w:pPr>
        <w:spacing w:after="0" w:line="217"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0"/>
          <w:szCs w:val="20"/>
          <w:color w:val="auto"/>
        </w:rPr>
        <w:t xml:space="preserve">Paylocity Holding Corporation has granted to the Participant named in the </w:t>
      </w:r>
      <w:r>
        <w:rPr>
          <w:rFonts w:ascii="Times New Roman" w:cs="Times New Roman" w:eastAsia="Times New Roman" w:hAnsi="Times New Roman"/>
          <w:sz w:val="20"/>
          <w:szCs w:val="20"/>
          <w:i w:val="1"/>
          <w:iCs w:val="1"/>
          <w:color w:val="auto"/>
        </w:rPr>
        <w:t>Notice of Grant of Restricted Stock Units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to which this Restricted Stock Units Agreement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is attached an Award consisting of Restricted Stock Units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Unit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the terms and conditions set forth in the Grant Notice and this Agreement. The Award has been granted pursuant to and shall in all respects be subject to the terms and conditions of the Paylocity Holding Corporation 2023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 Prospectus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21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 AND CONSTRUCTION</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Unless otherwise defined herein, capitalized terms shall have the meanings assigned to such terms in the Grant Notice or the Plan.</w:t>
      </w:r>
    </w:p>
    <w:p>
      <w:pPr>
        <w:spacing w:after="0" w:line="165" w:lineRule="exact"/>
        <w:rPr>
          <w:sz w:val="20"/>
          <w:szCs w:val="20"/>
          <w:color w:val="auto"/>
        </w:rPr>
      </w:pPr>
    </w:p>
    <w:p>
      <w:pPr>
        <w:ind w:right="220" w:firstLine="1296"/>
        <w:spacing w:after="0" w:line="268"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Construction</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0"/>
          <w:szCs w:val="20"/>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98"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right="12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Grant of Units.</w:t>
      </w:r>
      <w:r>
        <w:rPr>
          <w:rFonts w:ascii="Times New Roman" w:cs="Times New Roman" w:eastAsia="Times New Roman" w:hAnsi="Times New Roman"/>
          <w:sz w:val="20"/>
          <w:szCs w:val="20"/>
          <w:color w:val="auto"/>
        </w:rPr>
        <w:t xml:space="preserve"> On the Date of Grant, the Participant shall acquire, subject to the provisions of this Agreement, the Total Number of Units set forth in the Grant Notice, subject to adjustment as provided in Section 10. Each Unit represents a right to receive on a date determined in accordance with the Grant Notice and this Agreement one (1) share of Stock.</w:t>
      </w:r>
    </w:p>
    <w:p>
      <w:pPr>
        <w:spacing w:after="0" w:line="189" w:lineRule="exact"/>
        <w:rPr>
          <w:sz w:val="20"/>
          <w:szCs w:val="20"/>
          <w:color w:val="auto"/>
        </w:rPr>
      </w:pPr>
    </w:p>
    <w:p>
      <w:pPr>
        <w:ind w:right="560" w:firstLine="1296"/>
        <w:spacing w:after="0" w:line="25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No Monetary Payment Required.</w:t>
      </w:r>
      <w:r>
        <w:rPr>
          <w:rFonts w:ascii="Times New Roman" w:cs="Times New Roman" w:eastAsia="Times New Roman" w:hAnsi="Times New Roman"/>
          <w:sz w:val="20"/>
          <w:szCs w:val="20"/>
          <w:color w:val="auto"/>
        </w:rPr>
        <w:t xml:space="preserve"> The Participant is not required to make any monetary payment (other than applicable tax withholding, if any) as a condition to receiving the Units or</w:t>
      </w:r>
    </w:p>
    <w:p>
      <w:pPr>
        <w:sectPr>
          <w:pgSz w:w="11900" w:h="16838" w:orient="portrait"/>
          <w:cols w:equalWidth="0" w:num="1">
            <w:col w:w="11220"/>
          </w:cols>
          <w:pgMar w:left="320" w:top="1409" w:right="359" w:bottom="1440" w:gutter="0" w:footer="0" w:header="0"/>
        </w:sectPr>
      </w:pPr>
    </w:p>
    <w:bookmarkStart w:id="36" w:name="page37"/>
    <w:bookmarkEnd w:id="36"/>
    <w:p>
      <w:pPr>
        <w:jc w:val="both"/>
        <w:ind w:right="160"/>
        <w:spacing w:after="0" w:line="239" w:lineRule="auto"/>
        <w:rPr>
          <w:sz w:val="20"/>
          <w:szCs w:val="20"/>
          <w:color w:val="auto"/>
        </w:rPr>
      </w:pPr>
      <w:r>
        <w:rPr>
          <w:rFonts w:ascii="Times New Roman" w:cs="Times New Roman" w:eastAsia="Times New Roman" w:hAnsi="Times New Roman"/>
          <w:sz w:val="20"/>
          <w:szCs w:val="20"/>
          <w:color w:val="auto"/>
        </w:rPr>
        <w:t>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214"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19"/>
          <w:szCs w:val="19"/>
          <w:color w:val="auto"/>
        </w:rPr>
        <w:t>Units acquired pursuant to this Agreement shall become Vested Units as provided in the Grant Notice. In addition, Units acquired pursuant to this Agreement shall become Vested Units upon the Participant’s death or Disability (defined below) to the extent they have not otherwise become Vested Units.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 “Disability,” for purposes of accelerating vesting, means the permanent and total disability of the Participant, within the meaning of Section 22(e)(3) of the Code.</w:t>
      </w:r>
    </w:p>
    <w:p>
      <w:pPr>
        <w:spacing w:after="0" w:line="20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COMPANY REACQUISITION RIGHT</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Grant of Company Reacquisition Right.</w:t>
      </w:r>
      <w:r>
        <w:rPr>
          <w:rFonts w:ascii="Times New Roman" w:cs="Times New Roman" w:eastAsia="Times New Roman" w:hAnsi="Times New Roman"/>
          <w:sz w:val="20"/>
          <w:szCs w:val="20"/>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20"/>
          <w:szCs w:val="20"/>
          <w:b w:val="1"/>
          <w:bCs w:val="1"/>
          <w:i w:val="1"/>
          <w:iCs w:val="1"/>
          <w:color w:val="auto"/>
        </w:rPr>
        <w:t>“Unvested Units”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the Participant shall not be entitled to any payment therefor (the </w:t>
      </w:r>
      <w:r>
        <w:rPr>
          <w:rFonts w:ascii="Times New Roman" w:cs="Times New Roman" w:eastAsia="Times New Roman" w:hAnsi="Times New Roman"/>
          <w:sz w:val="20"/>
          <w:szCs w:val="20"/>
          <w:b w:val="1"/>
          <w:bCs w:val="1"/>
          <w:i w:val="1"/>
          <w:iCs w:val="1"/>
          <w:color w:val="auto"/>
        </w:rPr>
        <w:t>“Company Reacquisition Right”</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120" w:firstLine="1296"/>
        <w:spacing w:after="0" w:line="235"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Ownership Change Event, Non-Cash Dividends, Distributions and Adjustments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10,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205"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20" w:firstLine="1296"/>
        <w:spacing w:after="0" w:line="237"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Issuance of Shares of Stock</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6.3, the Company shall issue to the Participant on the Settlement Date with respect to each Vested Unit to be settled on such date one (1) share of Stock. The Settlement Date with respect to a Unit shall be the date on which such Unit becomes a Vested Unit as provided by the Grant Notice (an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Original Settlement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provided, however, that if the Original Settlement Date would occur on a date on which a sale by the Participant of the shares to be issued in settlement of the Vested Units would violate the Trading Compliance Policy of the Company, the Settlement Date for such Vested Units shall be deferred until the next day on which the sale of such shares would not violate the Trading Compliance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8 or the Company’s Trading Compliance Policy.</w:t>
      </w:r>
    </w:p>
    <w:p>
      <w:pPr>
        <w:sectPr>
          <w:pgSz w:w="11900" w:h="16838" w:orient="portrait"/>
          <w:cols w:equalWidth="0" w:num="1">
            <w:col w:w="11240"/>
          </w:cols>
          <w:pgMar w:left="320" w:top="1413" w:right="339" w:bottom="1440" w:gutter="0" w:footer="0" w:header="0"/>
        </w:sectPr>
      </w:pPr>
    </w:p>
    <w:bookmarkStart w:id="37" w:name="page38"/>
    <w:bookmarkEnd w:id="37"/>
    <w:p>
      <w:pPr>
        <w:ind w:right="120" w:firstLine="1296"/>
        <w:spacing w:after="0" w:line="238"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211"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color w:val="auto"/>
        </w:rPr>
        <w:t>Restrictions on Grant of the Award and 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1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b w:val="1"/>
          <w:bCs w:val="1"/>
          <w:color w:val="auto"/>
        </w:rPr>
        <w:t>Fractional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not be required to issue fractional shares upon the settlement of the Award.</w:t>
      </w:r>
    </w:p>
    <w:p>
      <w:pPr>
        <w:spacing w:after="0" w:line="229" w:lineRule="exact"/>
        <w:rPr>
          <w:sz w:val="20"/>
          <w:szCs w:val="20"/>
          <w:color w:val="auto"/>
        </w:rPr>
      </w:pPr>
    </w:p>
    <w:p>
      <w:pPr>
        <w:ind w:left="1940" w:hanging="636"/>
        <w:spacing w:after="0"/>
        <w:tabs>
          <w:tab w:leader="none" w:pos="194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PARTICIPANT COVENANTS</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ind w:right="80" w:firstLine="1296"/>
        <w:spacing w:after="0" w:line="237"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Covenant Not to Disclose.</w:t>
      </w:r>
      <w:r>
        <w:rPr>
          <w:rFonts w:ascii="Times New Roman" w:cs="Times New Roman" w:eastAsia="Times New Roman" w:hAnsi="Times New Roman"/>
          <w:sz w:val="20"/>
          <w:szCs w:val="20"/>
          <w:color w:val="auto"/>
        </w:rPr>
        <w:t xml:space="preserve"> The Participant acknowledges that as a result of the Participant’s employment with Paylocity Corporation, an Illinois corporation (“</w:t>
      </w:r>
      <w:r>
        <w:rPr>
          <w:rFonts w:ascii="Times New Roman" w:cs="Times New Roman" w:eastAsia="Times New Roman" w:hAnsi="Times New Roman"/>
          <w:sz w:val="20"/>
          <w:szCs w:val="20"/>
          <w:b w:val="1"/>
          <w:bCs w:val="1"/>
          <w:i w:val="1"/>
          <w:iCs w:val="1"/>
          <w:color w:val="auto"/>
        </w:rPr>
        <w:t>Paylocity</w:t>
      </w:r>
      <w:r>
        <w:rPr>
          <w:rFonts w:ascii="Times New Roman" w:cs="Times New Roman" w:eastAsia="Times New Roman" w:hAnsi="Times New Roman"/>
          <w:sz w:val="20"/>
          <w:szCs w:val="20"/>
          <w:color w:val="auto"/>
        </w:rPr>
        <w:t>”), the Participant has gained access to Paylocity’s Confidential Information (defined below). During the Participant’s employment and thereafter, the Participant will not use, disclose, or reveal to any person any Confidential Information except when acting within the scope of the Participant’s duties or with prior written authorization from Paylocity’s Chief Human Resources Officer.</w:t>
      </w:r>
    </w:p>
    <w:p>
      <w:pPr>
        <w:spacing w:after="0" w:line="214" w:lineRule="exact"/>
        <w:rPr>
          <w:sz w:val="20"/>
          <w:szCs w:val="20"/>
          <w:color w:val="auto"/>
        </w:rPr>
      </w:pPr>
    </w:p>
    <w:p>
      <w:pPr>
        <w:ind w:right="40" w:firstLine="1952"/>
        <w:spacing w:after="0" w:line="234" w:lineRule="auto"/>
        <w:tabs>
          <w:tab w:leader="none" w:pos="241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all information belonging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relating to the business of Paylocity (including information received in confidence by Paylocity from its customers or suppliers or other third parties),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formulae and processes,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ectPr>
          <w:pgSz w:w="11900" w:h="16838" w:orient="portrait"/>
          <w:cols w:equalWidth="0" w:num="1">
            <w:col w:w="11180"/>
          </w:cols>
          <w:pgMar w:left="320" w:top="1409" w:right="399" w:bottom="1440" w:gutter="0" w:footer="0" w:header="0"/>
        </w:sectPr>
      </w:pPr>
    </w:p>
    <w:bookmarkStart w:id="38" w:name="page39"/>
    <w:bookmarkEnd w:id="38"/>
    <w:p>
      <w:pPr>
        <w:ind w:right="60" w:firstLine="1952"/>
        <w:spacing w:after="0" w:line="235" w:lineRule="auto"/>
        <w:tabs>
          <w:tab w:leader="none" w:pos="242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Scope of Non-Disclosure; Return of Company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Nothing in this Section shall be deemed to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1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Covenants Not to Solicit.</w:t>
      </w:r>
    </w:p>
    <w:p>
      <w:pPr>
        <w:spacing w:after="0" w:line="229" w:lineRule="exact"/>
        <w:rPr>
          <w:sz w:val="20"/>
          <w:szCs w:val="20"/>
          <w:color w:val="auto"/>
        </w:rPr>
      </w:pPr>
    </w:p>
    <w:p>
      <w:pPr>
        <w:ind w:firstLine="1952"/>
        <w:spacing w:after="0" w:line="239" w:lineRule="auto"/>
        <w:tabs>
          <w:tab w:leader="none" w:pos="236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Customer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accept business from any of Paylocity’s customers, prospective customers, brokers, brokerage firms, business partners, business associates, or end users for the purpose of selling or soliciting products or services that are in competition with the products or services of Paylocity.</w:t>
      </w:r>
    </w:p>
    <w:p>
      <w:pPr>
        <w:ind w:right="100" w:firstLine="1952"/>
        <w:spacing w:after="0" w:line="234" w:lineRule="auto"/>
        <w:tabs>
          <w:tab w:leader="none" w:pos="237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Employee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recruit any employees or exclusive independent contractors of Paylocity for the purpose of causing, inviting or encouraging any such employee to (i) terminate his or her employment or business relationship with Paylocity; and/or (ii) become employed or engaged by a person or entity that sells Competing Products (as defined below).</w:t>
      </w:r>
    </w:p>
    <w:p>
      <w:pPr>
        <w:spacing w:after="0" w:line="211" w:lineRule="exact"/>
        <w:rPr>
          <w:sz w:val="20"/>
          <w:szCs w:val="20"/>
          <w:color w:val="auto"/>
        </w:rPr>
      </w:pPr>
    </w:p>
    <w:p>
      <w:pPr>
        <w:ind w:right="20" w:firstLine="1296"/>
        <w:spacing w:after="0" w:line="23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Covenant Not to Compete.</w:t>
      </w:r>
      <w:r>
        <w:rPr>
          <w:rFonts w:ascii="Times New Roman" w:cs="Times New Roman" w:eastAsia="Times New Roman" w:hAnsi="Times New Roman"/>
          <w:sz w:val="20"/>
          <w:szCs w:val="20"/>
          <w:color w:val="auto"/>
        </w:rPr>
        <w:t xml:space="preserve"> During employment with Paylocity, the Participant agrees not to directly or indirectly, on behalf of Participant or in conjunction with any other person or entity: (i) own any business (other than less than 3% ownership in a publicly traded company) that sells Competing Products in the Restricted Territory; or (ii) work (whether as an employee, independent contractor, consultant, or otherwise) for any person or entity that sells Competing Products, in any role: (y) that is similar to the Participant’s then-current position or to any position the Participant held with the Company during the previous twenty-four (24) months, or (z) in which it would be beneficial for the Participant to use or rely upon Paylocity’s Confidential Information. The term “</w:t>
      </w:r>
      <w:r>
        <w:rPr>
          <w:rFonts w:ascii="Times New Roman" w:cs="Times New Roman" w:eastAsia="Times New Roman" w:hAnsi="Times New Roman"/>
          <w:sz w:val="20"/>
          <w:szCs w:val="20"/>
          <w:b w:val="1"/>
          <w:bCs w:val="1"/>
          <w:i w:val="1"/>
          <w:iCs w:val="1"/>
          <w:color w:val="auto"/>
        </w:rPr>
        <w:t>Competing Products</w:t>
      </w:r>
      <w:r>
        <w:rPr>
          <w:rFonts w:ascii="Times New Roman" w:cs="Times New Roman" w:eastAsia="Times New Roman" w:hAnsi="Times New Roman"/>
          <w:sz w:val="20"/>
          <w:szCs w:val="20"/>
          <w:color w:val="auto"/>
        </w:rPr>
        <w:t>” shall mean products or services sold by Paylocity, or any prospective product or service Paylocity has taken steps to develop, including, without limitation, any products or services related to software solutions for payroll, human capital management, human resources, benefits, time and labor, and talent management.</w:t>
      </w:r>
    </w:p>
    <w:p>
      <w:pPr>
        <w:spacing w:after="0" w:line="201" w:lineRule="exact"/>
        <w:rPr>
          <w:sz w:val="20"/>
          <w:szCs w:val="20"/>
          <w:color w:val="auto"/>
        </w:rPr>
      </w:pPr>
    </w:p>
    <w:p>
      <w:pPr>
        <w:ind w:right="240" w:firstLine="1296"/>
        <w:spacing w:after="0" w:line="250" w:lineRule="auto"/>
        <w:rPr>
          <w:sz w:val="20"/>
          <w:szCs w:val="20"/>
          <w:color w:val="auto"/>
        </w:rPr>
      </w:pPr>
      <w:r>
        <w:rPr>
          <w:rFonts w:ascii="Times New Roman" w:cs="Times New Roman" w:eastAsia="Times New Roman" w:hAnsi="Times New Roman"/>
          <w:sz w:val="19"/>
          <w:szCs w:val="19"/>
          <w:color w:val="auto"/>
        </w:rPr>
        <w:t xml:space="preserve">7.4 </w:t>
      </w:r>
      <w:r>
        <w:rPr>
          <w:rFonts w:ascii="Times New Roman" w:cs="Times New Roman" w:eastAsia="Times New Roman" w:hAnsi="Times New Roman"/>
          <w:sz w:val="19"/>
          <w:szCs w:val="19"/>
          <w:b w:val="1"/>
          <w:bCs w:val="1"/>
          <w:color w:val="auto"/>
        </w:rPr>
        <w:t>Acknowledgments.</w:t>
      </w:r>
      <w:r>
        <w:rPr>
          <w:rFonts w:ascii="Times New Roman" w:cs="Times New Roman" w:eastAsia="Times New Roman" w:hAnsi="Times New Roman"/>
          <w:sz w:val="19"/>
          <w:szCs w:val="19"/>
          <w:color w:val="auto"/>
        </w:rPr>
        <w:t xml:space="preserve"> The Participant acknowledges that: (i) the covenants of this Section 7 are supported by sufficient consideration, including access to Paylocity’s Legitimate Business Interests (defined below), and the Units awarded under this Agreement; (ii) Paylocity has invested substantial resources into the development, protection and retention of its Confidential Information, employees, customers, and business (collectively, “</w:t>
      </w:r>
      <w:r>
        <w:rPr>
          <w:rFonts w:ascii="Times New Roman" w:cs="Times New Roman" w:eastAsia="Times New Roman" w:hAnsi="Times New Roman"/>
          <w:sz w:val="19"/>
          <w:szCs w:val="19"/>
          <w:b w:val="1"/>
          <w:bCs w:val="1"/>
          <w:i w:val="1"/>
          <w:iCs w:val="1"/>
          <w:color w:val="auto"/>
        </w:rPr>
        <w:t>Legitimate Business Interests</w:t>
      </w:r>
      <w:r>
        <w:rPr>
          <w:rFonts w:ascii="Times New Roman" w:cs="Times New Roman" w:eastAsia="Times New Roman" w:hAnsi="Times New Roman"/>
          <w:sz w:val="19"/>
          <w:szCs w:val="19"/>
          <w:color w:val="auto"/>
        </w:rPr>
        <w:t>”); (iii) the Legitimate Business Interests have significant intrinsic value and are not readily achieved or duplicated; (iv) solely as a result of the Participant’s employment with Paylocity, the Participant has gained access to and familiarity with the Legitimate Business Interests; (v) the covenants of this Section 7 are therefore reasonable and necessary to protect the Legitimate Business Interests, and they are enforceable; and (vi) the provisions of this Section 7 do not restrain competition, limit the Participant’s ability to obtain employment of the Participant’s choosing or affect the Participant’s wages.</w:t>
      </w:r>
    </w:p>
    <w:p>
      <w:pPr>
        <w:spacing w:after="0" w:line="204" w:lineRule="exact"/>
        <w:rPr>
          <w:sz w:val="20"/>
          <w:szCs w:val="20"/>
          <w:color w:val="auto"/>
        </w:rPr>
      </w:pPr>
    </w:p>
    <w:p>
      <w:pPr>
        <w:ind w:right="46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color w:val="auto"/>
        </w:rPr>
        <w:t>Remedies and Relief.</w:t>
      </w:r>
      <w:r>
        <w:rPr>
          <w:rFonts w:ascii="Times New Roman" w:cs="Times New Roman" w:eastAsia="Times New Roman" w:hAnsi="Times New Roman"/>
          <w:sz w:val="20"/>
          <w:szCs w:val="20"/>
          <w:color w:val="auto"/>
        </w:rPr>
        <w:t xml:space="preserve"> In the event of any breach by the Participant of the provisions of this Section 7: (i) the Company shall have the right to require the Participant to deliver to the Company: (a) all Units granted to the Participant in the three (3) years preceding said breach; and (b) to the extent the</w:t>
      </w:r>
    </w:p>
    <w:p>
      <w:pPr>
        <w:sectPr>
          <w:pgSz w:w="11900" w:h="16838" w:orient="portrait"/>
          <w:cols w:equalWidth="0" w:num="1">
            <w:col w:w="11240"/>
          </w:cols>
          <w:pgMar w:left="320" w:top="1409" w:right="339" w:bottom="1440" w:gutter="0" w:footer="0" w:header="0"/>
        </w:sectPr>
      </w:pPr>
    </w:p>
    <w:bookmarkStart w:id="39" w:name="page40"/>
    <w:bookmarkEnd w:id="39"/>
    <w:p>
      <w:pPr>
        <w:ind w:right="40"/>
        <w:spacing w:after="0" w:line="235" w:lineRule="auto"/>
        <w:rPr>
          <w:sz w:val="20"/>
          <w:szCs w:val="20"/>
          <w:color w:val="auto"/>
        </w:rPr>
      </w:pPr>
      <w:r>
        <w:rPr>
          <w:rFonts w:ascii="Times New Roman" w:cs="Times New Roman" w:eastAsia="Times New Roman" w:hAnsi="Times New Roman"/>
          <w:sz w:val="20"/>
          <w:szCs w:val="20"/>
          <w:color w:val="auto"/>
        </w:rPr>
        <w:t>Participant has disposed of any Units so granted or shares of Stock issued in settlement of such Units, the net proceeds from all such dispositions; and (ii) any unvested Units shall be immediately forfeited (collectively, the “</w:t>
      </w:r>
      <w:r>
        <w:rPr>
          <w:rFonts w:ascii="Times New Roman" w:cs="Times New Roman" w:eastAsia="Times New Roman" w:hAnsi="Times New Roman"/>
          <w:sz w:val="20"/>
          <w:szCs w:val="20"/>
          <w:b w:val="1"/>
          <w:bCs w:val="1"/>
          <w:i w:val="1"/>
          <w:iCs w:val="1"/>
          <w:color w:val="auto"/>
        </w:rPr>
        <w:t>Repayment Obligation</w:t>
      </w:r>
      <w:r>
        <w:rPr>
          <w:rFonts w:ascii="Times New Roman" w:cs="Times New Roman" w:eastAsia="Times New Roman" w:hAnsi="Times New Roman"/>
          <w:sz w:val="20"/>
          <w:szCs w:val="20"/>
          <w:color w:val="auto"/>
        </w:rPr>
        <w:t>”). The determination of whether the Participant has engaged in a breach of Section 7 shall be determined by the Committee in its sole discretion. Any repayment obligations under this Section 7 shall be effected by the Participant within thirty (30) days of receipt of the Company’s written demand for repayment. The Company may provide for an offset to any future payments owed by the Participating Company Group to the Participant, if necessary, to satisfy the Repayment Obligation. The Participant agrees to execute such documents as may be necessary to effect the repayment obligations referred to in this Section. Nothing in this Section 7 shall limit Paylocity from pursuing any other remedies otherwise available in law or in equity, including a temporary retaining order, a preliminary injunction, and a permanent injunction enjoining Participant’s breach or threatened breach of any of the provisions of this Agreement or from seeking enforcement of any other restrictions by which the Participant is bound under other agreements or applicable law.</w:t>
      </w:r>
    </w:p>
    <w:p>
      <w:pPr>
        <w:spacing w:after="0" w:line="201"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such provision will be distinct and severable from the other provisions of this Agreement, and such unenforceability will not affect the validity and enforceability of the remaining provisions. If a court holds that the duration, scope, geographic range or any other restriction stated in any provision of this Agreement is unreasonable under circumstances then existing, the parties agree that the maximum duration, scope, geographic range or other restriction that the court deems reasonable under such circumstances will be substituted and that the court will have the power to revise any of those restrictions to cover the maximum period, scope, geographic range and/or other restriction permitted by law. It is the intent of the parties that the court, in establishing any such substitute restriction, recognize that the parties’ desire is that the stated restrictions upon which the parties have agreed be honored to the maximum lawful extent.</w:t>
      </w:r>
    </w:p>
    <w:p>
      <w:pPr>
        <w:spacing w:after="0" w:line="216" w:lineRule="exact"/>
        <w:rPr>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color w:val="auto"/>
        </w:rPr>
        <w:t>In General.</w:t>
      </w:r>
      <w:r>
        <w:rPr>
          <w:rFonts w:ascii="Times New Roman" w:cs="Times New Roman" w:eastAsia="Times New Roman" w:hAnsi="Times New Roman"/>
          <w:sz w:val="20"/>
          <w:szCs w:val="20"/>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spacing w:after="0" w:line="211" w:lineRule="exact"/>
        <w:rPr>
          <w:sz w:val="20"/>
          <w:szCs w:val="20"/>
          <w:color w:val="auto"/>
        </w:rPr>
      </w:pPr>
    </w:p>
    <w:p>
      <w:pPr>
        <w:ind w:right="60" w:firstLine="1296"/>
        <w:spacing w:after="0" w:line="237"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color w:val="auto"/>
        </w:rPr>
        <w:t>Assignment of Sale Proceeds.</w:t>
      </w:r>
      <w:r>
        <w:rPr>
          <w:rFonts w:ascii="Times New Roman" w:cs="Times New Roman" w:eastAsia="Times New Roman" w:hAnsi="Times New Roman"/>
          <w:sz w:val="20"/>
          <w:szCs w:val="20"/>
          <w:color w:val="auto"/>
        </w:rPr>
        <w:t xml:space="preserve"> 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214" w:lineRule="exact"/>
        <w:rPr>
          <w:sz w:val="20"/>
          <w:szCs w:val="20"/>
          <w:color w:val="auto"/>
        </w:rPr>
      </w:pPr>
    </w:p>
    <w:p>
      <w:pPr>
        <w:ind w:firstLine="1296"/>
        <w:spacing w:after="0" w:line="237"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color w:val="auto"/>
        </w:rPr>
        <w:t>Withholding in Shares.</w:t>
      </w:r>
      <w:r>
        <w:rPr>
          <w:rFonts w:ascii="Times New Roman" w:cs="Times New Roman" w:eastAsia="Times New Roman" w:hAnsi="Times New Roman"/>
          <w:sz w:val="20"/>
          <w:szCs w:val="20"/>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statutory withholding rates.</w:t>
      </w:r>
    </w:p>
    <w:p>
      <w:pPr>
        <w:sectPr>
          <w:pgSz w:w="11900" w:h="16838" w:orient="portrait"/>
          <w:cols w:equalWidth="0" w:num="1">
            <w:col w:w="11200"/>
          </w:cols>
          <w:pgMar w:left="320" w:top="1413" w:right="379" w:bottom="1440" w:gutter="0" w:footer="0" w:header="0"/>
        </w:sectPr>
      </w:pPr>
    </w:p>
    <w:bookmarkStart w:id="40" w:name="page41"/>
    <w:bookmarkEnd w:id="40"/>
    <w:p>
      <w:pPr>
        <w:ind w:left="1940" w:hanging="636"/>
        <w:spacing w:after="0"/>
        <w:tabs>
          <w:tab w:leader="none" w:pos="194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 OF CHANGE IN CONTROL</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0"/>
          <w:szCs w:val="20"/>
          <w:color w:val="auto"/>
        </w:rPr>
        <w:t>In the event of a Change in Control, except to the extent that the Committee determines to cash out the Award in accordance with Section 13.1(e) of the Plan, the surviving, continuing, successor, or purchasing entity or parent thereof, as the case may be (the “</w:t>
      </w:r>
      <w:r>
        <w:rPr>
          <w:rFonts w:ascii="Times New Roman" w:cs="Times New Roman" w:eastAsia="Times New Roman" w:hAnsi="Times New Roman"/>
          <w:sz w:val="20"/>
          <w:szCs w:val="20"/>
          <w:b w:val="1"/>
          <w:bCs w:val="1"/>
          <w:i w:val="1"/>
          <w:iCs w:val="1"/>
          <w:color w:val="auto"/>
        </w:rPr>
        <w:t>Acquiror</w:t>
      </w:r>
      <w:r>
        <w:rPr>
          <w:rFonts w:ascii="Times New Roman" w:cs="Times New Roman" w:eastAsia="Times New Roman" w:hAnsi="Times New Roman"/>
          <w:sz w:val="20"/>
          <w:szCs w:val="20"/>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or the Change in Control to the extent that Units subject to the Award are neither assumed or continued by the Acquiror in connection with the Change in Control nor settled as of the time of the Change in Control.</w:t>
      </w:r>
    </w:p>
    <w:p>
      <w:pPr>
        <w:spacing w:after="0" w:line="205" w:lineRule="exact"/>
        <w:rPr>
          <w:sz w:val="20"/>
          <w:szCs w:val="20"/>
          <w:color w:val="auto"/>
        </w:rPr>
      </w:pPr>
    </w:p>
    <w:p>
      <w:pPr>
        <w:ind w:left="1940" w:hanging="636"/>
        <w:spacing w:after="0"/>
        <w:tabs>
          <w:tab w:leader="none" w:pos="194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9"/>
          <w:szCs w:val="19"/>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09" w:lineRule="exact"/>
        <w:rPr>
          <w:sz w:val="20"/>
          <w:szCs w:val="20"/>
          <w:color w:val="auto"/>
        </w:rPr>
      </w:pPr>
    </w:p>
    <w:p>
      <w:pPr>
        <w:ind w:left="1280" w:hanging="624"/>
        <w:spacing w:after="0"/>
        <w:tabs>
          <w:tab w:leader="none" w:pos="128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RIGHTS AS A STOCKHOLDER, DIRECTOR, EMPLOYEE OR CONSULTANT</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w:t>
      </w:r>
    </w:p>
    <w:p>
      <w:pPr>
        <w:sectPr>
          <w:pgSz w:w="11900" w:h="16838" w:orient="portrait"/>
          <w:cols w:equalWidth="0" w:num="1">
            <w:col w:w="11220"/>
          </w:cols>
          <w:pgMar w:left="320" w:top="1409" w:right="359" w:bottom="1440" w:gutter="0" w:footer="0" w:header="0"/>
        </w:sectPr>
      </w:pPr>
    </w:p>
    <w:bookmarkStart w:id="41" w:name="page42"/>
    <w:bookmarkEnd w:id="41"/>
    <w:p>
      <w:pPr>
        <w:ind w:right="280"/>
        <w:spacing w:after="0" w:line="255" w:lineRule="auto"/>
        <w:rPr>
          <w:sz w:val="20"/>
          <w:szCs w:val="20"/>
          <w:color w:val="auto"/>
        </w:rPr>
      </w:pPr>
      <w:r>
        <w:rPr>
          <w:rFonts w:ascii="Times New Roman" w:cs="Times New Roman" w:eastAsia="Times New Roman" w:hAnsi="Times New Roman"/>
          <w:sz w:val="20"/>
          <w:szCs w:val="20"/>
          <w:color w:val="auto"/>
        </w:rPr>
        <w:t>Participating Company or interfere in any way with any right of the Participating Company Group to terminate the Participant’s Service at any time.</w:t>
      </w:r>
    </w:p>
    <w:p>
      <w:pPr>
        <w:spacing w:after="0" w:line="19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LEGENDS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right="340" w:firstLine="648"/>
        <w:spacing w:after="0" w:line="244" w:lineRule="auto"/>
        <w:rPr>
          <w:sz w:val="20"/>
          <w:szCs w:val="20"/>
          <w:color w:val="auto"/>
        </w:rPr>
      </w:pPr>
      <w:r>
        <w:rPr>
          <w:rFonts w:ascii="Times New Roman" w:cs="Times New Roman" w:eastAsia="Times New Roman" w:hAnsi="Times New Roman"/>
          <w:sz w:val="20"/>
          <w:szCs w:val="20"/>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9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COMPLIANCE WITH SECTION 409A</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0"/>
          <w:szCs w:val="20"/>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20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b w:val="1"/>
          <w:bCs w:val="1"/>
          <w:color w:val="auto"/>
        </w:rPr>
        <w:t xml:space="preserve">Separation from Service; Required Delay in Payment to Specified Employee. </w:t>
      </w:r>
      <w:r>
        <w:rPr>
          <w:rFonts w:ascii="Times New Roman" w:cs="Times New Roman" w:eastAsia="Times New Roman" w:hAnsi="Times New Roman"/>
          <w:sz w:val="19"/>
          <w:szCs w:val="19"/>
          <w:color w:val="auto"/>
        </w:rPr>
        <w:t>Notwithstanding anything set forth</w:t>
      </w:r>
    </w:p>
    <w:p>
      <w:pPr>
        <w:spacing w:after="0" w:line="2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 xml:space="preserve">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20"/>
          <w:szCs w:val="20"/>
          <w:b w:val="1"/>
          <w:bCs w:val="1"/>
          <w:i w:val="1"/>
          <w:i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409A Regulations”</w:t>
      </w:r>
      <w:r>
        <w:rPr>
          <w:rFonts w:ascii="Times New Roman" w:cs="Times New Roman" w:eastAsia="Times New Roman" w:hAnsi="Times New Roman"/>
          <w:sz w:val="20"/>
          <w:szCs w:val="20"/>
          <w:color w:val="auto"/>
        </w:rPr>
        <w:t>) shall be paid unless and until the Participant has incurred a “separation from service” within the meaning of the Section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214"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b w:val="1"/>
          <w:bCs w:val="1"/>
          <w:color w:val="auto"/>
        </w:rPr>
        <w:t>Other Changes in Time of Payment.</w:t>
      </w:r>
      <w:r>
        <w:rPr>
          <w:rFonts w:ascii="Times New Roman" w:cs="Times New Roman" w:eastAsia="Times New Roman" w:hAnsi="Times New Roman"/>
          <w:sz w:val="20"/>
          <w:szCs w:val="20"/>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89"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b w:val="1"/>
          <w:bCs w:val="1"/>
          <w:color w:val="auto"/>
        </w:rPr>
        <w:t>Amendments to Comply with Section 409A; Indemnification.</w:t>
      </w:r>
      <w:r>
        <w:rPr>
          <w:rFonts w:ascii="Times New Roman" w:cs="Times New Roman" w:eastAsia="Times New Roman" w:hAnsi="Times New Roman"/>
          <w:sz w:val="20"/>
          <w:szCs w:val="20"/>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99" w:lineRule="exact"/>
        <w:rPr>
          <w:sz w:val="20"/>
          <w:szCs w:val="20"/>
          <w:color w:val="auto"/>
        </w:rPr>
      </w:pPr>
    </w:p>
    <w:p>
      <w:pPr>
        <w:ind w:right="100" w:firstLine="1296"/>
        <w:spacing w:after="0" w:line="241"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b w:val="1"/>
          <w:bCs w:val="1"/>
          <w:color w:val="auto"/>
        </w:rPr>
        <w:t>Advice of Independent Tax Advisor.</w:t>
      </w:r>
      <w:r>
        <w:rPr>
          <w:rFonts w:ascii="Times New Roman" w:cs="Times New Roman" w:eastAsia="Times New Roman" w:hAnsi="Times New Roman"/>
          <w:sz w:val="20"/>
          <w:szCs w:val="20"/>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w:t>
      </w:r>
    </w:p>
    <w:p>
      <w:pPr>
        <w:sectPr>
          <w:pgSz w:w="11900" w:h="16838" w:orient="portrait"/>
          <w:cols w:equalWidth="0" w:num="1">
            <w:col w:w="11240"/>
          </w:cols>
          <w:pgMar w:left="320" w:top="1413" w:right="339" w:bottom="1440" w:gutter="0" w:footer="0" w:header="0"/>
        </w:sectPr>
      </w:pPr>
    </w:p>
    <w:bookmarkStart w:id="42" w:name="page43"/>
    <w:bookmarkEnd w:id="42"/>
    <w:p>
      <w:pPr>
        <w:jc w:val="both"/>
        <w:ind w:right="660"/>
        <w:spacing w:after="0" w:line="247" w:lineRule="auto"/>
        <w:rPr>
          <w:sz w:val="20"/>
          <w:szCs w:val="20"/>
          <w:color w:val="auto"/>
        </w:rPr>
      </w:pPr>
      <w:r>
        <w:rPr>
          <w:rFonts w:ascii="Times New Roman" w:cs="Times New Roman" w:eastAsia="Times New Roman" w:hAnsi="Times New Roman"/>
          <w:sz w:val="20"/>
          <w:szCs w:val="20"/>
          <w:color w:val="auto"/>
        </w:rPr>
        <w:t>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90"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REPAYMENT/FORFEITURE</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benefits a Participant may receive pursuant to this Award shall be subject to repayment or forfeiture as required to comply with</w:t>
      </w:r>
    </w:p>
    <w:p>
      <w:pPr>
        <w:spacing w:after="0" w:line="20" w:lineRule="exact"/>
        <w:rPr>
          <w:sz w:val="20"/>
          <w:szCs w:val="20"/>
          <w:color w:val="auto"/>
        </w:rPr>
      </w:pPr>
    </w:p>
    <w:p>
      <w:pPr>
        <w:ind w:right="20" w:firstLine="8"/>
        <w:spacing w:after="0" w:line="233" w:lineRule="auto"/>
        <w:tabs>
          <w:tab w:leader="none" w:pos="26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Paylocity Holding Corporation Policy for Recovery of Erroneously Awarded Incentive Compensation, or (d) any other repayment or forfeiture policies adopted by the Company, each to the extent determined by the Company in its discretion to be applicable to Participant.</w:t>
      </w:r>
    </w:p>
    <w:p>
      <w:pPr>
        <w:spacing w:after="0" w:line="214"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60" w:firstLine="1296"/>
        <w:spacing w:after="0"/>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b w:val="1"/>
          <w:bCs w:val="1"/>
          <w:color w:val="auto"/>
        </w:rPr>
        <w:t>Termination or Amendment.</w:t>
      </w:r>
      <w:r>
        <w:rPr>
          <w:rFonts w:ascii="Times New Roman" w:cs="Times New Roman" w:eastAsia="Times New Roman" w:hAnsi="Times New Roman"/>
          <w:sz w:val="20"/>
          <w:szCs w:val="20"/>
          <w:color w:val="auto"/>
        </w:rPr>
        <w:t xml:space="preserve"> The Committee may terminate or amend the Plan or this Agreement at any time; provided, however, that except as provided in Section 9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200"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b w:val="1"/>
          <w:bCs w:val="1"/>
          <w:color w:val="auto"/>
        </w:rPr>
        <w:t>Nontransferability of the Award.</w:t>
      </w:r>
      <w:r>
        <w:rPr>
          <w:rFonts w:ascii="Times New Roman" w:cs="Times New Roman" w:eastAsia="Times New Roman" w:hAnsi="Times New Roman"/>
          <w:sz w:val="20"/>
          <w:szCs w:val="20"/>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95" w:lineRule="exact"/>
        <w:rPr>
          <w:sz w:val="20"/>
          <w:szCs w:val="20"/>
          <w:color w:val="auto"/>
        </w:rPr>
      </w:pPr>
    </w:p>
    <w:p>
      <w:pPr>
        <w:ind w:right="60" w:firstLine="1296"/>
        <w:spacing w:after="0" w:line="280"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1"/>
          <w:szCs w:val="21"/>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165" w:lineRule="exact"/>
        <w:rPr>
          <w:sz w:val="20"/>
          <w:szCs w:val="20"/>
          <w:color w:val="auto"/>
        </w:rPr>
      </w:pPr>
    </w:p>
    <w:p>
      <w:pPr>
        <w:ind w:right="26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1"/>
          <w:szCs w:val="21"/>
          <w:b w:val="1"/>
          <w:bCs w:val="1"/>
          <w:color w:val="auto"/>
        </w:rPr>
        <w:t>Binding Effect.</w:t>
      </w:r>
      <w:r>
        <w:rPr>
          <w:rFonts w:ascii="Times New Roman" w:cs="Times New Roman" w:eastAsia="Times New Roman" w:hAnsi="Times New Roman"/>
          <w:sz w:val="20"/>
          <w:szCs w:val="20"/>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81" w:lineRule="exact"/>
        <w:rPr>
          <w:sz w:val="20"/>
          <w:szCs w:val="20"/>
          <w:color w:val="auto"/>
        </w:rPr>
      </w:pPr>
    </w:p>
    <w:p>
      <w:pPr>
        <w:ind w:right="200" w:firstLine="1296"/>
        <w:spacing w:after="0" w:line="278"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20"/>
          <w:szCs w:val="20"/>
          <w:b w:val="1"/>
          <w:bCs w:val="1"/>
          <w:color w:val="auto"/>
        </w:rPr>
        <w:t>Advice of Counsel.</w:t>
      </w:r>
      <w:r>
        <w:rPr>
          <w:rFonts w:ascii="Times New Roman" w:cs="Times New Roman" w:eastAsia="Times New Roman" w:hAnsi="Times New Roman"/>
          <w:sz w:val="19"/>
          <w:szCs w:val="19"/>
          <w:color w:val="auto"/>
        </w:rPr>
        <w:t xml:space="preserve"> The Participant is hereby advised to have this Agreement, including without limitation the restrictive covenants set forth in Section 7 herein, reviewed by an attorney of the Participant’s choosing. The Participant acknowledges and agrees that the Participant has had a period of at least fourteen (14) days to review and consider this Agreement before entering into it.</w:t>
      </w:r>
    </w:p>
    <w:p>
      <w:pPr>
        <w:spacing w:after="0" w:line="159"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19"/>
          <w:szCs w:val="19"/>
          <w:color w:val="auto"/>
        </w:rPr>
        <w:t xml:space="preserve">15.6 </w:t>
      </w:r>
      <w:r>
        <w:rPr>
          <w:rFonts w:ascii="Times New Roman" w:cs="Times New Roman" w:eastAsia="Times New Roman" w:hAnsi="Times New Roman"/>
          <w:sz w:val="20"/>
          <w:szCs w:val="20"/>
          <w:b w:val="1"/>
          <w:bCs w:val="1"/>
          <w:color w:val="auto"/>
        </w:rPr>
        <w:t>Delivery of Documents and Notices.</w:t>
      </w:r>
      <w:r>
        <w:rPr>
          <w:rFonts w:ascii="Times New Roman" w:cs="Times New Roman" w:eastAsia="Times New Roman" w:hAnsi="Times New Roman"/>
          <w:sz w:val="19"/>
          <w:szCs w:val="19"/>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ectPr>
          <w:pgSz w:w="11900" w:h="16838" w:orient="portrait"/>
          <w:cols w:equalWidth="0" w:num="1">
            <w:col w:w="11220"/>
          </w:cols>
          <w:pgMar w:left="320" w:top="1413" w:right="359" w:bottom="1440" w:gutter="0" w:footer="0" w:header="0"/>
        </w:sectPr>
      </w:pPr>
    </w:p>
    <w:bookmarkStart w:id="43" w:name="page44"/>
    <w:bookmarkEnd w:id="43"/>
    <w:p>
      <w:pPr>
        <w:spacing w:after="0" w:line="206" w:lineRule="exact"/>
        <w:rPr>
          <w:sz w:val="20"/>
          <w:szCs w:val="20"/>
          <w:color w:val="auto"/>
        </w:rPr>
      </w:pPr>
    </w:p>
    <w:p>
      <w:pPr>
        <w:ind w:left="2460" w:hanging="508"/>
        <w:spacing w:after="0"/>
        <w:tabs>
          <w:tab w:leader="none" w:pos="24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Description of Electronic Delivery. </w:t>
      </w:r>
      <w:r>
        <w:rPr>
          <w:rFonts w:ascii="Times New Roman" w:cs="Times New Roman" w:eastAsia="Times New Roman" w:hAnsi="Times New Roman"/>
          <w:sz w:val="19"/>
          <w:szCs w:val="19"/>
          <w:color w:val="auto"/>
        </w:rPr>
        <w:t>The Plan documents, which may include but do not necessarily</w:t>
      </w:r>
    </w:p>
    <w:p>
      <w:pPr>
        <w:spacing w:after="0" w:line="22" w:lineRule="exact"/>
        <w:rPr>
          <w:rFonts w:ascii="Times New Roman" w:cs="Times New Roman" w:eastAsia="Times New Roman" w:hAnsi="Times New Roman"/>
          <w:sz w:val="22"/>
          <w:szCs w:val="22"/>
          <w:color w:val="auto"/>
        </w:rPr>
      </w:pPr>
    </w:p>
    <w:p>
      <w:pPr>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93" w:lineRule="exact"/>
        <w:rPr>
          <w:rFonts w:ascii="Times New Roman" w:cs="Times New Roman" w:eastAsia="Times New Roman" w:hAnsi="Times New Roman"/>
          <w:sz w:val="22"/>
          <w:szCs w:val="22"/>
          <w:color w:val="auto"/>
        </w:rPr>
      </w:pPr>
    </w:p>
    <w:p>
      <w:pPr>
        <w:ind w:right="20" w:firstLine="1952"/>
        <w:spacing w:after="0" w:line="247" w:lineRule="auto"/>
        <w:tabs>
          <w:tab w:leader="none" w:pos="241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Consent to Electronic Delivery. </w:t>
      </w:r>
      <w:r>
        <w:rPr>
          <w:rFonts w:ascii="Times New Roman" w:cs="Times New Roman" w:eastAsia="Times New Roman" w:hAnsi="Times New Roman"/>
          <w:sz w:val="19"/>
          <w:szCs w:val="19"/>
          <w:color w:val="auto"/>
        </w:rPr>
        <w:t>The Participant acknowledges that the Participant has read Section 15.6(a)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of this Agreement and consents to the electronic delivery of the Plan documents and, if permitted by the Company, the delivery of the Grant Notice, as described in Section 15.6(a).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15.6(a)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15.6(a)</w:t>
      </w:r>
    </w:p>
    <w:p>
      <w:pPr>
        <w:spacing w:after="0" w:line="204" w:lineRule="exact"/>
        <w:rPr>
          <w:rFonts w:ascii="Times New Roman" w:cs="Times New Roman" w:eastAsia="Times New Roman" w:hAnsi="Times New Roman"/>
          <w:sz w:val="22"/>
          <w:szCs w:val="22"/>
          <w:color w:val="auto"/>
        </w:rPr>
      </w:pPr>
    </w:p>
    <w:p>
      <w:pPr>
        <w:ind w:right="100" w:firstLine="1952"/>
        <w:spacing w:after="0"/>
        <w:tabs>
          <w:tab w:leader="none" w:pos="24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Electronic Signatures. </w:t>
      </w:r>
      <w:r>
        <w:rPr>
          <w:rFonts w:ascii="Times New Roman" w:cs="Times New Roman" w:eastAsia="Times New Roman" w:hAnsi="Times New Roman"/>
          <w:sz w:val="19"/>
          <w:szCs w:val="19"/>
          <w:color w:val="auto"/>
        </w:rPr>
        <w:t>The Participant agrees that the electronic signatures, whether digital or encrypted,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 parties included in the Agreement are intended to authenticate this writing and to have the same force and effect as manual signatures. Electronic signature means any electronic sound, symbol or process attached to or logically associated with a record and executed and adopted by a party with the intent to sign such record.</w:t>
      </w:r>
    </w:p>
    <w:p>
      <w:pPr>
        <w:spacing w:after="0" w:line="207" w:lineRule="exact"/>
        <w:rPr>
          <w:sz w:val="20"/>
          <w:szCs w:val="20"/>
          <w:color w:val="auto"/>
        </w:rPr>
      </w:pPr>
    </w:p>
    <w:p>
      <w:pPr>
        <w:ind w:right="100" w:firstLine="1296"/>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15.7 </w:t>
      </w:r>
      <w:r>
        <w:rPr>
          <w:rFonts w:ascii="Times New Roman" w:cs="Times New Roman" w:eastAsia="Times New Roman" w:hAnsi="Times New Roman"/>
          <w:sz w:val="21"/>
          <w:szCs w:val="21"/>
          <w:b w:val="1"/>
          <w:bCs w:val="1"/>
          <w:color w:val="auto"/>
        </w:rPr>
        <w:t>Integrated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 this Agreement and the Plan, together with the Superseding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20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15.8 </w:t>
      </w:r>
      <w:r>
        <w:rPr>
          <w:rFonts w:ascii="Times New Roman" w:cs="Times New Roman" w:eastAsia="Times New Roman" w:hAnsi="Times New Roman"/>
          <w:sz w:val="21"/>
          <w:szCs w:val="21"/>
          <w:b w:val="1"/>
          <w:bCs w:val="1"/>
          <w:color w:val="auto"/>
        </w:rPr>
        <w:t>Applicable Law; Forum Selection.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governed by the laws of the State of California.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agree that any suit, action, or other legal proceeding arising out of or relating to this Agreement may be brought in a court of competent jurisdiction located within California. The parties agree and consent to service by mail of any paper initiating any suit, action, or proceeding at the address set forth herein. The Participant agrees to update the Participant’s address with the Company as soon as possible after a change in address occurs and acknowledges that it is the Participant’s responsibility to ensure that the Company has the Participant’s correct address on file. The Participant waives any objection to service by mail where the Company addresses service to the most recent address provided by the Participant.</w:t>
      </w:r>
    </w:p>
    <w:p>
      <w:pPr>
        <w:spacing w:after="0" w:line="194" w:lineRule="exact"/>
        <w:rPr>
          <w:sz w:val="20"/>
          <w:szCs w:val="20"/>
          <w:color w:val="auto"/>
        </w:rPr>
      </w:pPr>
    </w:p>
    <w:p>
      <w:pPr>
        <w:ind w:right="160" w:firstLine="1296"/>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15.9 </w:t>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 may be executed in counterparts, each of which shall be deemed an original,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which together shall constitute one and the same instrument.</w:t>
      </w:r>
    </w:p>
    <w:p>
      <w:pPr>
        <w:sectPr>
          <w:pgSz w:w="11900" w:h="16838" w:orient="portrait"/>
          <w:cols w:equalWidth="0" w:num="1">
            <w:col w:w="11240"/>
          </w:cols>
          <w:pgMar w:left="320" w:top="1440"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ind w:left="3740"/>
        <w:spacing w:after="0" w:line="205" w:lineRule="auto"/>
        <w:rPr>
          <w:sz w:val="20"/>
          <w:szCs w:val="20"/>
          <w:color w:val="auto"/>
        </w:rPr>
      </w:pPr>
      <w:r>
        <w:rPr>
          <w:rFonts w:ascii="Times New Roman" w:cs="Times New Roman" w:eastAsia="Times New Roman" w:hAnsi="Times New Roman"/>
          <w:sz w:val="25"/>
          <w:szCs w:val="25"/>
          <w:b w:val="1"/>
          <w:bCs w:val="1"/>
          <w:color w:val="auto"/>
        </w:rPr>
        <w:t>PERFORMANCE STOCK UNITS</w:t>
      </w:r>
    </w:p>
    <w:p>
      <w:pPr>
        <w:jc w:val="center"/>
        <w:spacing w:after="0" w:line="220" w:lineRule="auto"/>
        <w:rPr>
          <w:sz w:val="20"/>
          <w:szCs w:val="20"/>
          <w:color w:val="auto"/>
        </w:rPr>
      </w:pPr>
      <w:r>
        <w:rPr>
          <w:rFonts w:ascii="Times New Roman" w:cs="Times New Roman" w:eastAsia="Times New Roman" w:hAnsi="Times New Roman"/>
          <w:sz w:val="25"/>
          <w:szCs w:val="25"/>
          <w:b w:val="1"/>
          <w:bCs w:val="1"/>
          <w:color w:val="auto"/>
        </w:rPr>
        <w:t>NOTICE OF GRANT AND AWARD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U.S. Participants/Contains a Non-Competition Covenant)</w:t>
      </w:r>
    </w:p>
    <w:p>
      <w:pPr>
        <w:spacing w:after="0" w:line="200" w:lineRule="exact"/>
        <w:rPr>
          <w:sz w:val="20"/>
          <w:szCs w:val="20"/>
          <w:color w:val="auto"/>
        </w:rPr>
      </w:pPr>
    </w:p>
    <w:p>
      <w:pPr>
        <w:spacing w:after="0" w:line="20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Paylocity Holding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2023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this Notice of Grant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the attached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hereby grants to the holder listed below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award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of Market Stock Units (each a “</w:t>
      </w:r>
      <w:r>
        <w:rPr>
          <w:rFonts w:ascii="Times New Roman" w:cs="Times New Roman" w:eastAsia="Times New Roman" w:hAnsi="Times New Roman"/>
          <w:sz w:val="20"/>
          <w:szCs w:val="20"/>
          <w:b w:val="1"/>
          <w:bCs w:val="1"/>
          <w:i w:val="1"/>
          <w:iCs w:val="1"/>
          <w:color w:val="auto"/>
        </w:rPr>
        <w:t>Unit</w:t>
      </w:r>
      <w:r>
        <w:rPr>
          <w:rFonts w:ascii="Times New Roman" w:cs="Times New Roman" w:eastAsia="Times New Roman" w:hAnsi="Times New Roman"/>
          <w:sz w:val="20"/>
          <w:szCs w:val="20"/>
          <w:color w:val="auto"/>
        </w:rPr>
        <w:t>”), each of which represents the right to receive on the applicable Settlement Date one (1) share of Stock (each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as follows:</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-140335</wp:posOffset>
            </wp:positionV>
            <wp:extent cx="43459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170" w:lineRule="exact"/>
        <w:rPr>
          <w:sz w:val="20"/>
          <w:szCs w:val="20"/>
          <w:color w:val="auto"/>
        </w:rPr>
      </w:pPr>
    </w:p>
    <w:tbl>
      <w:tblPr>
        <w:tblLayout w:type="fixed"/>
        <w:tblInd w:w="740" w:type="dxa"/>
        <w:tblCellMar>
          <w:top w:w="0" w:type="dxa"/>
          <w:left w:w="0" w:type="dxa"/>
          <w:bottom w:w="0" w:type="dxa"/>
          <w:right w:w="0" w:type="dxa"/>
        </w:tblCellMar>
      </w:tblP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47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Units:</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__________ subject to adjustment as provided by the Agreement.</w:t>
            </w:r>
          </w:p>
        </w:tc>
        <w:tc>
          <w:tcPr>
            <w:tcW w:w="0" w:type="dxa"/>
            <w:vAlign w:val="bottom"/>
          </w:tcPr>
          <w:p>
            <w:pPr>
              <w:spacing w:after="0"/>
              <w:rPr>
                <w:sz w:val="1"/>
                <w:szCs w:val="1"/>
                <w:color w:val="auto"/>
              </w:rPr>
            </w:pPr>
          </w:p>
        </w:tc>
      </w:tr>
      <w:tr>
        <w:trPr>
          <w:trHeight w:val="207"/>
        </w:trPr>
        <w:tc>
          <w:tcPr>
            <w:tcW w:w="30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Maximum Number of Units:</w:t>
            </w:r>
          </w:p>
        </w:tc>
        <w:tc>
          <w:tcPr>
            <w:tcW w:w="68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[___]% of the Target Number of Units, subject to adjustment as provided by the</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253"/>
        </w:trPr>
        <w:tc>
          <w:tcPr>
            <w:tcW w:w="3080" w:type="dxa"/>
            <w:vAlign w:val="bottom"/>
            <w:vMerge w:val="continue"/>
          </w:tcPr>
          <w:p>
            <w:pPr>
              <w:spacing w:after="0"/>
              <w:rPr>
                <w:sz w:val="21"/>
                <w:szCs w:val="21"/>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___-year period beginning on _____ and ending on _____.</w:t>
            </w: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Performance Measures:</w:t>
            </w:r>
          </w:p>
        </w:tc>
        <w:tc>
          <w:tcPr>
            <w:tcW w:w="68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0"/>
                <w:szCs w:val="20"/>
                <w:color w:val="auto"/>
              </w:rPr>
              <w:t>As defined in Appendix A.</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1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080" w:type="dxa"/>
            <w:vAlign w:val="bottom"/>
            <w:vMerge w:val="continue"/>
          </w:tcPr>
          <w:p>
            <w:pPr>
              <w:spacing w:after="0"/>
              <w:rPr>
                <w:sz w:val="24"/>
                <w:szCs w:val="24"/>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Except as otherwise provided by the Agreement, the Vesting Date with respect to</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Award shall be as follows (each a “Vesting Date”):</w:t>
            </w:r>
          </w:p>
        </w:tc>
        <w:tc>
          <w:tcPr>
            <w:tcW w:w="0" w:type="dxa"/>
            <w:vAlign w:val="bottom"/>
          </w:tcPr>
          <w:p>
            <w:pPr>
              <w:spacing w:after="0"/>
              <w:rPr>
                <w:sz w:val="1"/>
                <w:szCs w:val="1"/>
                <w:color w:val="auto"/>
              </w:rPr>
            </w:pPr>
          </w:p>
        </w:tc>
      </w:tr>
      <w:tr>
        <w:trPr>
          <w:trHeight w:val="322"/>
        </w:trPr>
        <w:tc>
          <w:tcPr>
            <w:tcW w:w="3080" w:type="dxa"/>
            <w:vAlign w:val="bottom"/>
          </w:tcPr>
          <w:p>
            <w:pPr>
              <w:spacing w:after="0"/>
              <w:rPr>
                <w:sz w:val="24"/>
                <w:szCs w:val="24"/>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Vesting Date with respect to [___]% of the Earned Units shall be the day</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w w:val="99"/>
              </w:rPr>
              <w:t>following the end of the Performance Period on which the Committee determines the</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rPr>
              <w:t>extent to which the Performance Measure has been achieved, but in any event no</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later than 15th day of the third month following the end of the Performance Period.</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The Vesting Date with respect to [___]% of the Earned Units is [___]</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Vesting Date with respect to [___]% of the Earned Units is [___]</w:t>
            </w:r>
          </w:p>
        </w:tc>
        <w:tc>
          <w:tcPr>
            <w:tcW w:w="0" w:type="dxa"/>
            <w:vAlign w:val="bottom"/>
          </w:tcPr>
          <w:p>
            <w:pPr>
              <w:spacing w:after="0"/>
              <w:rPr>
                <w:sz w:val="1"/>
                <w:szCs w:val="1"/>
                <w:color w:val="auto"/>
              </w:rPr>
            </w:pPr>
          </w:p>
        </w:tc>
      </w:tr>
      <w:tr>
        <w:trPr>
          <w:trHeight w:val="434"/>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Vested Units:</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Provided that the Participant’s Service has not terminated prior to the Vesting Date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(except as otherwise provided by the Agreement), the Earned Units, if any, shall</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Settlement Date:</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become Vested Units on the Vesting Date.</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For each Vested Unit, except as otherwise provided by the Agreement, the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Settlement Date shall be its applicable Vesting Date or as soon thereafter as</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practicable, but in any event no later than the 15th day of the third calendar month</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rPr>
              <w:t>following the end of the Applicable Year in which such Vesting Date occurs. For</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this purpose, “Applicable Year” means the calendar year or the Company’s fiscal</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year, whichever year ends later.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their signatures below or by electronic acceptance or authentication in a form authorized by the Company, the Company and the</w:t>
      </w:r>
    </w:p>
    <w:p>
      <w:pPr>
        <w:spacing w:after="0" w:line="221" w:lineRule="auto"/>
        <w:rPr>
          <w:sz w:val="20"/>
          <w:szCs w:val="20"/>
          <w:color w:val="auto"/>
        </w:rPr>
      </w:pPr>
      <w:r>
        <w:rPr>
          <w:rFonts w:ascii="Times New Roman" w:cs="Times New Roman" w:eastAsia="Times New Roman" w:hAnsi="Times New Roman"/>
          <w:sz w:val="20"/>
          <w:szCs w:val="20"/>
          <w:color w:val="auto"/>
        </w:rPr>
        <w:t>Participant agree that the Award is governed by this Grant Notice and by the provisions of the Plan and the Agreement, both of which are made part of this document. The Participant acknowledges that copies of the Plan, the Agreement and the prospectus for the Plan are</w:t>
      </w:r>
    </w:p>
    <w:p>
      <w:pPr>
        <w:sectPr>
          <w:pgSz w:w="11900" w:h="16838" w:orient="portrait"/>
          <w:cols w:equalWidth="0" w:num="1">
            <w:col w:w="11240"/>
          </w:cols>
          <w:pgMar w:left="320" w:top="34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available on the Company’s internal web site and may be viewed and printed by the Participant for attachment to the Participant’s copy of</w:t>
      </w:r>
    </w:p>
    <w:p>
      <w:pPr>
        <w:ind w:right="20"/>
        <w:spacing w:after="0" w:line="221" w:lineRule="auto"/>
        <w:rPr>
          <w:sz w:val="20"/>
          <w:szCs w:val="20"/>
          <w:color w:val="auto"/>
        </w:rPr>
      </w:pPr>
      <w:r>
        <w:rPr>
          <w:rFonts w:ascii="Times New Roman" w:cs="Times New Roman" w:eastAsia="Times New Roman" w:hAnsi="Times New Roman"/>
          <w:sz w:val="20"/>
          <w:szCs w:val="20"/>
          <w:color w:val="auto"/>
        </w:rPr>
        <w:t>this Grant Notice. The Participant represents that the Participant has read and is familiar with the provisions of the Plan and the Agreement, and hereby accepts the Award subject to all of their terms and conditions.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0" w:type="dxa"/>
            <w:vAlign w:val="bottom"/>
          </w:tcPr>
          <w:p>
            <w:pPr>
              <w:spacing w:after="0"/>
              <w:rPr>
                <w:sz w:val="1"/>
                <w:szCs w:val="1"/>
                <w:color w:val="auto"/>
              </w:rPr>
            </w:pPr>
          </w:p>
        </w:tc>
      </w:tr>
      <w:tr>
        <w:trPr>
          <w:trHeight w:val="439"/>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Toby Williams</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7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Name: Toby Williams</w:t>
            </w: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20" w:type="dxa"/>
            <w:vAlign w:val="bottom"/>
            <w:gridSpan w:val="4"/>
            <w:vMerge w:val="continue"/>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Signature</w:t>
            </w:r>
          </w:p>
        </w:tc>
        <w:tc>
          <w:tcPr>
            <w:tcW w:w="0" w:type="dxa"/>
            <w:vAlign w:val="bottom"/>
          </w:tcPr>
          <w:p>
            <w:pPr>
              <w:spacing w:after="0"/>
              <w:rPr>
                <w:sz w:val="1"/>
                <w:szCs w:val="1"/>
                <w:color w:val="auto"/>
              </w:rPr>
            </w:pPr>
          </w:p>
        </w:tc>
      </w:t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5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4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1400 American Lane</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191"/>
        </w:trPr>
        <w:tc>
          <w:tcPr>
            <w:tcW w:w="1060" w:type="dxa"/>
            <w:vAlign w:val="bottom"/>
            <w:gridSpan w:val="2"/>
            <w:vMerge w:val="continue"/>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Schaumburg, Illinois, 60173</w:t>
            </w:r>
          </w:p>
        </w:tc>
        <w:tc>
          <w:tcPr>
            <w:tcW w:w="5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wp:posOffset>
            </wp:positionV>
            <wp:extent cx="3488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167640</wp:posOffset>
            </wp:positionV>
            <wp:extent cx="3488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46" w:name="page47"/>
    <w:bookmarkEnd w:id="46"/>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Measure and Performance Multiplier</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Applicable to Performance Stock Unit Award Granted on</w:t>
      </w:r>
    </w:p>
    <w:p>
      <w:pPr>
        <w:ind w:left="5120"/>
        <w:spacing w:after="0"/>
        <w:rPr>
          <w:sz w:val="20"/>
          <w:szCs w:val="20"/>
          <w:color w:val="auto"/>
        </w:rPr>
      </w:pPr>
      <w:r>
        <w:rPr>
          <w:rFonts w:ascii="Times New Roman" w:cs="Times New Roman" w:eastAsia="Times New Roman" w:hAnsi="Times New Roman"/>
          <w:sz w:val="20"/>
          <w:szCs w:val="20"/>
          <w:b w:val="1"/>
          <w:bCs w:val="1"/>
          <w:color w:val="auto"/>
        </w:rPr>
        <w:t>[_________]</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number of Units which are eligible to become Earned Units will be determined as follows:</w:t>
      </w:r>
    </w:p>
    <w:p>
      <w:pPr>
        <w:spacing w:after="0" w:line="225" w:lineRule="exact"/>
        <w:rPr>
          <w:sz w:val="20"/>
          <w:szCs w:val="20"/>
          <w:color w:val="auto"/>
        </w:rPr>
      </w:pPr>
    </w:p>
    <w:p>
      <w:pPr>
        <w:jc w:val="both"/>
        <w:ind w:left="660" w:hanging="4"/>
        <w:spacing w:after="0" w:line="239" w:lineRule="auto"/>
        <w:tabs>
          <w:tab w:leader="none" w:pos="1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“Earned Units” </w:t>
      </w:r>
      <w:r>
        <w:rPr>
          <w:rFonts w:ascii="Times New Roman" w:cs="Times New Roman" w:eastAsia="Times New Roman" w:hAnsi="Times New Roman"/>
          <w:sz w:val="20"/>
          <w:szCs w:val="20"/>
          <w:color w:val="auto"/>
        </w:rPr>
        <w:t>means the number of Units (rounded up to the nearest whole Unit), if any (not to exceed the Maximum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Number of Units) shall be equal to the product of (i) the Target Number of Units multiplied by (ii) the Performance Multiplier. If the Threshold Goal is not attained during the Performance Period, no Units are eligible to become Earned Units or Vested Units.</w:t>
      </w:r>
    </w:p>
    <w:p>
      <w:pPr>
        <w:jc w:val="both"/>
        <w:ind w:left="660" w:hanging="4"/>
        <w:spacing w:after="0" w:line="237" w:lineRule="auto"/>
        <w:tabs>
          <w:tab w:leader="none" w:pos="1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Recurring and Other Revenue</w:t>
      </w:r>
      <w:r>
        <w:rPr>
          <w:rFonts w:ascii="Times New Roman" w:cs="Times New Roman" w:eastAsia="Times New Roman" w:hAnsi="Times New Roman"/>
          <w:sz w:val="20"/>
          <w:szCs w:val="20"/>
          <w:color w:val="auto"/>
        </w:rPr>
        <w:t>” means Company revenues determined in accordance with generally accepted accounting principles in the United States (“GAAP”), and shall be adjusted to exclude the impact of any acquisitions during the Performance Period.</w:t>
      </w:r>
    </w:p>
    <w:p>
      <w:pPr>
        <w:spacing w:after="0" w:line="210" w:lineRule="exact"/>
        <w:rPr>
          <w:rFonts w:ascii="Times New Roman" w:cs="Times New Roman" w:eastAsia="Times New Roman" w:hAnsi="Times New Roman"/>
          <w:sz w:val="20"/>
          <w:szCs w:val="20"/>
          <w:color w:val="auto"/>
        </w:rPr>
      </w:pPr>
    </w:p>
    <w:p>
      <w:pPr>
        <w:ind w:left="660" w:right="60" w:hanging="4"/>
        <w:spacing w:after="0" w:line="242" w:lineRule="auto"/>
        <w:tabs>
          <w:tab w:leader="none" w:pos="1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Multiplier</w:t>
      </w:r>
      <w:r>
        <w:rPr>
          <w:rFonts w:ascii="Times New Roman" w:cs="Times New Roman" w:eastAsia="Times New Roman" w:hAnsi="Times New Roman"/>
          <w:sz w:val="20"/>
          <w:szCs w:val="20"/>
          <w:color w:val="auto"/>
        </w:rPr>
        <w:t xml:space="preserve">” means a ratio determined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based on the level of attainment of the Target Performance Goal. The Performance Multiplier Percentages serve as cliffs. For example, if Recurring and Other Revenue was $____________ the Performance Multiplier would be 100%.</w:t>
      </w:r>
    </w:p>
    <w:p>
      <w:pPr>
        <w:spacing w:after="0" w:line="20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“Target Performance Goal” </w:t>
      </w:r>
      <w:r>
        <w:rPr>
          <w:rFonts w:ascii="Times New Roman" w:cs="Times New Roman" w:eastAsia="Times New Roman" w:hAnsi="Times New Roman"/>
          <w:sz w:val="20"/>
          <w:szCs w:val="20"/>
          <w:color w:val="auto"/>
        </w:rPr>
        <w:t>means $____________ in Recurring and Other Revenue during the Performance Period.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“Threshold Goal” </w:t>
      </w:r>
      <w:r>
        <w:rPr>
          <w:rFonts w:ascii="Times New Roman" w:cs="Times New Roman" w:eastAsia="Times New Roman" w:hAnsi="Times New Roman"/>
          <w:sz w:val="20"/>
          <w:szCs w:val="20"/>
          <w:color w:val="auto"/>
        </w:rPr>
        <w:t>means $____________ in Recurring and Other Revenue during the Performance Period.</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115175" cy="1431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15175" cy="143192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vMerge w:val="restart"/>
            <w:shd w:val="clear" w:color="auto" w:fill="A5A5A5"/>
          </w:tcPr>
          <w:p>
            <w:pPr>
              <w:ind w:left="220"/>
              <w:spacing w:after="0"/>
              <w:rPr>
                <w:sz w:val="20"/>
                <w:szCs w:val="20"/>
                <w:color w:val="auto"/>
              </w:rPr>
            </w:pPr>
            <w:r>
              <w:rPr>
                <w:rFonts w:ascii="Times New Roman" w:cs="Times New Roman" w:eastAsia="Times New Roman" w:hAnsi="Times New Roman"/>
                <w:sz w:val="20"/>
                <w:szCs w:val="20"/>
                <w:b w:val="1"/>
                <w:bCs w:val="1"/>
                <w:color w:val="auto"/>
              </w:rPr>
              <w:t>Performance Multiplier</w:t>
            </w:r>
          </w:p>
        </w:tc>
        <w:tc>
          <w:tcPr>
            <w:tcW w:w="2200" w:type="dxa"/>
            <w:vAlign w:val="bottom"/>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Recurring &amp; Other</w:t>
            </w:r>
          </w:p>
        </w:tc>
        <w:tc>
          <w:tcPr>
            <w:tcW w:w="0" w:type="dxa"/>
            <w:vAlign w:val="bottom"/>
          </w:tcPr>
          <w:p>
            <w:pPr>
              <w:spacing w:after="0"/>
              <w:rPr>
                <w:sz w:val="1"/>
                <w:szCs w:val="1"/>
                <w:color w:val="auto"/>
              </w:rPr>
            </w:pPr>
          </w:p>
        </w:tc>
      </w:tr>
      <w:tr>
        <w:trPr>
          <w:trHeight w:val="154"/>
        </w:trPr>
        <w:tc>
          <w:tcPr>
            <w:tcW w:w="2500" w:type="dxa"/>
            <w:vAlign w:val="bottom"/>
            <w:vMerge w:val="continue"/>
            <w:shd w:val="clear" w:color="auto" w:fill="A5A5A5"/>
          </w:tcPr>
          <w:p>
            <w:pPr>
              <w:spacing w:after="0"/>
              <w:rPr>
                <w:sz w:val="13"/>
                <w:szCs w:val="13"/>
                <w:color w:val="auto"/>
              </w:rPr>
            </w:pPr>
          </w:p>
        </w:tc>
        <w:tc>
          <w:tcPr>
            <w:tcW w:w="2200" w:type="dxa"/>
            <w:vAlign w:val="bottom"/>
            <w:vMerge w:val="restart"/>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Revenue</w:t>
            </w:r>
          </w:p>
        </w:tc>
        <w:tc>
          <w:tcPr>
            <w:tcW w:w="0" w:type="dxa"/>
            <w:vAlign w:val="bottom"/>
          </w:tcPr>
          <w:p>
            <w:pPr>
              <w:spacing w:after="0"/>
              <w:rPr>
                <w:sz w:val="1"/>
                <w:szCs w:val="1"/>
                <w:color w:val="auto"/>
              </w:rPr>
            </w:pPr>
          </w:p>
        </w:tc>
      </w:tr>
      <w:tr>
        <w:trPr>
          <w:trHeight w:val="108"/>
        </w:trPr>
        <w:tc>
          <w:tcPr>
            <w:tcW w:w="2500" w:type="dxa"/>
            <w:vAlign w:val="bottom"/>
            <w:shd w:val="clear" w:color="auto" w:fill="A5A5A5"/>
          </w:tcPr>
          <w:p>
            <w:pPr>
              <w:spacing w:after="0"/>
              <w:rPr>
                <w:sz w:val="9"/>
                <w:szCs w:val="9"/>
                <w:color w:val="auto"/>
              </w:rPr>
            </w:pPr>
          </w:p>
        </w:tc>
        <w:tc>
          <w:tcPr>
            <w:tcW w:w="2200" w:type="dxa"/>
            <w:vAlign w:val="bottom"/>
            <w:vMerge w:val="continue"/>
            <w:shd w:val="clear" w:color="auto" w:fill="A5A5A5"/>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500" w:type="dxa"/>
            <w:vAlign w:val="bottom"/>
            <w:shd w:val="clear" w:color="auto" w:fill="A5A5A5"/>
          </w:tcPr>
          <w:p>
            <w:pPr>
              <w:spacing w:after="0" w:line="20" w:lineRule="exact"/>
              <w:rPr>
                <w:sz w:val="1"/>
                <w:szCs w:val="1"/>
                <w:color w:val="auto"/>
              </w:rPr>
            </w:pPr>
          </w:p>
        </w:tc>
        <w:tc>
          <w:tcPr>
            <w:tcW w:w="2200" w:type="dxa"/>
            <w:vAlign w:val="bottom"/>
            <w:shd w:val="clear" w:color="auto" w:fill="A5A5A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160" w:hanging="109"/>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160" w:hanging="109"/>
        <w:spacing w:after="0"/>
        <w:tabs>
          <w:tab w:leader="none" w:pos="1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160" w:hanging="109"/>
        <w:spacing w:after="0"/>
        <w:tabs>
          <w:tab w:leader="none" w:pos="1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160" w:hanging="109"/>
        <w:spacing w:after="0"/>
        <w:tabs>
          <w:tab w:leader="none" w:pos="1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160" w:hanging="109"/>
        <w:spacing w:after="0"/>
        <w:tabs>
          <w:tab w:leader="none" w:pos="1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160" w:hanging="109"/>
        <w:spacing w:after="0"/>
        <w:tabs>
          <w:tab w:leader="none" w:pos="1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40" w:type="dxa"/>
            <w:vAlign w:val="bottom"/>
            <w:vMerge w:val="restart"/>
            <w:shd w:val="clear" w:color="auto" w:fill="A5A5A5"/>
          </w:tcPr>
          <w:p>
            <w:pPr>
              <w:ind w:left="240"/>
              <w:spacing w:after="0"/>
              <w:rPr>
                <w:sz w:val="20"/>
                <w:szCs w:val="20"/>
                <w:color w:val="auto"/>
              </w:rPr>
            </w:pPr>
            <w:r>
              <w:rPr>
                <w:rFonts w:ascii="Times New Roman" w:cs="Times New Roman" w:eastAsia="Times New Roman" w:hAnsi="Times New Roman"/>
                <w:sz w:val="20"/>
                <w:szCs w:val="20"/>
                <w:b w:val="1"/>
                <w:bCs w:val="1"/>
                <w:color w:val="auto"/>
              </w:rPr>
              <w:t>Performance Multiplier</w:t>
            </w:r>
          </w:p>
        </w:tc>
        <w:tc>
          <w:tcPr>
            <w:tcW w:w="2220" w:type="dxa"/>
            <w:vAlign w:val="bottom"/>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Recurring &amp; Other</w:t>
            </w:r>
          </w:p>
        </w:tc>
        <w:tc>
          <w:tcPr>
            <w:tcW w:w="0" w:type="dxa"/>
            <w:vAlign w:val="bottom"/>
          </w:tcPr>
          <w:p>
            <w:pPr>
              <w:spacing w:after="0"/>
              <w:rPr>
                <w:sz w:val="1"/>
                <w:szCs w:val="1"/>
                <w:color w:val="auto"/>
              </w:rPr>
            </w:pPr>
          </w:p>
        </w:tc>
      </w:tr>
      <w:tr>
        <w:trPr>
          <w:trHeight w:val="154"/>
        </w:trPr>
        <w:tc>
          <w:tcPr>
            <w:tcW w:w="2540" w:type="dxa"/>
            <w:vAlign w:val="bottom"/>
            <w:vMerge w:val="continue"/>
            <w:shd w:val="clear" w:color="auto" w:fill="A5A5A5"/>
          </w:tcPr>
          <w:p>
            <w:pPr>
              <w:spacing w:after="0"/>
              <w:rPr>
                <w:sz w:val="13"/>
                <w:szCs w:val="13"/>
                <w:color w:val="auto"/>
              </w:rPr>
            </w:pPr>
          </w:p>
        </w:tc>
        <w:tc>
          <w:tcPr>
            <w:tcW w:w="2220" w:type="dxa"/>
            <w:vAlign w:val="bottom"/>
            <w:vMerge w:val="restart"/>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Revenue</w:t>
            </w:r>
          </w:p>
        </w:tc>
        <w:tc>
          <w:tcPr>
            <w:tcW w:w="0" w:type="dxa"/>
            <w:vAlign w:val="bottom"/>
          </w:tcPr>
          <w:p>
            <w:pPr>
              <w:spacing w:after="0"/>
              <w:rPr>
                <w:sz w:val="1"/>
                <w:szCs w:val="1"/>
                <w:color w:val="auto"/>
              </w:rPr>
            </w:pPr>
          </w:p>
        </w:tc>
      </w:tr>
      <w:tr>
        <w:trPr>
          <w:trHeight w:val="108"/>
        </w:trPr>
        <w:tc>
          <w:tcPr>
            <w:tcW w:w="2540" w:type="dxa"/>
            <w:vAlign w:val="bottom"/>
            <w:shd w:val="clear" w:color="auto" w:fill="A5A5A5"/>
          </w:tcPr>
          <w:p>
            <w:pPr>
              <w:spacing w:after="0"/>
              <w:rPr>
                <w:sz w:val="9"/>
                <w:szCs w:val="9"/>
                <w:color w:val="auto"/>
              </w:rPr>
            </w:pPr>
          </w:p>
        </w:tc>
        <w:tc>
          <w:tcPr>
            <w:tcW w:w="2220" w:type="dxa"/>
            <w:vAlign w:val="bottom"/>
            <w:vMerge w:val="continue"/>
            <w:shd w:val="clear" w:color="auto" w:fill="A5A5A5"/>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540" w:type="dxa"/>
            <w:vAlign w:val="bottom"/>
            <w:shd w:val="clear" w:color="auto" w:fill="A5A5A5"/>
          </w:tcPr>
          <w:p>
            <w:pPr>
              <w:spacing w:after="0" w:line="20" w:lineRule="exact"/>
              <w:rPr>
                <w:sz w:val="1"/>
                <w:szCs w:val="1"/>
                <w:color w:val="auto"/>
              </w:rPr>
            </w:pPr>
          </w:p>
        </w:tc>
        <w:tc>
          <w:tcPr>
            <w:tcW w:w="2220" w:type="dxa"/>
            <w:vAlign w:val="bottom"/>
            <w:shd w:val="clear" w:color="auto" w:fill="A5A5A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200" w:hanging="116"/>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200" w:hanging="116"/>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200" w:hanging="116"/>
        <w:spacing w:after="0"/>
        <w:tabs>
          <w:tab w:leader="none" w:pos="12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200" w:hanging="116"/>
        <w:spacing w:after="0"/>
        <w:tabs>
          <w:tab w:leader="none" w:pos="12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200" w:hanging="116"/>
        <w:spacing w:after="0"/>
        <w:tabs>
          <w:tab w:leader="none" w:pos="12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200" w:hanging="116"/>
        <w:spacing w:after="0"/>
        <w:tabs>
          <w:tab w:leader="none" w:pos="12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2">
            <w:col w:w="5700" w:space="720"/>
            <w:col w:w="4760"/>
          </w:cols>
          <w:pgMar w:left="360" w:top="1440" w:right="35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5"/>
          <w:szCs w:val="25"/>
          <w:b w:val="1"/>
          <w:bCs w:val="1"/>
          <w:color w:val="auto"/>
        </w:rPr>
        <w:t>FORM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jc w:val="center"/>
        <w:spacing w:after="0" w:line="236" w:lineRule="auto"/>
        <w:rPr>
          <w:sz w:val="20"/>
          <w:szCs w:val="20"/>
          <w:color w:val="auto"/>
        </w:rPr>
      </w:pPr>
      <w:r>
        <w:rPr>
          <w:rFonts w:ascii="Times New Roman" w:cs="Times New Roman" w:eastAsia="Times New Roman" w:hAnsi="Times New Roman"/>
          <w:sz w:val="25"/>
          <w:szCs w:val="25"/>
          <w:b w:val="1"/>
          <w:bCs w:val="1"/>
          <w:color w:val="auto"/>
        </w:rPr>
        <w:t>PERFORMANCE STOCK 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AWARD AGREEMENT</w:t>
      </w:r>
    </w:p>
    <w:p>
      <w:pPr>
        <w:spacing w:after="0" w:line="22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Paylocity Holding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to which this Agreement is attached an Award consisting of Performance Stock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xml:space="preserve">”) subject to the terms and conditions set forth in the Grant Notice and this Agreement. The Award has been granted pursuant to the Paylocity Holding Corporation 2023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 amended to the Grant Date, the provisions of which are incorporated herein by reference. This Award is intended to constitute an Award of Performance Shares described in Section 10 of the Plan. Notwithstanding anything in the Plan to the contrary, the determination of the number of Units which vest and/or are to be settled in Shares shall be determined based on the provisions contained in the Grant Notice and this Agreement, and the provisions set forth in Section 10.7(a) of the Plan (relating to certain Terminations of Service) shall not apply.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defined herein or in the Grant Notice, capitalized terms shall have the meanings assigned by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color w:val="auto"/>
        </w:rPr>
        <w:t>The Company has granted to the Participant the Award set forth in the Grant Notice, which, depending on the extent to which the Performance Measure is attained during the Performance Period, may result in the Participant earning as little as zero (0) Units or as many as the Maximum Number of Units. Subject to the terms of this Agreement and the Plan, each Unit, to the extent it is earned and becomes a Vested Unit, represents a right to receive on the Settlement Date one (1) Share. Unless and until a Unit has been determined to be an Earned Unit and has vested and become a Vested Unit as set forth in the Grant Notice, the Participant will have no right to settlement of such Units. Prior to settlement of Vested Units, such Units will represent an unfunded and unsecured obligation of the Company.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COMMITTEE DETERMINATION OF EARNED UNITS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Level of Performance Measure Attained. </w:t>
      </w:r>
      <w:r>
        <w:rPr>
          <w:rFonts w:ascii="Times New Roman" w:cs="Times New Roman" w:eastAsia="Times New Roman" w:hAnsi="Times New Roman"/>
          <w:sz w:val="20"/>
          <w:szCs w:val="20"/>
          <w:color w:val="auto"/>
        </w:rPr>
        <w:t>As soon as practicable following completion of the Performance Period, but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event no later than the first scheduled Vesting Date, the Committee shall determine the level of attainment of the Performance Measure during the Performance Period, the resulting Relative TSR Multiplier and the number of Units which have become Earned Units.</w:t>
      </w:r>
    </w:p>
    <w:p>
      <w:pPr>
        <w:spacing w:after="0" w:line="20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Adjustment for Leave of Absence or Part-Time Work. </w:t>
      </w:r>
      <w:r>
        <w:rPr>
          <w:rFonts w:ascii="Times New Roman" w:cs="Times New Roman" w:eastAsia="Times New Roman" w:hAnsi="Times New Roman"/>
          <w:sz w:val="20"/>
          <w:szCs w:val="20"/>
          <w:color w:val="auto"/>
        </w:rPr>
        <w:t>Unless otherwise required by law or Company policy,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takes one or more unpaid leaves of absence, the Committee may, in its discretion, make such modifications to the Award as it deems appropriate. Unless otherwise required by law or Company policy, if the Participant commences working on a part-time basis during the Performance Period, the Committee may, in its discretion, make such modifications to the Award as it deems appropriate.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VESTING OF EARNED UNITS</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Normal Vesting. </w:t>
      </w:r>
      <w:r>
        <w:rPr>
          <w:rFonts w:ascii="Times New Roman" w:cs="Times New Roman" w:eastAsia="Times New Roman" w:hAnsi="Times New Roman"/>
          <w:sz w:val="20"/>
          <w:szCs w:val="20"/>
          <w:color w:val="auto"/>
        </w:rPr>
        <w:t>Except as otherwise provided by this Agreement, Earned Units shall vest and become Vested Units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the Grant Notice.</w:t>
      </w:r>
    </w:p>
    <w:p>
      <w:pPr>
        <w:spacing w:after="0" w:line="192"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Vesting Upon a Change in Control. </w:t>
      </w:r>
      <w:r>
        <w:rPr>
          <w:rFonts w:ascii="Times New Roman" w:cs="Times New Roman" w:eastAsia="Times New Roman" w:hAnsi="Times New Roman"/>
          <w:sz w:val="20"/>
          <w:szCs w:val="20"/>
          <w:color w:val="auto"/>
        </w:rPr>
        <w:t>In the event of a Change in Control, the vesting of Earned Units shall be determined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9.</w:t>
      </w:r>
    </w:p>
    <w:p>
      <w:pPr>
        <w:sectPr>
          <w:pgSz w:w="11900" w:h="16838" w:orient="portrait"/>
          <w:cols w:equalWidth="0" w:num="1">
            <w:col w:w="11240"/>
          </w:cols>
          <w:pgMar w:left="320" w:top="1393" w:right="339" w:bottom="1440" w:gutter="0" w:footer="0" w:header="0"/>
        </w:sectPr>
      </w:pPr>
    </w:p>
    <w:bookmarkStart w:id="49" w:name="page50"/>
    <w:bookmarkEnd w:id="49"/>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OF SERVICE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Death or Disability. </w:t>
      </w:r>
      <w:r>
        <w:rPr>
          <w:rFonts w:ascii="Times New Roman" w:cs="Times New Roman" w:eastAsia="Times New Roman" w:hAnsi="Times New Roman"/>
          <w:sz w:val="20"/>
          <w:szCs w:val="20"/>
          <w:color w:val="auto"/>
        </w:rPr>
        <w:t>If the Participant’s Service terminates by reason of the death or Disability of the Participant either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before completion of the Performance Period or (b) after completion of the Performance Period but before the Vesting Date, the Participant shall not forfeit the Award. Instead, unless the Committee determines that Section 9 is applicable, the number of Earned Units and Vested Units shall be determined as follows:</w:t>
      </w:r>
    </w:p>
    <w:p>
      <w:pPr>
        <w:spacing w:after="0" w:line="195"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0"/>
          <w:szCs w:val="20"/>
          <w:color w:val="auto"/>
        </w:rPr>
        <w:t>If such termination of Service occurs before completion of the Performance Period, then a number of Earned Units shall be determined for a special Performance Period ending on the day of such termination of Service (the “</w:t>
      </w:r>
      <w:r>
        <w:rPr>
          <w:rFonts w:ascii="Times New Roman" w:cs="Times New Roman" w:eastAsia="Times New Roman" w:hAnsi="Times New Roman"/>
          <w:sz w:val="20"/>
          <w:szCs w:val="20"/>
          <w:b w:val="1"/>
          <w:bCs w:val="1"/>
          <w:i w:val="1"/>
          <w:iCs w:val="1"/>
          <w:color w:val="auto"/>
        </w:rPr>
        <w:t>Special Performance Period</w:t>
      </w:r>
      <w:r>
        <w:rPr>
          <w:rFonts w:ascii="Times New Roman" w:cs="Times New Roman" w:eastAsia="Times New Roman" w:hAnsi="Times New Roman"/>
          <w:sz w:val="20"/>
          <w:szCs w:val="20"/>
          <w:color w:val="auto"/>
        </w:rPr>
        <w:t xml:space="preserve">”). The applicable level of performance for the Special Performance Period shall be determined as provided by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except that performance shall be determined for portion of the Performance Period ending with the last day of the Special Performance Period. The number of Vested Units shall be determined by multiplying such number of Earned Units by the ratio of the number of days of the Participant’s Service during the Special Performance Period to the number of days contained in the original Performance Period. The number of Vested Units so determined shall be settled in accordance with Section 5. The Participant shall forfeit all Units not determined to be Vested Units in accordance with this Section, and the Participant shall not be entitled to any payment therefor.</w:t>
      </w:r>
    </w:p>
    <w:p>
      <w:pPr>
        <w:spacing w:after="0" w:line="202" w:lineRule="exact"/>
        <w:rPr>
          <w:sz w:val="20"/>
          <w:szCs w:val="20"/>
          <w:color w:val="auto"/>
        </w:rPr>
      </w:pPr>
    </w:p>
    <w:p>
      <w:pPr>
        <w:jc w:val="both"/>
        <w:ind w:firstLine="1944"/>
        <w:spacing w:after="0" w:line="244" w:lineRule="auto"/>
        <w:rPr>
          <w:sz w:val="20"/>
          <w:szCs w:val="20"/>
          <w:color w:val="auto"/>
        </w:rPr>
      </w:pPr>
      <w:r>
        <w:rPr>
          <w:rFonts w:ascii="Times New Roman" w:cs="Times New Roman" w:eastAsia="Times New Roman" w:hAnsi="Times New Roman"/>
          <w:sz w:val="20"/>
          <w:szCs w:val="20"/>
          <w:color w:val="auto"/>
        </w:rPr>
        <w:t>If such termination of Service occurs after completion of the Performance Period but before the Vesting Date, then the number of Earned Units shall be determined for the Performance Period in accordance with Section 2, and all such Earned Units be deemed Vested Units upon such determination by the Committee and settled in accordance with Section 5 as if the Participant’s Service had continued through the Vesting Date.</w:t>
      </w:r>
    </w:p>
    <w:p>
      <w:pPr>
        <w:spacing w:after="0" w:line="19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Other Termination of Service. </w:t>
      </w:r>
      <w:r>
        <w:rPr>
          <w:rFonts w:ascii="Times New Roman" w:cs="Times New Roman" w:eastAsia="Times New Roman" w:hAnsi="Times New Roman"/>
          <w:sz w:val="20"/>
          <w:szCs w:val="20"/>
          <w:color w:val="auto"/>
        </w:rPr>
        <w:t>In the event that the Participant’s Service terminates for any reason, with or without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by reason of the death or Disability of the Participant, the Participant shall forfeit and the Company shall automatically reacquire all Units which are not, as of the time of such termination, Vested Units, and the Participant shall not be entitled to any payment therefor.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provisions of Section 5.3 and Section 6 below, the Company shall issue to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Settlement Date with respect to each Vested Unit to be settled on such date one (1) Share. Shares issued in settlement of Vested Units shall not be subject to any restriction on transfer other than any such restriction as may be required pursuant to Section 5.3.</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hereby authorizes the Company, in its sole</w:t>
      </w:r>
    </w:p>
    <w:p>
      <w:pPr>
        <w:spacing w:after="0" w:line="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21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b w:val="1"/>
          <w:bCs w:val="1"/>
          <w:color w:val="auto"/>
        </w:rPr>
        <w:t>Restrictions on Grant of the Award and 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of the Award and issuance of Shares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of the Award shall be subject to compliance with all applicable requirements of U.S. federal, state or foreign law with respect to such securities. No Shares may be issued hereunder if the issuance of such Shares would constitute a violation of any applicable U.S. federal, state or foreign securities laws or other laws or regulations or the requirements of any stock exchange or market</w:t>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234" w:lineRule="auto"/>
        <w:rPr>
          <w:sz w:val="20"/>
          <w:szCs w:val="20"/>
          <w:color w:val="auto"/>
        </w:rPr>
      </w:pPr>
      <w:r>
        <w:rPr>
          <w:rFonts w:ascii="Times New Roman" w:cs="Times New Roman" w:eastAsia="Times New Roman" w:hAnsi="Times New Roman"/>
          <w:sz w:val="20"/>
          <w:szCs w:val="20"/>
          <w:color w:val="auto"/>
        </w:rPr>
        <w:t>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Further, regardless of whether the transfer or issuance of the Shares to be issued pursuant to the Units has been registered under the Securities Act or has been registered or qualified under the securities laws of any State, the Company may impose additional restrictions upon the sale, pledge, or other transfer of the Shares (including the placement of appropriate legends on share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Fractional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not be required to issue fractional Shares upon the settlement of the Award.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TAX WITHHOLDING AND ADVICE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b w:val="1"/>
          <w:bCs w:val="1"/>
          <w:color w:val="auto"/>
        </w:rPr>
        <w:t xml:space="preserve">In General. </w:t>
      </w:r>
      <w:r>
        <w:rPr>
          <w:rFonts w:ascii="Times New Roman" w:cs="Times New Roman" w:eastAsia="Times New Roman" w:hAnsi="Times New Roman"/>
          <w:sz w:val="20"/>
          <w:szCs w:val="20"/>
          <w:color w:val="auto"/>
        </w:rPr>
        <w:t>At the time the Grant Notice is executed, or at any time thereafter as requested by a Participating Company,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hereby authorizes withholding from payroll and any other amounts payable to the Participant, and otherwise agrees to make adequate provision for, any sums required to satisfy the U.S. federal, state, local and foreign tax (including any social insurance) withholding obligations of the Participating Company, if any, which arise in connection with the Award, the vesting of Units or the issuance of Shares in settlement thereof. The Company shall have no obligation to deliver Shares until the tax withholding obligations of the Participating Company have been satisfied by the Participant.</w:t>
      </w:r>
    </w:p>
    <w:p>
      <w:pPr>
        <w:spacing w:after="0" w:line="20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b w:val="1"/>
          <w:bCs w:val="1"/>
          <w:color w:val="auto"/>
        </w:rPr>
        <w:t xml:space="preserve">Assignment of Sale Proceeds. </w:t>
      </w:r>
      <w:r>
        <w:rPr>
          <w:rFonts w:ascii="Times New Roman" w:cs="Times New Roman" w:eastAsia="Times New Roman" w:hAnsi="Times New Roman"/>
          <w:sz w:val="20"/>
          <w:szCs w:val="20"/>
          <w:color w:val="auto"/>
        </w:rPr>
        <w:t>Subject to compliance with applicable law and the Company’s Trading Compliance Policy,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20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b w:val="1"/>
          <w:bCs w:val="1"/>
          <w:color w:val="auto"/>
        </w:rPr>
        <w:t xml:space="preserve">Withholding in Shares. </w:t>
      </w:r>
      <w:r>
        <w:rPr>
          <w:rFonts w:ascii="Times New Roman" w:cs="Times New Roman" w:eastAsia="Times New Roman" w:hAnsi="Times New Roman"/>
          <w:sz w:val="20"/>
          <w:szCs w:val="20"/>
          <w:color w:val="auto"/>
        </w:rPr>
        <w:t>The Company shall have the right, but not the obligation, to require the Participant to satisfy 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portion of a Participating Company’s tax withholding obligations by deducting from the Shares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statutory withholding rates.</w:t>
      </w:r>
    </w:p>
    <w:p>
      <w:pPr>
        <w:spacing w:after="0" w:line="20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The Participant represents, warrants and acknowledges that the Company has made no warranties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to the Participant with respect to the income tax consequences of the transactions contemplated by this Agreement, and the Participant is in no manner relying on the Company or the Company’s representatives for an assessment of such tax consequences. THE PARTICIPANT UNDERSTANDS THAT THE TAX LAWS AND REGULATIONS ARE SUBJECT TO CHANGE. THE PARTICIPANT SHOULD CONSULT HIS OR HER OWN TAX ADVISOR REGARDING THE UNITS. NOTHING STATED HEREIN IS INTENDED OR WRITTEN TO BE USED, AND CANNOT BE USED, FOR THE PURPOSE OF AVOIDING TAXPAYER PENALTIES.</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COVENANTS.</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b w:val="1"/>
          <w:bCs w:val="1"/>
          <w:color w:val="auto"/>
        </w:rPr>
        <w:t xml:space="preserve">Covenant Not to Disclose. </w:t>
      </w:r>
      <w:r>
        <w:rPr>
          <w:rFonts w:ascii="Times New Roman" w:cs="Times New Roman" w:eastAsia="Times New Roman" w:hAnsi="Times New Roman"/>
          <w:sz w:val="20"/>
          <w:szCs w:val="20"/>
          <w:color w:val="auto"/>
        </w:rPr>
        <w:t>The Participant acknowledges that as a result of the Participant’s employment with Paylocity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an Illinois corporation (“</w:t>
      </w:r>
      <w:r>
        <w:rPr>
          <w:rFonts w:ascii="Times New Roman" w:cs="Times New Roman" w:eastAsia="Times New Roman" w:hAnsi="Times New Roman"/>
          <w:sz w:val="20"/>
          <w:szCs w:val="20"/>
          <w:b w:val="1"/>
          <w:bCs w:val="1"/>
          <w:i w:val="1"/>
          <w:iCs w:val="1"/>
          <w:color w:val="auto"/>
        </w:rPr>
        <w:t>Paylocity</w:t>
      </w:r>
      <w:r>
        <w:rPr>
          <w:rFonts w:ascii="Times New Roman" w:cs="Times New Roman" w:eastAsia="Times New Roman" w:hAnsi="Times New Roman"/>
          <w:sz w:val="20"/>
          <w:szCs w:val="20"/>
          <w:color w:val="auto"/>
        </w:rPr>
        <w:t>”), the Participant has gained access to Paylocity’s Confidential Information (defined below). During the Participant’s employment and thereafter, the Participant will not use, disclose, or reveal to any person any Confidential Information except when acting within the scope of the Participant’s duties or with prior written authorization from Paylocity’s Chief Human Resources Officer.</w:t>
      </w:r>
    </w:p>
    <w:p>
      <w:pPr>
        <w:spacing w:after="0" w:line="214" w:lineRule="exact"/>
        <w:rPr>
          <w:sz w:val="20"/>
          <w:szCs w:val="20"/>
          <w:color w:val="auto"/>
        </w:rPr>
      </w:pPr>
    </w:p>
    <w:p>
      <w:pPr>
        <w:ind w:right="100" w:firstLine="1944"/>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all information belonging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relating to the business of Paylocity (including information received in confidence by Paylocity from its customers or suppliers or other third parties),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formulae and processes,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pacing w:after="0" w:line="212" w:lineRule="exact"/>
        <w:rPr>
          <w:sz w:val="20"/>
          <w:szCs w:val="20"/>
          <w:color w:val="auto"/>
        </w:rPr>
      </w:pPr>
    </w:p>
    <w:p>
      <w:pPr>
        <w:ind w:right="60" w:firstLine="1944"/>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Scope of Non-Disclosure; Return of Company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Nothing in this Section shall be deemed to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Covenants Not to Solicit.</w:t>
      </w:r>
    </w:p>
    <w:p>
      <w:pPr>
        <w:spacing w:after="0" w:line="243" w:lineRule="exact"/>
        <w:rPr>
          <w:sz w:val="20"/>
          <w:szCs w:val="20"/>
          <w:color w:val="auto"/>
        </w:rPr>
      </w:pPr>
    </w:p>
    <w:p>
      <w:pPr>
        <w:ind w:right="40" w:firstLine="1952"/>
        <w:spacing w:after="0" w:line="256" w:lineRule="auto"/>
        <w:tabs>
          <w:tab w:leader="none" w:pos="241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Customer Non-Solicitation. </w:t>
      </w:r>
      <w:r>
        <w:rPr>
          <w:rFonts w:ascii="Times New Roman" w:cs="Times New Roman" w:eastAsia="Times New Roman" w:hAnsi="Times New Roman"/>
          <w:sz w:val="19"/>
          <w:szCs w:val="19"/>
          <w:color w:val="auto"/>
        </w:rPr>
        <w:t>During employment with Paylocity and for a period of twenty-four (24) months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following the termination of employment for any reason, the Participant agrees not to directly or indirectly contact, solicit or accept business from any of Paylocity’s customers, prospective customers, brokers, brokerage firms, business partners, business associates, or end users, with whom the Participant had direct or indirect contact or solicited on behalf of Paylocity in the twelve (12) months prior to the Participant’s termination, for the purpose of selling or soliciting products or services that are in competition with the products or services of Paylocity.</w:t>
      </w:r>
    </w:p>
    <w:p>
      <w:pPr>
        <w:spacing w:after="0" w:line="185" w:lineRule="exact"/>
        <w:rPr>
          <w:sz w:val="20"/>
          <w:szCs w:val="20"/>
          <w:color w:val="auto"/>
        </w:rPr>
      </w:pPr>
    </w:p>
    <w:p>
      <w:pPr>
        <w:ind w:right="480" w:firstLine="1944"/>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 Non-Solicitation. </w:t>
      </w:r>
      <w:r>
        <w:rPr>
          <w:rFonts w:ascii="Times New Roman" w:cs="Times New Roman" w:eastAsia="Times New Roman" w:hAnsi="Times New Roman"/>
          <w:sz w:val="20"/>
          <w:szCs w:val="20"/>
          <w:color w:val="auto"/>
        </w:rPr>
        <w:t>During employment with Paylocity and for a period of twenty-four (24) months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following the termination of employment for any reason, the Participant agrees not to directly or indirectly contact, solicit or recruit any employees or exclusive independent contractors of</w:t>
      </w:r>
    </w:p>
    <w:p>
      <w:pPr>
        <w:sectPr>
          <w:pgSz w:w="11900" w:h="16838" w:orient="portrait"/>
          <w:cols w:equalWidth="0" w:num="1">
            <w:col w:w="11240"/>
          </w:cols>
          <w:pgMar w:left="320" w:top="1440" w:right="339" w:bottom="1440" w:gutter="0" w:footer="0" w:header="0"/>
        </w:sectPr>
      </w:pPr>
    </w:p>
    <w:bookmarkStart w:id="52" w:name="page53"/>
    <w:bookmarkEnd w:id="52"/>
    <w:p>
      <w:pPr>
        <w:ind w:right="120"/>
        <w:spacing w:after="0" w:line="266" w:lineRule="auto"/>
        <w:rPr>
          <w:sz w:val="20"/>
          <w:szCs w:val="20"/>
          <w:color w:val="auto"/>
        </w:rPr>
      </w:pPr>
      <w:r>
        <w:rPr>
          <w:rFonts w:ascii="Times New Roman" w:cs="Times New Roman" w:eastAsia="Times New Roman" w:hAnsi="Times New Roman"/>
          <w:sz w:val="19"/>
          <w:szCs w:val="19"/>
          <w:color w:val="auto"/>
        </w:rPr>
        <w:t>Paylocity with whom the Participant worked or had contact during the twelve (12) months preceding the termination of the Participant’s employment, for the purpose of causing, inviting or encouraging any such employee to (i) terminate his or her employment or business relationship with Paylocity; and/or (ii) become employed or engaged by a person or entity that sells Competing Products (as defined below).</w:t>
      </w:r>
    </w:p>
    <w:p>
      <w:pPr>
        <w:spacing w:after="0" w:line="17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Covenant Not to Compete. </w:t>
      </w:r>
      <w:r>
        <w:rPr>
          <w:rFonts w:ascii="Times New Roman" w:cs="Times New Roman" w:eastAsia="Times New Roman" w:hAnsi="Times New Roman"/>
          <w:sz w:val="20"/>
          <w:szCs w:val="20"/>
          <w:color w:val="auto"/>
        </w:rPr>
        <w:t>During employment with Paylocity and for a period of twelve (12) months following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employment for any reason, the Participant agrees not to directly or indirectly, on behalf of Participant or in conjunction with any other person or entity: (i) own any business (other than less than 3% ownership in a publicly traded company) that sells Competing Products in the Restricted Territory; or (ii) work in the Restricted Territory (whether as an employee, independent contractor, consultant, or otherwise) for any person or entity that sells Competing Products, in any role: (y) that is similar to any position held with the Company during the twenty-four (24) months preceding the termination of the Participant’s employment, or (z) in which it would be beneficial for the Participant to use or rely upon Paylocity’s Confidential Information. The term “</w:t>
      </w:r>
      <w:r>
        <w:rPr>
          <w:rFonts w:ascii="Times New Roman" w:cs="Times New Roman" w:eastAsia="Times New Roman" w:hAnsi="Times New Roman"/>
          <w:sz w:val="20"/>
          <w:szCs w:val="20"/>
          <w:b w:val="1"/>
          <w:bCs w:val="1"/>
          <w:i w:val="1"/>
          <w:iCs w:val="1"/>
          <w:color w:val="auto"/>
        </w:rPr>
        <w:t>Competing Products</w:t>
      </w:r>
      <w:r>
        <w:rPr>
          <w:rFonts w:ascii="Times New Roman" w:cs="Times New Roman" w:eastAsia="Times New Roman" w:hAnsi="Times New Roman"/>
          <w:sz w:val="20"/>
          <w:szCs w:val="20"/>
          <w:color w:val="auto"/>
        </w:rPr>
        <w:t>” shall mean products or services sold by Paylocity, or any prospective product or service Paylocity took steps to develop, and for which the Participant had any responsibility during the twenty-four (24) months preceding the termination of the Participant’s employment, including, without limitation, any products or services related to software solutions for payroll, human capital management, human resources, benefits, time and labor, and talent management. The term “</w:t>
      </w:r>
      <w:r>
        <w:rPr>
          <w:rFonts w:ascii="Times New Roman" w:cs="Times New Roman" w:eastAsia="Times New Roman" w:hAnsi="Times New Roman"/>
          <w:sz w:val="20"/>
          <w:szCs w:val="20"/>
          <w:b w:val="1"/>
          <w:bCs w:val="1"/>
          <w:i w:val="1"/>
          <w:iCs w:val="1"/>
          <w:color w:val="auto"/>
        </w:rPr>
        <w:t>Restricted Territory</w:t>
      </w:r>
      <w:r>
        <w:rPr>
          <w:rFonts w:ascii="Times New Roman" w:cs="Times New Roman" w:eastAsia="Times New Roman" w:hAnsi="Times New Roman"/>
          <w:sz w:val="20"/>
          <w:szCs w:val="20"/>
          <w:color w:val="auto"/>
        </w:rPr>
        <w:t>” shall mean the geographic territory over which the Participant had responsibility during the twenty-four (24) months preceding the termination of the Participant’s employment.</w:t>
      </w:r>
    </w:p>
    <w:p>
      <w:pPr>
        <w:spacing w:after="0" w:line="200"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Acknowledgments. </w:t>
      </w:r>
      <w:r>
        <w:rPr>
          <w:rFonts w:ascii="Times New Roman" w:cs="Times New Roman" w:eastAsia="Times New Roman" w:hAnsi="Times New Roman"/>
          <w:sz w:val="20"/>
          <w:szCs w:val="20"/>
          <w:color w:val="auto"/>
        </w:rPr>
        <w:t>The Participant acknowledges that: (i) the covenants of this Section 7 are supported by sufficient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including access to Paylocity’s Legitimate Business Interests (defined below), and the Units awarded under this Agreement;</w:t>
      </w:r>
    </w:p>
    <w:p>
      <w:pPr>
        <w:jc w:val="both"/>
        <w:ind w:firstLine="8"/>
        <w:spacing w:after="0" w:line="233" w:lineRule="auto"/>
        <w:tabs>
          <w:tab w:leader="none" w:pos="30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Paylocity has invested substantial resources into the development, protection and retention of its Confidential Information, employees, customers, and business (collectively, “</w:t>
      </w:r>
      <w:r>
        <w:rPr>
          <w:rFonts w:ascii="Times New Roman" w:cs="Times New Roman" w:eastAsia="Times New Roman" w:hAnsi="Times New Roman"/>
          <w:sz w:val="20"/>
          <w:szCs w:val="20"/>
          <w:b w:val="1"/>
          <w:bCs w:val="1"/>
          <w:i w:val="1"/>
          <w:iCs w:val="1"/>
          <w:color w:val="auto"/>
        </w:rPr>
        <w:t>Legitimate Business Interests</w:t>
      </w:r>
      <w:r>
        <w:rPr>
          <w:rFonts w:ascii="Times New Roman" w:cs="Times New Roman" w:eastAsia="Times New Roman" w:hAnsi="Times New Roman"/>
          <w:sz w:val="20"/>
          <w:szCs w:val="20"/>
          <w:color w:val="auto"/>
        </w:rPr>
        <w:t>”); (iii) the Legitimate Business Interests have significant intrinsic value and are not readily achieved or duplicated; (iv) solely as a result of the Participant’s employment with Paylocity, the Participant has gained access to and familiarity with the Legitimate Business Interests; (v) the covenants of this Section 7 are therefore reasonable and necessary to protect the Legitimate Business Interests, and they are enforceable; and (vi) the provisions of this Section 7 do not restrain competition, limit the Participant’s ability to obtain employment of the Participant’s choosing or affect the Participant’s wages.</w:t>
      </w:r>
    </w:p>
    <w:p>
      <w:pPr>
        <w:spacing w:after="0" w:line="21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0"/>
          <w:szCs w:val="20"/>
          <w:b w:val="1"/>
          <w:bCs w:val="1"/>
          <w:color w:val="auto"/>
        </w:rPr>
        <w:t xml:space="preserve">Remedies and Relief. </w:t>
      </w:r>
      <w:r>
        <w:rPr>
          <w:rFonts w:ascii="Times New Roman" w:cs="Times New Roman" w:eastAsia="Times New Roman" w:hAnsi="Times New Roman"/>
          <w:sz w:val="20"/>
          <w:szCs w:val="20"/>
          <w:color w:val="auto"/>
        </w:rPr>
        <w:t>In the event of any breach by the Participant of the provisions of this Section 7: (i) the Company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right to require the Participant to deliver to the Company: (a) all Units granted to the Participant in the three (3) years preceding said breach; and (b) to the extent the Participant has disposed of any Units so granted or shares of Stock issued in settlement of such Units, the net proceeds from all such dispositions; and (ii) any unvested Units shall be immediately forfeited (collectively, the “</w:t>
      </w:r>
      <w:r>
        <w:rPr>
          <w:rFonts w:ascii="Times New Roman" w:cs="Times New Roman" w:eastAsia="Times New Roman" w:hAnsi="Times New Roman"/>
          <w:sz w:val="20"/>
          <w:szCs w:val="20"/>
          <w:b w:val="1"/>
          <w:bCs w:val="1"/>
          <w:i w:val="1"/>
          <w:iCs w:val="1"/>
          <w:color w:val="auto"/>
        </w:rPr>
        <w:t>Repayment Obligation</w:t>
      </w:r>
      <w:r>
        <w:rPr>
          <w:rFonts w:ascii="Times New Roman" w:cs="Times New Roman" w:eastAsia="Times New Roman" w:hAnsi="Times New Roman"/>
          <w:sz w:val="20"/>
          <w:szCs w:val="20"/>
          <w:color w:val="auto"/>
        </w:rPr>
        <w:t>”). The determination of whether the Participant has engaged in a breach of Section 7 shall be determined by the Committee in its sole discretion. Any repayment obligations under this Section 7 shall be effected by the Participant within thirty (30) days of receipt of the Company’s written demand for repayment. The Company may provide for an offset to any future payments owed by the Participating Company Group to the Participant, if necessary, to satisfy the Repayment Obligation. The Participant agrees to execute such documents as may be necessary to effect the repayment obligations referred to in this Section. Nothing in this Section 7 shall limit Paylocity from pursuing any other remedies otherwise available in law or in equity, including a temporary retaining order, a preliminary injunction, and a permanent injunction enjoining Participant’s breach or threatened breach of any of the provisions of this Agreement or from seeking enforcement of any other restrictions by which the Participant is bound under other agreements or applicable law.</w:t>
      </w:r>
    </w:p>
    <w:p>
      <w:pPr>
        <w:sectPr>
          <w:pgSz w:w="11900" w:h="16838" w:orient="portrait"/>
          <w:cols w:equalWidth="0" w:num="1">
            <w:col w:w="11240"/>
          </w:cols>
          <w:pgMar w:left="320" w:top="1413" w:right="339" w:bottom="1440" w:gutter="0" w:footer="0" w:header="0"/>
        </w:sectPr>
      </w:pPr>
    </w:p>
    <w:bookmarkStart w:id="53" w:name="page54"/>
    <w:bookmarkEnd w:id="53"/>
    <w:p>
      <w:pPr>
        <w:jc w:val="both"/>
        <w:ind w:firstLine="1296"/>
        <w:spacing w:after="0" w:line="236" w:lineRule="auto"/>
        <w:rPr>
          <w:sz w:val="20"/>
          <w:szCs w:val="20"/>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provision of this Agreement is held to be unenforceable, such provision will be distinct and severable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other provisions of this Agreement, and such unenforceability will not affect the validity and enforceability of the remaining provisions. If a court holds that the duration, scope, geographic range or any other restriction stated in any provision of this Agreement is unreasonable under circumstances then existing, the parties agree that the maximum duration, scope, geographic range or other restriction that the court deems reasonable under such circumstances will be substituted and that the court will have the power to revise any of those restrictions to cover the maximum period, scope, geographic range and/or other restriction permitted by law. It is the intent of the parties that the court, in establishing any such substitute restriction, recognize that the parties’ desire is that the stated restrictions upon which the parties have agreed be honored to the maximum lawful extent.</w:t>
      </w:r>
    </w:p>
    <w:p>
      <w:pPr>
        <w:spacing w:after="0" w:line="20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9"/>
          <w:szCs w:val="19"/>
          <w:b w:val="1"/>
          <w:bCs w:val="1"/>
          <w:color w:val="auto"/>
        </w:rPr>
        <w:t>Tolling</w:t>
      </w:r>
      <w:r>
        <w:rPr>
          <w:rFonts w:ascii="Times New Roman" w:cs="Times New Roman" w:eastAsia="Times New Roman" w:hAnsi="Times New Roman"/>
          <w:sz w:val="19"/>
          <w:szCs w:val="19"/>
          <w:color w:val="auto"/>
        </w:rPr>
        <w:t>. The restricted time periods in Section 7 shall be tolled during any time period that Participant is in violation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covenants, as determined by a court of competent jurisdiction, so that Paylocity may realize the full benefit of its bargain. This tolling shall include any time period during which litigation is pending, and during which Participant has continued to violate such protective covenants.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AUTHORIZATION TO RELEASE NECESSARY PERSONAL INFORMATION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The Participant hereby authorizes and directs the Participant’s employer to collect, use and transfer in electronic or other form, any personal information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regarding the Participant’s Service, the nature and amount of the Participant’s compensation and the fact and conditions of the Participant’s participation in the Plan (including, but not limited to, the Participant’s name, home address, telephone number, email address, date of birth, social security number (or any other social or national identification number), salary, nationality, job title, employment or Service location, number of Shares held and the details of all Units or any other entitlement to Shares awarded, cancelled, exercised, vested, unvested or outstanding in the Participant’s favor, any other information necessary to process tax withholding and reporting, and, where applicable, the Participant’s Service termination date and reason for termination, for the purpose of implementing, administering and managing the Participant’s participation in the Plan. The Participant understands that the Data may be transferred to the Company or any other Participating Company, or to any third parties assisting in the implementation, administration and management of the Plan, including any requisite transfer to a brokerage firm or other third party assisting with administration of the Award or with whom Shares acquired upon settlement of this Award or cash from the sale of such Shares may be deposited. The Participant acknowledges that recipients of the Data may be located in different countries, and those countries may have data privacy laws and protections different from those in the country of the Participant’s residence. Furthermore, the Participant acknowledges and understands that the transfer of the Data to the Company or any of other Participating Company, or to any third parties is necessary for Participant’s participation in the Plan. The Participant may at any time withdraw the consents herein, by contacting the Company’s share administration department in writing. The Participant further acknowledges that withdrawal of consent may affect the Participant’s ability to realize benefits from the Award, and the Participant’s ability to participate in the Plan. If the Participant is or becomes during the term of this Award a resident of the State of California, the Participant is hereby notified of the foregoing in accordance with the California Consumer Privacy Act.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b w:val="1"/>
          <w:bCs w:val="1"/>
          <w:i w:val="1"/>
          <w:iCs w:val="1"/>
          <w:color w:val="auto"/>
        </w:rPr>
        <w:t>.</w:t>
      </w:r>
    </w:p>
    <w:p>
      <w:pPr>
        <w:spacing w:after="0" w:line="26"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0"/>
          <w:szCs w:val="20"/>
          <w:color w:val="auto"/>
        </w:rPr>
        <w:t>In the event of a Change in Control, this Section 9 shall determine the treatment of the Units which have not otherwise become Vested Units.</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 xml:space="preserve">Effect of Change in Control Following End of Performance Period. </w:t>
      </w:r>
      <w:r>
        <w:rPr>
          <w:rFonts w:ascii="Times New Roman" w:cs="Times New Roman" w:eastAsia="Times New Roman" w:hAnsi="Times New Roman"/>
          <w:sz w:val="19"/>
          <w:szCs w:val="19"/>
          <w:color w:val="auto"/>
        </w:rPr>
        <w:t>In the event of a Change in Control upon or after the</w:t>
      </w:r>
    </w:p>
    <w:p>
      <w:pPr>
        <w:spacing w:after="0" w:line="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9"/>
          <w:szCs w:val="19"/>
          <w:color w:val="auto"/>
        </w:rPr>
        <w:t>end of the Performance Period but before the Vesting Date, the number of Earned Units shall, if not previously determined by the Committee in accordance with Section 3.1 and settled in accordance with Section 5, be determined by the Committee in accordance with Section 3.1,</w:t>
      </w:r>
    </w:p>
    <w:p>
      <w:pPr>
        <w:sectPr>
          <w:pgSz w:w="11900" w:h="16838" w:orient="portrait"/>
          <w:cols w:equalWidth="0" w:num="1">
            <w:col w:w="11240"/>
          </w:cols>
          <w:pgMar w:left="320" w:top="1409" w:right="339" w:bottom="1440" w:gutter="0" w:footer="0" w:header="0"/>
        </w:sectPr>
      </w:pPr>
    </w:p>
    <w:bookmarkStart w:id="54" w:name="page55"/>
    <w:bookmarkEnd w:id="54"/>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become Vested Units and be settled in accordance with Section 5 prior to the effective time of the Change in Control, provided that the Participant’s Service has not terminated prior to such effective time.</w:t>
      </w:r>
    </w:p>
    <w:p>
      <w:pPr>
        <w:spacing w:after="0" w:line="19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b w:val="1"/>
          <w:bCs w:val="1"/>
          <w:color w:val="auto"/>
        </w:rPr>
        <w:t>Effect of a Change in Control Prior to End of Performance Period</w:t>
      </w:r>
      <w:r>
        <w:rPr>
          <w:rFonts w:ascii="Times New Roman" w:cs="Times New Roman" w:eastAsia="Times New Roman" w:hAnsi="Times New Roman"/>
          <w:sz w:val="20"/>
          <w:szCs w:val="20"/>
          <w:color w:val="auto"/>
        </w:rPr>
        <w:t>. In the event of a Change in Control before the end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Performance Period, the Performance Period shall be deemed to end on the day immediately preceding the Change in Control (the “</w:t>
      </w:r>
      <w:r>
        <w:rPr>
          <w:rFonts w:ascii="Times New Roman" w:cs="Times New Roman" w:eastAsia="Times New Roman" w:hAnsi="Times New Roman"/>
          <w:sz w:val="20"/>
          <w:szCs w:val="20"/>
          <w:b w:val="1"/>
          <w:bCs w:val="1"/>
          <w:i w:val="1"/>
          <w:iCs w:val="1"/>
          <w:color w:val="auto"/>
        </w:rPr>
        <w:t>Adjusted Performance Period</w:t>
      </w:r>
      <w:r>
        <w:rPr>
          <w:rFonts w:ascii="Times New Roman" w:cs="Times New Roman" w:eastAsia="Times New Roman" w:hAnsi="Times New Roman"/>
          <w:sz w:val="20"/>
          <w:szCs w:val="20"/>
          <w:color w:val="auto"/>
        </w:rPr>
        <w:t>”), and the number of Earned Units and the vesting thereof shall be determined for the Adjusted Performance Period</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based on the applicable level of performance achieved through the last day of the Adjusted Performance Period..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Immediately following the Committee’s determination pursuant to this Section 9.2(a), all Units subject to the Award which are not Earned Units (the “</w:t>
      </w:r>
      <w:r>
        <w:rPr>
          <w:rFonts w:ascii="Times New Roman" w:cs="Times New Roman" w:eastAsia="Times New Roman" w:hAnsi="Times New Roman"/>
          <w:sz w:val="20"/>
          <w:szCs w:val="20"/>
          <w:b w:val="1"/>
          <w:bCs w:val="1"/>
          <w:i w:val="1"/>
          <w:iCs w:val="1"/>
          <w:color w:val="auto"/>
        </w:rPr>
        <w:t>Unearned Units</w:t>
      </w:r>
      <w:r>
        <w:rPr>
          <w:rFonts w:ascii="Times New Roman" w:cs="Times New Roman" w:eastAsia="Times New Roman" w:hAnsi="Times New Roman"/>
          <w:sz w:val="20"/>
          <w:szCs w:val="20"/>
          <w:color w:val="auto"/>
        </w:rPr>
        <w:t>”) shall terminate and the Award, to the extent of the Unearned Units, shall cease to be outstanding.</w:t>
      </w:r>
    </w:p>
    <w:p>
      <w:pPr>
        <w:spacing w:after="0" w:line="196" w:lineRule="exact"/>
        <w:rPr>
          <w:sz w:val="20"/>
          <w:szCs w:val="20"/>
          <w:color w:val="auto"/>
        </w:rPr>
      </w:pPr>
    </w:p>
    <w:p>
      <w:pPr>
        <w:jc w:val="both"/>
        <w:ind w:firstLine="1944"/>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Vested Units. </w:t>
      </w:r>
      <w:r>
        <w:rPr>
          <w:rFonts w:ascii="Times New Roman" w:cs="Times New Roman" w:eastAsia="Times New Roman" w:hAnsi="Times New Roman"/>
          <w:sz w:val="20"/>
          <w:szCs w:val="20"/>
          <w:color w:val="auto"/>
        </w:rPr>
        <w:t>As of the last day of the Adjusted Performance Period and provided that the Participant’s Service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terminated prior to such date, all of the Earned Units determined in accordance with Section 9.2(a) shall become Vested Units (the “</w:t>
      </w:r>
      <w:r>
        <w:rPr>
          <w:rFonts w:ascii="Times New Roman" w:cs="Times New Roman" w:eastAsia="Times New Roman" w:hAnsi="Times New Roman"/>
          <w:sz w:val="20"/>
          <w:szCs w:val="20"/>
          <w:b w:val="1"/>
          <w:bCs w:val="1"/>
          <w:i w:val="1"/>
          <w:iCs w:val="1"/>
          <w:color w:val="auto"/>
        </w:rPr>
        <w:t>Accelerated Units</w:t>
      </w:r>
      <w:r>
        <w:rPr>
          <w:rFonts w:ascii="Times New Roman" w:cs="Times New Roman" w:eastAsia="Times New Roman" w:hAnsi="Times New Roman"/>
          <w:sz w:val="20"/>
          <w:szCs w:val="20"/>
          <w:color w:val="auto"/>
        </w:rPr>
        <w:t>”). The Accelerated Units shall be settled in accordance Section 5 immediately prior to the effective time of the Change in Control.</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The number of Units awarded pursuant to this Agreement is subject to adjustment as provided in Section 4.3 of the Plan. Upon the occurrence of an event described in Section 4.3 of the Plan, any and all new, substituted or additional securities or other property to which a holder of a Share issuable in settlement of the Award would be entitled shall be immediately subject to the Agreement and included within the meaning of the term “Shares” for all purposes of the Award. The Participant shall be notified of such adjustments and such adjustments shall be binding upon the Company and the Participant.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NO ENTITLEMENT OR CLAIMS FOR COMPENSATION OR EMPLOYMENT</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color w:val="auto"/>
        </w:rPr>
        <w:t>The Participant’s rights, if any, in respect of or in connection with the Units are derived solely from the discretionary decision of the Company to permit the Participant to participate in the Plan and to benefit from a discretionary Award. By accepting the Units, the Participant expressly acknowledges that there is no obligation on the part of the Company to continue the Plan and/or grant any additional Units or other Awards to the Participant. The Units are not intended to be compensation of a continuing or recurring nature, or part of the Participant’s normal or expected compensation, and in no way represents any portion of the Participant’s salary, compensation, or other remuneration for purposes of pension benefits, severance, redundancy, resignation or any other purpose.</w:t>
      </w:r>
    </w:p>
    <w:p>
      <w:pPr>
        <w:spacing w:after="0" w:line="205"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Neither the Plan nor the Units shall be deemed to give the Participant a right to remain an Employee, Director or Consultant of the Company or any other Participating Company. The Participating Company Group reserves the right to terminate the Service of the Participant at any time, with or without cause, and for any reason, subject to applicable laws, the Company’s Certificate of Incorporation and Bylaws and a written employment agreement (if any), and the Participant shall be deemed irrevocably to have waived any claim to damages or specific performance for breach of contract or dismissal, compensation for loss of office, tort or otherwise with respect to the Plan, the Units or any other outstanding Award that is forfeited and/or is terminated by its terms or to any future Award.</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RIGHTS AS A STOCKHOLDER</w:t>
      </w:r>
      <w:r>
        <w:rPr>
          <w:rFonts w:ascii="Times New Roman" w:cs="Times New Roman" w:eastAsia="Times New Roman" w:hAnsi="Times New Roman"/>
          <w:sz w:val="20"/>
          <w:szCs w:val="20"/>
          <w:b w:val="1"/>
          <w:bCs w:val="1"/>
          <w:color w:val="auto"/>
        </w:rPr>
        <w:t>.</w:t>
      </w:r>
    </w:p>
    <w:p>
      <w:pPr>
        <w:sectPr>
          <w:pgSz w:w="11900" w:h="16838" w:orient="portrait"/>
          <w:cols w:equalWidth="0" w:num="1">
            <w:col w:w="11240"/>
          </w:cols>
          <w:pgMar w:left="320" w:top="1413" w:right="339" w:bottom="1440" w:gutter="0" w:footer="0" w:header="0"/>
        </w:sectPr>
      </w:pPr>
    </w:p>
    <w:bookmarkStart w:id="55" w:name="page56"/>
    <w:bookmarkEnd w:id="55"/>
    <w:p>
      <w:pPr>
        <w:jc w:val="both"/>
        <w:ind w:firstLine="1296"/>
        <w:spacing w:after="0" w:line="239" w:lineRule="auto"/>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that may be issued in settlement of this Award until the date of the issuance of a certificate for such Shares (as evidenced by the appropriate entry on the books of the Company or of a duly authorized transfer agent of the Company). No adjustment shall be made for dividends, dividend equivalents, distributions or other rights for which the record date is prior to the date such certificate is issued, except as provided in Section 10.</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REPAYMENT/FORFEITURE.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benefits a Participant may receive pursuant to this Award shall be subject to repayment or forfeiture as required to comply with</w:t>
      </w:r>
    </w:p>
    <w:p>
      <w:pPr>
        <w:spacing w:after="0" w:line="33" w:lineRule="exact"/>
        <w:rPr>
          <w:sz w:val="20"/>
          <w:szCs w:val="20"/>
          <w:color w:val="auto"/>
        </w:rPr>
      </w:pPr>
    </w:p>
    <w:p>
      <w:pPr>
        <w:ind w:right="40" w:firstLine="8"/>
        <w:spacing w:after="0" w:line="233" w:lineRule="auto"/>
        <w:tabs>
          <w:tab w:leader="none" w:pos="26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Paylocity Holding Corporation Policy for Recovery of Erroneously Awarded Incentive Compensation, or (d) any other repayment or forfeiture policies adopted by the Company, each to the extent determined by the Company in its discretion to be applicable to Participant.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b w:val="1"/>
          <w:bCs w:val="1"/>
          <w:color w:val="auto"/>
        </w:rPr>
        <w:t xml:space="preserve">Administration. </w:t>
      </w:r>
      <w:r>
        <w:rPr>
          <w:rFonts w:ascii="Times New Roman" w:cs="Times New Roman" w:eastAsia="Times New Roman" w:hAnsi="Times New Roman"/>
          <w:sz w:val="20"/>
          <w:szCs w:val="20"/>
          <w:color w:val="auto"/>
        </w:rPr>
        <w:t>The Committee shall have the power to interpret the Plan and this Agreement and to adopt such rules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administration, interpretation and application of the Plan as are consistent therewith and to interpret, amend or revoke any such rules. All actions taken and all interpretations and determinations made by the Committee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Units.</w:t>
      </w:r>
    </w:p>
    <w:p>
      <w:pPr>
        <w:spacing w:after="0" w:line="21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Amendment. </w:t>
      </w:r>
      <w:r>
        <w:rPr>
          <w:rFonts w:ascii="Times New Roman" w:cs="Times New Roman" w:eastAsia="Times New Roman" w:hAnsi="Times New Roman"/>
          <w:sz w:val="20"/>
          <w:szCs w:val="20"/>
          <w:color w:val="auto"/>
        </w:rPr>
        <w:t>The Committee may amend this Agreement at any time; provided, however, that no such amendment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adversely affect the Participant’s rights under this Agreement without the consent of the Participant, except to the extent such amendment is necessary to comply with applicable law, including, but not limited to, Code Section 409A. No amendment or addition to this Agreement shall be effective unless in writing.</w:t>
      </w:r>
    </w:p>
    <w:p>
      <w:pPr>
        <w:spacing w:after="0" w:line="19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b w:val="1"/>
          <w:bCs w:val="1"/>
          <w:color w:val="auto"/>
        </w:rPr>
        <w:t xml:space="preserve">Nontransferability of the Award. </w:t>
      </w:r>
      <w:r>
        <w:rPr>
          <w:rFonts w:ascii="Times New Roman" w:cs="Times New Roman" w:eastAsia="Times New Roman" w:hAnsi="Times New Roman"/>
          <w:sz w:val="20"/>
          <w:szCs w:val="20"/>
          <w:color w:val="auto"/>
        </w:rPr>
        <w:t>Prior to the issuance of Shares on the applicable Settlement Date, no right or interest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in the Award nor any Shares issuable on settlement of the Award shall be in any manner pledged, encumbered, or hypothecated to or in favor of any party other than the Company or shall become subject to any lien, obligation, or liability of such Participant to any other party other than the Company. Except as otherwise provided by the Committee, the Award shall not be assigned, transferred or otherwise disposed of other than by will or the laws of descent and distribution. All rights with respect to the Award shall be exercisable during the Participant’s lifetime only by the Participant or the Participant’s guardian or legal representative.</w:t>
      </w:r>
    </w:p>
    <w:p>
      <w:pPr>
        <w:spacing w:after="0" w:line="211"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Further Instruments. </w:t>
      </w:r>
      <w:r>
        <w:rPr>
          <w:rFonts w:ascii="Times New Roman" w:cs="Times New Roman" w:eastAsia="Times New Roman" w:hAnsi="Times New Roman"/>
          <w:sz w:val="20"/>
          <w:szCs w:val="20"/>
          <w:color w:val="auto"/>
        </w:rPr>
        <w:t>The parties hereto agree to execute such further instruments and to take such further action as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be necessary to carry out the intent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Section 409A.</w:t>
      </w:r>
    </w:p>
    <w:p>
      <w:pPr>
        <w:spacing w:after="0" w:line="229" w:lineRule="exact"/>
        <w:rPr>
          <w:sz w:val="20"/>
          <w:szCs w:val="20"/>
          <w:color w:val="auto"/>
        </w:rPr>
      </w:pPr>
    </w:p>
    <w:p>
      <w:pPr>
        <w:jc w:val="both"/>
        <w:ind w:firstLine="194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the Plan, this Agreement or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the Plan, this Agreement and the Grant Notice shall be interpreted in</w:t>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accordance with, and incorporate the terms and conditions required by, Code Section 409A (together with any Department of Treasury regulations and other interpretive guidance issued thereunder, including without limitation any such regulations or other guidance that may be issued after the date hereof). The vesting and settlement of Units awarded pursuant to this Agreement are intended to qualify for the “short-term deferral” exemption from Code Section 409A. The Company reserves the right, to the extent the Company deems necessary or advisable in its sole discretion, to unilaterally amend or modify the Plan and/or this Agreement to ensure that the Units qualify for exemption from or comply with Code Section 409A;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makes no representations that the Units will be exempt from Code Section 409A and makes no undertaking to preclude Code Section 409A from applying to the Units.</w:t>
      </w:r>
    </w:p>
    <w:p>
      <w:pPr>
        <w:spacing w:after="0" w:line="202" w:lineRule="exact"/>
        <w:rPr>
          <w:sz w:val="20"/>
          <w:szCs w:val="20"/>
          <w:color w:val="auto"/>
        </w:rPr>
      </w:pPr>
    </w:p>
    <w:p>
      <w:pPr>
        <w:jc w:val="both"/>
        <w:ind w:firstLine="1944"/>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Separation from Service; Required Delay in Payment to Specified Employee. </w:t>
      </w:r>
      <w:r>
        <w:rPr>
          <w:rFonts w:ascii="Times New Roman" w:cs="Times New Roman" w:eastAsia="Times New Roman" w:hAnsi="Times New Roman"/>
          <w:sz w:val="20"/>
          <w:szCs w:val="20"/>
          <w:color w:val="auto"/>
        </w:rPr>
        <w:t>Notwithstanding anything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herein to the contrary, no amount payable pursuant to this Agreement on account of the Participant’s termination of Service which constitutes a “deferral of compensation” within the meaning of Code Section 409A shall be paid unless and until the Participant has incurred a “separation from service” within the meaning of Code Section 409A. Furthermore, to the extent that the Participant is a “specified employee” within the meaning of Code Section 409A as of the date of the Participant’s separation from service, no amount that constitutes a deferral of compensation which is payable on account of the Participant’s separation from service shall paid to the Participant before the date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the first day of the seventh month after the date of the Participant’s separation from service or, if earlier,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date of the Participant’s death following such separation from service. All such amounts that would, but for this Section, become payable prior to the Delayed Payment Date will be accumulated and paid on the Delayed Payment Date.</w:t>
      </w:r>
    </w:p>
    <w:p>
      <w:pPr>
        <w:spacing w:after="0" w:line="21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b w:val="1"/>
          <w:bCs w:val="1"/>
          <w:color w:val="auto"/>
        </w:rPr>
        <w:t xml:space="preserve">Delivery of Documents and Notices. </w:t>
      </w:r>
      <w:r>
        <w:rPr>
          <w:rFonts w:ascii="Times New Roman" w:cs="Times New Roman" w:eastAsia="Times New Roman" w:hAnsi="Times New Roman"/>
          <w:sz w:val="20"/>
          <w:szCs w:val="20"/>
          <w:color w:val="auto"/>
        </w:rPr>
        <w:t>Any document relating to participation in the Plan or any notice required or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8" w:lineRule="exact"/>
        <w:rPr>
          <w:sz w:val="20"/>
          <w:szCs w:val="20"/>
          <w:color w:val="auto"/>
        </w:rPr>
      </w:pPr>
    </w:p>
    <w:p>
      <w:pPr>
        <w:jc w:val="both"/>
        <w:ind w:firstLine="1944"/>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Description of Electronic Delivery. </w:t>
      </w:r>
      <w:r>
        <w:rPr>
          <w:rFonts w:ascii="Times New Roman" w:cs="Times New Roman" w:eastAsia="Times New Roman" w:hAnsi="Times New Roman"/>
          <w:sz w:val="20"/>
          <w:szCs w:val="20"/>
          <w:color w:val="auto"/>
        </w:rPr>
        <w:t>The Plan documents, which may include but do not necessarily include: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99"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Consent to Electronic Delivery. </w:t>
      </w:r>
      <w:r>
        <w:rPr>
          <w:rFonts w:ascii="Times New Roman" w:cs="Times New Roman" w:eastAsia="Times New Roman" w:hAnsi="Times New Roman"/>
          <w:sz w:val="20"/>
          <w:szCs w:val="20"/>
          <w:color w:val="auto"/>
        </w:rPr>
        <w:t>The Participant acknowledges that the Participant has read Section 14.6(a) of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and consents to the electronic delivery of the Plan documents and, if permitted by the Company, the delivery of the Grant Notice, as described in Section 14.6(a).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14.6(a) or may</w:t>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9"/>
          <w:szCs w:val="19"/>
          <w:color w:val="auto"/>
        </w:rPr>
        <w:t>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14.6(a).</w:t>
      </w:r>
    </w:p>
    <w:p>
      <w:pPr>
        <w:spacing w:after="0" w:line="174"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b w:val="1"/>
          <w:bCs w:val="1"/>
          <w:color w:val="auto"/>
        </w:rPr>
        <w:t xml:space="preserve">Construction of Agreement. </w:t>
      </w:r>
      <w:r>
        <w:rPr>
          <w:rFonts w:ascii="Times New Roman" w:cs="Times New Roman" w:eastAsia="Times New Roman" w:hAnsi="Times New Roman"/>
          <w:sz w:val="20"/>
          <w:szCs w:val="20"/>
          <w:color w:val="auto"/>
        </w:rPr>
        <w:t>The Grant Notice, this Agreement, and the Units evidenced hereby (i) are made and granted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Plan and are in all respects limited by and subject to the terms of the Plan, and (ii) constitute the entire agreement between the Participant and the Company on the subject matter hereof and supersede all proposals, written or oral, and all other communications between the parties related to the subject matter. All decisions of the Committee with respect to any question or issue arising under the Grant Notice, this Agreement or the Plan shall be conclusive and binding on all persons having an interest in the Units.</w:t>
      </w:r>
    </w:p>
    <w:p>
      <w:pPr>
        <w:spacing w:after="0" w:line="20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Binding Effect. </w:t>
      </w:r>
      <w:r>
        <w:rPr>
          <w:rFonts w:ascii="Times New Roman" w:cs="Times New Roman" w:eastAsia="Times New Roman" w:hAnsi="Times New Roman"/>
          <w:sz w:val="20"/>
          <w:szCs w:val="20"/>
          <w:color w:val="auto"/>
        </w:rPr>
        <w:t>This Agreement shall inure to the benefit of the successors and assigns of the Company and,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on transfer set forth herein, be binding upon the Participant and the Participant’s heirs, executors, administrators, successors and assigns.</w:t>
      </w:r>
    </w:p>
    <w:p>
      <w:pPr>
        <w:spacing w:after="0" w:line="202"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provision of this Agreement is held to be unenforceable for any reason, it shall be adjusted rather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voided, if possible, in order to achieve the intent of the parties to the extent possible. In any event, all other provisions of this Agreement shall be deemed valid and enforceable to the full extent possible.</w:t>
      </w:r>
    </w:p>
    <w:p>
      <w:pPr>
        <w:spacing w:after="0" w:line="209"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Applicable Law; Forum Selection. </w:t>
      </w:r>
      <w:r>
        <w:rPr>
          <w:rFonts w:ascii="Times New Roman" w:cs="Times New Roman" w:eastAsia="Times New Roman" w:hAnsi="Times New Roman"/>
          <w:sz w:val="20"/>
          <w:szCs w:val="20"/>
          <w:color w:val="auto"/>
        </w:rPr>
        <w:t>This Agreement shall be governed by the laws of the State of Illinois as such laws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applied to agreements between Illinois residents entered into and to be performed entirely within the State of Illinois, without regard to conflict-of-law rules. The parties agree that any suit, action, or other legal proceeding arising out of or relating to this Agreement will be brought exclusively in a court of competent jurisdiction located within Illinois and will not be commenced or maintained in any other court. The parties agree and consent to Illinois as the exclusive jurisdiction and venue of any such suit, action or proceeding. The parties agree and consent to service by mail of any paper initiating any suit, action, or proceeding at the address set forth herein. The Participant agrees to update the Participant’s address with the Company as soon as possible after a change in address occurs and acknowledges that it is the Participant’s responsibility to ensure that the Company has the Participant’s correct address on file. The Participant waives any objection to service by mail where the Company addresses service to the most recent address provided by the Participant.</w:t>
      </w:r>
    </w:p>
    <w:p>
      <w:pPr>
        <w:spacing w:after="0" w:line="21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The Grant Notice may be executed in counterparts, each of which shall be deemed an original, but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together shall constitute one and the same instrument.</w:t>
      </w:r>
    </w:p>
    <w:p>
      <w:pPr>
        <w:sectPr>
          <w:pgSz w:w="11900" w:h="16838" w:orient="portrait"/>
          <w:cols w:equalWidth="0" w:num="1">
            <w:col w:w="11240"/>
          </w:cols>
          <w:pgMar w:left="320" w:top="1413" w:right="339" w:bottom="1440" w:gutter="0" w:footer="0" w:header="0"/>
        </w:sectPr>
      </w:pPr>
    </w:p>
    <w:bookmarkStart w:id="58" w:name="page59"/>
    <w:bookmarkEnd w:id="58"/>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ind w:left="3740"/>
        <w:spacing w:after="0" w:line="205" w:lineRule="auto"/>
        <w:rPr>
          <w:sz w:val="20"/>
          <w:szCs w:val="20"/>
          <w:color w:val="auto"/>
        </w:rPr>
      </w:pPr>
      <w:r>
        <w:rPr>
          <w:rFonts w:ascii="Times New Roman" w:cs="Times New Roman" w:eastAsia="Times New Roman" w:hAnsi="Times New Roman"/>
          <w:sz w:val="25"/>
          <w:szCs w:val="25"/>
          <w:b w:val="1"/>
          <w:bCs w:val="1"/>
          <w:color w:val="auto"/>
        </w:rPr>
        <w:t>PERFORMANCE STOCK UNITS</w:t>
      </w:r>
    </w:p>
    <w:p>
      <w:pPr>
        <w:jc w:val="center"/>
        <w:spacing w:after="0" w:line="220" w:lineRule="auto"/>
        <w:rPr>
          <w:sz w:val="20"/>
          <w:szCs w:val="20"/>
          <w:color w:val="auto"/>
        </w:rPr>
      </w:pPr>
      <w:r>
        <w:rPr>
          <w:rFonts w:ascii="Times New Roman" w:cs="Times New Roman" w:eastAsia="Times New Roman" w:hAnsi="Times New Roman"/>
          <w:sz w:val="25"/>
          <w:szCs w:val="25"/>
          <w:b w:val="1"/>
          <w:bCs w:val="1"/>
          <w:color w:val="auto"/>
        </w:rPr>
        <w:t>NOTICE OF GRANT AND AWARD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U.S. Participants/Contains a Non-Competition Covenant)</w:t>
      </w:r>
    </w:p>
    <w:p>
      <w:pPr>
        <w:spacing w:after="0" w:line="200" w:lineRule="exact"/>
        <w:rPr>
          <w:sz w:val="20"/>
          <w:szCs w:val="20"/>
          <w:color w:val="auto"/>
        </w:rPr>
      </w:pPr>
    </w:p>
    <w:p>
      <w:pPr>
        <w:spacing w:after="0" w:line="20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Paylocity Holding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2023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this Notice of Grant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the attached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hereby grants to the holder listed below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an</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award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of Market Stock Units (each a “</w:t>
      </w:r>
      <w:r>
        <w:rPr>
          <w:rFonts w:ascii="Times New Roman" w:cs="Times New Roman" w:eastAsia="Times New Roman" w:hAnsi="Times New Roman"/>
          <w:sz w:val="20"/>
          <w:szCs w:val="20"/>
          <w:b w:val="1"/>
          <w:bCs w:val="1"/>
          <w:i w:val="1"/>
          <w:iCs w:val="1"/>
          <w:color w:val="auto"/>
        </w:rPr>
        <w:t>Unit</w:t>
      </w:r>
      <w:r>
        <w:rPr>
          <w:rFonts w:ascii="Times New Roman" w:cs="Times New Roman" w:eastAsia="Times New Roman" w:hAnsi="Times New Roman"/>
          <w:sz w:val="20"/>
          <w:szCs w:val="20"/>
          <w:color w:val="auto"/>
        </w:rPr>
        <w:t>”), each of which represents the right to receive on the applicable Settlement Date one (1) share of Stock (each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as follows:</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-140335</wp:posOffset>
            </wp:positionV>
            <wp:extent cx="43459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47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Units:</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__________ subject to adjustment as provided by the Agreement.</w:t>
            </w:r>
          </w:p>
        </w:tc>
        <w:tc>
          <w:tcPr>
            <w:tcW w:w="0" w:type="dxa"/>
            <w:vAlign w:val="bottom"/>
          </w:tcPr>
          <w:p>
            <w:pPr>
              <w:spacing w:after="0"/>
              <w:rPr>
                <w:sz w:val="1"/>
                <w:szCs w:val="1"/>
                <w:color w:val="auto"/>
              </w:rPr>
            </w:pPr>
          </w:p>
        </w:tc>
      </w:tr>
      <w:tr>
        <w:trPr>
          <w:trHeight w:val="207"/>
        </w:trPr>
        <w:tc>
          <w:tcPr>
            <w:tcW w:w="30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Maximum Number of Units:</w:t>
            </w:r>
          </w:p>
        </w:tc>
        <w:tc>
          <w:tcPr>
            <w:tcW w:w="68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[___]% of the Target Number of Units, subject to adjustment as provided by the</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253"/>
        </w:trPr>
        <w:tc>
          <w:tcPr>
            <w:tcW w:w="3080" w:type="dxa"/>
            <w:vAlign w:val="bottom"/>
            <w:vMerge w:val="continue"/>
          </w:tcPr>
          <w:p>
            <w:pPr>
              <w:spacing w:after="0"/>
              <w:rPr>
                <w:sz w:val="21"/>
                <w:szCs w:val="21"/>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___-year period beginning on _____ and ending on _____.</w:t>
            </w: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Performance Measures:</w:t>
            </w:r>
          </w:p>
        </w:tc>
        <w:tc>
          <w:tcPr>
            <w:tcW w:w="68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0"/>
                <w:szCs w:val="20"/>
                <w:color w:val="auto"/>
              </w:rPr>
              <w:t>As defined in Appendix A.</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1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080" w:type="dxa"/>
            <w:vAlign w:val="bottom"/>
            <w:vMerge w:val="continue"/>
          </w:tcPr>
          <w:p>
            <w:pPr>
              <w:spacing w:after="0"/>
              <w:rPr>
                <w:sz w:val="24"/>
                <w:szCs w:val="24"/>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Except as otherwise provided by the Agreement, the Vesting Date with respect to</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Award shall be as follows (each a “Vesting Date”):</w:t>
            </w:r>
          </w:p>
        </w:tc>
        <w:tc>
          <w:tcPr>
            <w:tcW w:w="0" w:type="dxa"/>
            <w:vAlign w:val="bottom"/>
          </w:tcPr>
          <w:p>
            <w:pPr>
              <w:spacing w:after="0"/>
              <w:rPr>
                <w:sz w:val="1"/>
                <w:szCs w:val="1"/>
                <w:color w:val="auto"/>
              </w:rPr>
            </w:pPr>
          </w:p>
        </w:tc>
      </w:tr>
      <w:tr>
        <w:trPr>
          <w:trHeight w:val="322"/>
        </w:trPr>
        <w:tc>
          <w:tcPr>
            <w:tcW w:w="3080" w:type="dxa"/>
            <w:vAlign w:val="bottom"/>
          </w:tcPr>
          <w:p>
            <w:pPr>
              <w:spacing w:after="0"/>
              <w:rPr>
                <w:sz w:val="24"/>
                <w:szCs w:val="24"/>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Vesting Date with respect to [___]% of the Earned Units shall be the day</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w w:val="99"/>
              </w:rPr>
              <w:t>following the end of the Performance Period on which the Committee determines the</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rPr>
              <w:t>extent to which the Performance Measure has been achieved, but in any event no</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later than 15th day of the third month following the end of the Performance Period.</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The Vesting Date with respect to [___]% of the Earned Units is [___]</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 Vesting Date with respect to [___]% of the Earned Units is [___]</w:t>
            </w:r>
          </w:p>
        </w:tc>
        <w:tc>
          <w:tcPr>
            <w:tcW w:w="0" w:type="dxa"/>
            <w:vAlign w:val="bottom"/>
          </w:tcPr>
          <w:p>
            <w:pPr>
              <w:spacing w:after="0"/>
              <w:rPr>
                <w:sz w:val="1"/>
                <w:szCs w:val="1"/>
                <w:color w:val="auto"/>
              </w:rPr>
            </w:pPr>
          </w:p>
        </w:tc>
      </w:tr>
      <w:tr>
        <w:trPr>
          <w:trHeight w:val="434"/>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Vested Units:</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Provided that the Participant’s Service has not terminated prior to the Vesting Date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(except as otherwise provided by the Agreement), the Earned Units, if any, shall</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Settlement Date:</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become Vested Units on the Vesting Date.</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For each Vested Unit, except as otherwise provided by the Agreement, the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Settlement Date shall be its applicable Vesting Date or as soon thereafter as</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practicable, but in any event no later than the 15th day of the third calendar month</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rPr>
              <w:t>following the end of the Applicable Year in which such Vesting Date occurs. For</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this purpose, “Applicable Year” means the calendar year or the Company’s fiscal</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year, whichever year ends later.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their signatures below or by electronic acceptance or authentication in a form authorized by the Company, the Company and the</w:t>
      </w:r>
    </w:p>
    <w:p>
      <w:pPr>
        <w:spacing w:after="0" w:line="221" w:lineRule="auto"/>
        <w:rPr>
          <w:sz w:val="20"/>
          <w:szCs w:val="20"/>
          <w:color w:val="auto"/>
        </w:rPr>
      </w:pPr>
      <w:r>
        <w:rPr>
          <w:rFonts w:ascii="Times New Roman" w:cs="Times New Roman" w:eastAsia="Times New Roman" w:hAnsi="Times New Roman"/>
          <w:sz w:val="20"/>
          <w:szCs w:val="20"/>
          <w:color w:val="auto"/>
        </w:rPr>
        <w:t>Participant agree that the Award is governed by this Grant Notice and by the provisions of the Plan and the Agreement, both of which are made part of this document. The Participant acknowledges that copies of the Plan, the Agreement and the prospectus for the Plan are</w:t>
      </w:r>
    </w:p>
    <w:p>
      <w:pPr>
        <w:sectPr>
          <w:pgSz w:w="11900" w:h="16838" w:orient="portrait"/>
          <w:cols w:equalWidth="0" w:num="1">
            <w:col w:w="11240"/>
          </w:cols>
          <w:pgMar w:left="320" w:top="34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available on the Company’s internal web site and may be viewed and printed by the Participant for attachment to the Participant’s copy of</w:t>
      </w:r>
    </w:p>
    <w:p>
      <w:pPr>
        <w:ind w:right="20"/>
        <w:spacing w:after="0" w:line="221" w:lineRule="auto"/>
        <w:rPr>
          <w:sz w:val="20"/>
          <w:szCs w:val="20"/>
          <w:color w:val="auto"/>
        </w:rPr>
      </w:pPr>
      <w:r>
        <w:rPr>
          <w:rFonts w:ascii="Times New Roman" w:cs="Times New Roman" w:eastAsia="Times New Roman" w:hAnsi="Times New Roman"/>
          <w:sz w:val="20"/>
          <w:szCs w:val="20"/>
          <w:color w:val="auto"/>
        </w:rPr>
        <w:t>this Grant Notice. The Participant represents that the Participant has read and is familiar with the provisions of the Plan and the Agreement, and hereby accepts the Award subject to all of their terms and conditions.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0" w:type="dxa"/>
            <w:vAlign w:val="bottom"/>
          </w:tcPr>
          <w:p>
            <w:pPr>
              <w:spacing w:after="0"/>
              <w:rPr>
                <w:sz w:val="1"/>
                <w:szCs w:val="1"/>
                <w:color w:val="auto"/>
              </w:rPr>
            </w:pPr>
          </w:p>
        </w:tc>
      </w:tr>
      <w:tr>
        <w:trPr>
          <w:trHeight w:val="439"/>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Toby Williams</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7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Name: Toby Williams</w:t>
            </w: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20" w:type="dxa"/>
            <w:vAlign w:val="bottom"/>
            <w:gridSpan w:val="4"/>
            <w:vMerge w:val="continue"/>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Signature</w:t>
            </w:r>
          </w:p>
        </w:tc>
        <w:tc>
          <w:tcPr>
            <w:tcW w:w="0" w:type="dxa"/>
            <w:vAlign w:val="bottom"/>
          </w:tcPr>
          <w:p>
            <w:pPr>
              <w:spacing w:after="0"/>
              <w:rPr>
                <w:sz w:val="1"/>
                <w:szCs w:val="1"/>
                <w:color w:val="auto"/>
              </w:rPr>
            </w:pPr>
          </w:p>
        </w:tc>
      </w:t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5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4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1400 American Lane</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191"/>
        </w:trPr>
        <w:tc>
          <w:tcPr>
            <w:tcW w:w="1060" w:type="dxa"/>
            <w:vAlign w:val="bottom"/>
            <w:gridSpan w:val="2"/>
            <w:vMerge w:val="continue"/>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Schaumburg, Illinois, 60173</w:t>
            </w:r>
          </w:p>
        </w:tc>
        <w:tc>
          <w:tcPr>
            <w:tcW w:w="5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wp:posOffset>
            </wp:positionV>
            <wp:extent cx="3488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167640</wp:posOffset>
            </wp:positionV>
            <wp:extent cx="3488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60" w:name="page61"/>
    <w:bookmarkEnd w:id="60"/>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Measure and Performance Multiplier</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Applicable to Performance Stock Unit Award Granted on</w:t>
      </w:r>
    </w:p>
    <w:p>
      <w:pPr>
        <w:ind w:left="5120"/>
        <w:spacing w:after="0"/>
        <w:rPr>
          <w:sz w:val="20"/>
          <w:szCs w:val="20"/>
          <w:color w:val="auto"/>
        </w:rPr>
      </w:pPr>
      <w:r>
        <w:rPr>
          <w:rFonts w:ascii="Times New Roman" w:cs="Times New Roman" w:eastAsia="Times New Roman" w:hAnsi="Times New Roman"/>
          <w:sz w:val="20"/>
          <w:szCs w:val="20"/>
          <w:b w:val="1"/>
          <w:bCs w:val="1"/>
          <w:color w:val="auto"/>
        </w:rPr>
        <w:t>[_________]</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number of Units which are eligible to become Earned Units will be determined as follows:</w:t>
      </w:r>
    </w:p>
    <w:p>
      <w:pPr>
        <w:spacing w:after="0" w:line="225" w:lineRule="exact"/>
        <w:rPr>
          <w:sz w:val="20"/>
          <w:szCs w:val="20"/>
          <w:color w:val="auto"/>
        </w:rPr>
      </w:pPr>
    </w:p>
    <w:p>
      <w:pPr>
        <w:jc w:val="both"/>
        <w:ind w:left="660" w:hanging="4"/>
        <w:spacing w:after="0" w:line="239" w:lineRule="auto"/>
        <w:tabs>
          <w:tab w:leader="none" w:pos="130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“Earned Units” </w:t>
      </w:r>
      <w:r>
        <w:rPr>
          <w:rFonts w:ascii="Times New Roman" w:cs="Times New Roman" w:eastAsia="Times New Roman" w:hAnsi="Times New Roman"/>
          <w:sz w:val="20"/>
          <w:szCs w:val="20"/>
          <w:color w:val="auto"/>
        </w:rPr>
        <w:t>means the number of Units (rounded up to the nearest whole Unit), if any (not to exceed the Maximum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Number of Units) shall be equal to the product of (i) the Target Number of Units multiplied by (ii) the Performance Multiplier. If the Threshold Goal is not attained during the Performance Period, no Units are eligible to become Earned Units or Vested Units.</w:t>
      </w:r>
    </w:p>
    <w:p>
      <w:pPr>
        <w:jc w:val="both"/>
        <w:ind w:left="660" w:hanging="4"/>
        <w:spacing w:after="0" w:line="237" w:lineRule="auto"/>
        <w:tabs>
          <w:tab w:leader="none" w:pos="130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Recurring and Other Revenue</w:t>
      </w:r>
      <w:r>
        <w:rPr>
          <w:rFonts w:ascii="Times New Roman" w:cs="Times New Roman" w:eastAsia="Times New Roman" w:hAnsi="Times New Roman"/>
          <w:sz w:val="20"/>
          <w:szCs w:val="20"/>
          <w:color w:val="auto"/>
        </w:rPr>
        <w:t>” means Company revenues determined in accordance with generally accepted accounting principles in the United States (“GAAP”), and shall be adjusted to exclude the impact of any acquisitions during the Performance Period.</w:t>
      </w:r>
    </w:p>
    <w:p>
      <w:pPr>
        <w:spacing w:after="0" w:line="210" w:lineRule="exact"/>
        <w:rPr>
          <w:rFonts w:ascii="Times New Roman" w:cs="Times New Roman" w:eastAsia="Times New Roman" w:hAnsi="Times New Roman"/>
          <w:sz w:val="20"/>
          <w:szCs w:val="20"/>
          <w:color w:val="auto"/>
        </w:rPr>
      </w:pPr>
    </w:p>
    <w:p>
      <w:pPr>
        <w:ind w:left="660" w:right="60" w:hanging="4"/>
        <w:spacing w:after="0" w:line="242" w:lineRule="auto"/>
        <w:tabs>
          <w:tab w:leader="none" w:pos="130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Multiplier</w:t>
      </w:r>
      <w:r>
        <w:rPr>
          <w:rFonts w:ascii="Times New Roman" w:cs="Times New Roman" w:eastAsia="Times New Roman" w:hAnsi="Times New Roman"/>
          <w:sz w:val="20"/>
          <w:szCs w:val="20"/>
          <w:color w:val="auto"/>
        </w:rPr>
        <w:t xml:space="preserve">” means a ratio determined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based on the level of attainment of the Target Performance Goal. The Performance Multiplier Percentages serve as cliffs. For example, if Recurring and Other Revenue was $____________ the Performance Multiplier would be 100%.</w:t>
      </w:r>
    </w:p>
    <w:p>
      <w:pPr>
        <w:spacing w:after="0" w:line="20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“Target Performance Goal” </w:t>
      </w:r>
      <w:r>
        <w:rPr>
          <w:rFonts w:ascii="Times New Roman" w:cs="Times New Roman" w:eastAsia="Times New Roman" w:hAnsi="Times New Roman"/>
          <w:sz w:val="20"/>
          <w:szCs w:val="20"/>
          <w:color w:val="auto"/>
        </w:rPr>
        <w:t>means $____________ in Recurring and Other Revenue during the Performance Period.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“Threshold Goal” </w:t>
      </w:r>
      <w:r>
        <w:rPr>
          <w:rFonts w:ascii="Times New Roman" w:cs="Times New Roman" w:eastAsia="Times New Roman" w:hAnsi="Times New Roman"/>
          <w:sz w:val="20"/>
          <w:szCs w:val="20"/>
          <w:color w:val="auto"/>
        </w:rPr>
        <w:t>means $____________ in Recurring and Other Revenue during the Performance Period.</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115175" cy="1431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15175" cy="143192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vMerge w:val="restart"/>
            <w:shd w:val="clear" w:color="auto" w:fill="A5A5A5"/>
          </w:tcPr>
          <w:p>
            <w:pPr>
              <w:ind w:left="220"/>
              <w:spacing w:after="0"/>
              <w:rPr>
                <w:sz w:val="20"/>
                <w:szCs w:val="20"/>
                <w:color w:val="auto"/>
              </w:rPr>
            </w:pPr>
            <w:r>
              <w:rPr>
                <w:rFonts w:ascii="Times New Roman" w:cs="Times New Roman" w:eastAsia="Times New Roman" w:hAnsi="Times New Roman"/>
                <w:sz w:val="20"/>
                <w:szCs w:val="20"/>
                <w:b w:val="1"/>
                <w:bCs w:val="1"/>
                <w:color w:val="auto"/>
              </w:rPr>
              <w:t>Performance Multiplier</w:t>
            </w:r>
          </w:p>
        </w:tc>
        <w:tc>
          <w:tcPr>
            <w:tcW w:w="2200" w:type="dxa"/>
            <w:vAlign w:val="bottom"/>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Recurring &amp; Other</w:t>
            </w:r>
          </w:p>
        </w:tc>
        <w:tc>
          <w:tcPr>
            <w:tcW w:w="0" w:type="dxa"/>
            <w:vAlign w:val="bottom"/>
          </w:tcPr>
          <w:p>
            <w:pPr>
              <w:spacing w:after="0"/>
              <w:rPr>
                <w:sz w:val="1"/>
                <w:szCs w:val="1"/>
                <w:color w:val="auto"/>
              </w:rPr>
            </w:pPr>
          </w:p>
        </w:tc>
      </w:tr>
      <w:tr>
        <w:trPr>
          <w:trHeight w:val="154"/>
        </w:trPr>
        <w:tc>
          <w:tcPr>
            <w:tcW w:w="2500" w:type="dxa"/>
            <w:vAlign w:val="bottom"/>
            <w:vMerge w:val="continue"/>
            <w:shd w:val="clear" w:color="auto" w:fill="A5A5A5"/>
          </w:tcPr>
          <w:p>
            <w:pPr>
              <w:spacing w:after="0"/>
              <w:rPr>
                <w:sz w:val="13"/>
                <w:szCs w:val="13"/>
                <w:color w:val="auto"/>
              </w:rPr>
            </w:pPr>
          </w:p>
        </w:tc>
        <w:tc>
          <w:tcPr>
            <w:tcW w:w="2200" w:type="dxa"/>
            <w:vAlign w:val="bottom"/>
            <w:vMerge w:val="restart"/>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Revenue</w:t>
            </w:r>
          </w:p>
        </w:tc>
        <w:tc>
          <w:tcPr>
            <w:tcW w:w="0" w:type="dxa"/>
            <w:vAlign w:val="bottom"/>
          </w:tcPr>
          <w:p>
            <w:pPr>
              <w:spacing w:after="0"/>
              <w:rPr>
                <w:sz w:val="1"/>
                <w:szCs w:val="1"/>
                <w:color w:val="auto"/>
              </w:rPr>
            </w:pPr>
          </w:p>
        </w:tc>
      </w:tr>
      <w:tr>
        <w:trPr>
          <w:trHeight w:val="108"/>
        </w:trPr>
        <w:tc>
          <w:tcPr>
            <w:tcW w:w="2500" w:type="dxa"/>
            <w:vAlign w:val="bottom"/>
            <w:shd w:val="clear" w:color="auto" w:fill="A5A5A5"/>
          </w:tcPr>
          <w:p>
            <w:pPr>
              <w:spacing w:after="0"/>
              <w:rPr>
                <w:sz w:val="9"/>
                <w:szCs w:val="9"/>
                <w:color w:val="auto"/>
              </w:rPr>
            </w:pPr>
          </w:p>
        </w:tc>
        <w:tc>
          <w:tcPr>
            <w:tcW w:w="2200" w:type="dxa"/>
            <w:vAlign w:val="bottom"/>
            <w:vMerge w:val="continue"/>
            <w:shd w:val="clear" w:color="auto" w:fill="A5A5A5"/>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500" w:type="dxa"/>
            <w:vAlign w:val="bottom"/>
            <w:shd w:val="clear" w:color="auto" w:fill="A5A5A5"/>
          </w:tcPr>
          <w:p>
            <w:pPr>
              <w:spacing w:after="0" w:line="20" w:lineRule="exact"/>
              <w:rPr>
                <w:sz w:val="1"/>
                <w:szCs w:val="1"/>
                <w:color w:val="auto"/>
              </w:rPr>
            </w:pPr>
          </w:p>
        </w:tc>
        <w:tc>
          <w:tcPr>
            <w:tcW w:w="2200" w:type="dxa"/>
            <w:vAlign w:val="bottom"/>
            <w:shd w:val="clear" w:color="auto" w:fill="A5A5A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160" w:hanging="109"/>
        <w:spacing w:after="0"/>
        <w:tabs>
          <w:tab w:leader="none" w:pos="11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160" w:hanging="109"/>
        <w:spacing w:after="0"/>
        <w:tabs>
          <w:tab w:leader="none" w:pos="11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160" w:hanging="109"/>
        <w:spacing w:after="0"/>
        <w:tabs>
          <w:tab w:leader="none" w:pos="1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160" w:hanging="109"/>
        <w:spacing w:after="0"/>
        <w:tabs>
          <w:tab w:leader="none" w:pos="1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160" w:hanging="109"/>
        <w:spacing w:after="0"/>
        <w:tabs>
          <w:tab w:leader="none" w:pos="11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160" w:hanging="109"/>
        <w:spacing w:after="0"/>
        <w:tabs>
          <w:tab w:leader="none" w:pos="11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40" w:type="dxa"/>
            <w:vAlign w:val="bottom"/>
            <w:vMerge w:val="restart"/>
            <w:shd w:val="clear" w:color="auto" w:fill="A5A5A5"/>
          </w:tcPr>
          <w:p>
            <w:pPr>
              <w:ind w:left="240"/>
              <w:spacing w:after="0"/>
              <w:rPr>
                <w:sz w:val="20"/>
                <w:szCs w:val="20"/>
                <w:color w:val="auto"/>
              </w:rPr>
            </w:pPr>
            <w:r>
              <w:rPr>
                <w:rFonts w:ascii="Times New Roman" w:cs="Times New Roman" w:eastAsia="Times New Roman" w:hAnsi="Times New Roman"/>
                <w:sz w:val="20"/>
                <w:szCs w:val="20"/>
                <w:b w:val="1"/>
                <w:bCs w:val="1"/>
                <w:color w:val="auto"/>
              </w:rPr>
              <w:t>Performance Multiplier</w:t>
            </w:r>
          </w:p>
        </w:tc>
        <w:tc>
          <w:tcPr>
            <w:tcW w:w="2220" w:type="dxa"/>
            <w:vAlign w:val="bottom"/>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Recurring &amp; Other</w:t>
            </w:r>
          </w:p>
        </w:tc>
        <w:tc>
          <w:tcPr>
            <w:tcW w:w="0" w:type="dxa"/>
            <w:vAlign w:val="bottom"/>
          </w:tcPr>
          <w:p>
            <w:pPr>
              <w:spacing w:after="0"/>
              <w:rPr>
                <w:sz w:val="1"/>
                <w:szCs w:val="1"/>
                <w:color w:val="auto"/>
              </w:rPr>
            </w:pPr>
          </w:p>
        </w:tc>
      </w:tr>
      <w:tr>
        <w:trPr>
          <w:trHeight w:val="154"/>
        </w:trPr>
        <w:tc>
          <w:tcPr>
            <w:tcW w:w="2540" w:type="dxa"/>
            <w:vAlign w:val="bottom"/>
            <w:vMerge w:val="continue"/>
            <w:shd w:val="clear" w:color="auto" w:fill="A5A5A5"/>
          </w:tcPr>
          <w:p>
            <w:pPr>
              <w:spacing w:after="0"/>
              <w:rPr>
                <w:sz w:val="13"/>
                <w:szCs w:val="13"/>
                <w:color w:val="auto"/>
              </w:rPr>
            </w:pPr>
          </w:p>
        </w:tc>
        <w:tc>
          <w:tcPr>
            <w:tcW w:w="2220" w:type="dxa"/>
            <w:vAlign w:val="bottom"/>
            <w:vMerge w:val="restart"/>
            <w:shd w:val="clear" w:color="auto" w:fill="A5A5A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Revenue</w:t>
            </w:r>
          </w:p>
        </w:tc>
        <w:tc>
          <w:tcPr>
            <w:tcW w:w="0" w:type="dxa"/>
            <w:vAlign w:val="bottom"/>
          </w:tcPr>
          <w:p>
            <w:pPr>
              <w:spacing w:after="0"/>
              <w:rPr>
                <w:sz w:val="1"/>
                <w:szCs w:val="1"/>
                <w:color w:val="auto"/>
              </w:rPr>
            </w:pPr>
          </w:p>
        </w:tc>
      </w:tr>
      <w:tr>
        <w:trPr>
          <w:trHeight w:val="108"/>
        </w:trPr>
        <w:tc>
          <w:tcPr>
            <w:tcW w:w="2540" w:type="dxa"/>
            <w:vAlign w:val="bottom"/>
            <w:shd w:val="clear" w:color="auto" w:fill="A5A5A5"/>
          </w:tcPr>
          <w:p>
            <w:pPr>
              <w:spacing w:after="0"/>
              <w:rPr>
                <w:sz w:val="9"/>
                <w:szCs w:val="9"/>
                <w:color w:val="auto"/>
              </w:rPr>
            </w:pPr>
          </w:p>
        </w:tc>
        <w:tc>
          <w:tcPr>
            <w:tcW w:w="2220" w:type="dxa"/>
            <w:vAlign w:val="bottom"/>
            <w:vMerge w:val="continue"/>
            <w:shd w:val="clear" w:color="auto" w:fill="A5A5A5"/>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540" w:type="dxa"/>
            <w:vAlign w:val="bottom"/>
            <w:shd w:val="clear" w:color="auto" w:fill="A5A5A5"/>
          </w:tcPr>
          <w:p>
            <w:pPr>
              <w:spacing w:after="0" w:line="20" w:lineRule="exact"/>
              <w:rPr>
                <w:sz w:val="1"/>
                <w:szCs w:val="1"/>
                <w:color w:val="auto"/>
              </w:rPr>
            </w:pPr>
          </w:p>
        </w:tc>
        <w:tc>
          <w:tcPr>
            <w:tcW w:w="2220" w:type="dxa"/>
            <w:vAlign w:val="bottom"/>
            <w:shd w:val="clear" w:color="auto" w:fill="A5A5A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200" w:hanging="116"/>
        <w:spacing w:after="0"/>
        <w:tabs>
          <w:tab w:leader="none" w:pos="12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200" w:hanging="116"/>
        <w:spacing w:after="0"/>
        <w:tabs>
          <w:tab w:leader="none" w:pos="12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200" w:hanging="116"/>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200" w:hanging="116"/>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1200" w:hanging="116"/>
        <w:spacing w:after="0"/>
        <w:tabs>
          <w:tab w:leader="none" w:pos="12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200" w:hanging="116"/>
        <w:spacing w:after="0"/>
        <w:tabs>
          <w:tab w:leader="none" w:pos="12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2">
            <w:col w:w="5700" w:space="720"/>
            <w:col w:w="4760"/>
          </w:cols>
          <w:pgMar w:left="360" w:top="1440" w:right="35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PERFORMANCE STOCK UNITS</w:t>
      </w: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(for California Participants)</w:t>
      </w:r>
    </w:p>
    <w:p>
      <w:pPr>
        <w:spacing w:after="0" w:line="20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Paylocity Holding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to which this Agreement is attached an Award consisting of Performance Stock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xml:space="preserve">”) subject to the terms and conditions set forth in the Grant Notice and this Agreement. The Award has been granted pursuant to the Paylocity Holding Corporation 2023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 amended to the Grant Date, the provisions of which are incorporated herein by reference. This Award is intended to constitute an Award of Performance Shares described in Section 10 of the Plan. Notwithstanding anything in the Plan to the contrary, the determination of the number of Units which vest and/or are to be settled in Shares shall be determined based on the provisions contained in the Grant Notice and this Agreement, and the provisions set forth in Section 10.7(a) of the Plan (relating to certain Terminations of Service) shall not apply.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defined herein or in the Grant Notice, capitalized terms shall have the meanings assigned by the Plan.</w:t>
      </w:r>
    </w:p>
    <w:p>
      <w:pPr>
        <w:spacing w:after="0" w:line="225"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The Company has granted to the Participant the Award set forth in the Grant Notice, which, depending on the extent to which the Performance Measure is attained during the Performance Period, may result in the Participant earning as little as zero (0) Units or as many as the Maximum Number of Units. Subject to the terms of this Agreement and the Plan, each Unit, to the extent it is earned and becomes a Vested Unit, represents a right to receive on the Settlement Date one (1) Share. Unless and until a Unit has been determined to be an Earned Unit and has vested and become a Vested Unit as set forth in the Grant Notice, the Participant will have no right to settlement of such Units. Prior to settlement of Vested Units, such Units will represent an unfunded and unsecured obligation of the Company.</w:t>
      </w:r>
    </w:p>
    <w:p>
      <w:pPr>
        <w:spacing w:after="0" w:line="199"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COMMITTEE DETERMINATION OF EARNED UNITS</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color w:val="auto"/>
        </w:rPr>
        <w:t>Level of Performance Measure Attained.</w:t>
      </w:r>
      <w:r>
        <w:rPr>
          <w:rFonts w:ascii="Times New Roman" w:cs="Times New Roman" w:eastAsia="Times New Roman" w:hAnsi="Times New Roman"/>
          <w:sz w:val="20"/>
          <w:szCs w:val="20"/>
          <w:color w:val="auto"/>
        </w:rPr>
        <w:t xml:space="preserve"> As soon as practicable following completion of the Performance Period, but in any event no later than the first scheduled Vesting Date, the Committee shall determine the level of attainment of the Performance Measure during the Performance Period, the resulting Relative TSR Multiplier and the number of Units which have become Earned Units.</w:t>
      </w:r>
    </w:p>
    <w:p>
      <w:pPr>
        <w:spacing w:after="0" w:line="189"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color w:val="auto"/>
        </w:rPr>
        <w:t>Adjustment for Leave of Absence or Part-Time Work.</w:t>
      </w:r>
      <w:r>
        <w:rPr>
          <w:rFonts w:ascii="Times New Roman" w:cs="Times New Roman" w:eastAsia="Times New Roman" w:hAnsi="Times New Roman"/>
          <w:sz w:val="20"/>
          <w:szCs w:val="20"/>
          <w:color w:val="auto"/>
        </w:rPr>
        <w:t xml:space="preserve"> Unless otherwise required by law or Company policy, if the Participant takes one or more unpaid leaves of absence, the Committee may, in its discretion, make such modifications to the Award as it deems appropriate. Unless otherwise required by law or Company policy, if the Participant commences working on a part-time basis during the Performance Period, the Committee may, in its discretion, make such modifications to the Award as it deems appropriate.</w:t>
      </w:r>
    </w:p>
    <w:p>
      <w:pPr>
        <w:spacing w:after="0" w:line="210"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EARNED UNITS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20" w:firstLine="1296"/>
        <w:spacing w:after="0" w:line="27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Normal Vesting.</w:t>
      </w:r>
      <w:r>
        <w:rPr>
          <w:rFonts w:ascii="Times New Roman" w:cs="Times New Roman" w:eastAsia="Times New Roman" w:hAnsi="Times New Roman"/>
          <w:sz w:val="20"/>
          <w:szCs w:val="20"/>
          <w:color w:val="auto"/>
        </w:rPr>
        <w:t xml:space="preserve"> Except as otherwise provided by this Agreement, Earned Units shall vest and become Vested Units as provided in the Grant Notice.</w:t>
      </w:r>
    </w:p>
    <w:p>
      <w:pPr>
        <w:spacing w:after="0" w:line="165" w:lineRule="exact"/>
        <w:rPr>
          <w:sz w:val="20"/>
          <w:szCs w:val="20"/>
          <w:color w:val="auto"/>
        </w:rPr>
      </w:pPr>
    </w:p>
    <w:p>
      <w:pPr>
        <w:ind w:right="580" w:firstLine="1296"/>
        <w:spacing w:after="0" w:line="27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Vesting Upon a Change in Control.</w:t>
      </w:r>
      <w:r>
        <w:rPr>
          <w:rFonts w:ascii="Times New Roman" w:cs="Times New Roman" w:eastAsia="Times New Roman" w:hAnsi="Times New Roman"/>
          <w:sz w:val="20"/>
          <w:szCs w:val="20"/>
          <w:color w:val="auto"/>
        </w:rPr>
        <w:t xml:space="preserve"> In the event of a Change in Control, the vesting of Earned Units shall be determined in accordance with Section 9.</w:t>
      </w:r>
    </w:p>
    <w:p>
      <w:pPr>
        <w:sectPr>
          <w:pgSz w:w="11900" w:h="16838" w:orient="portrait"/>
          <w:cols w:equalWidth="0" w:num="1">
            <w:col w:w="11240"/>
          </w:cols>
          <w:pgMar w:left="320" w:top="1328"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SERVICE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Death or Disability.</w:t>
      </w:r>
      <w:r>
        <w:rPr>
          <w:rFonts w:ascii="Times New Roman" w:cs="Times New Roman" w:eastAsia="Times New Roman" w:hAnsi="Times New Roman"/>
          <w:sz w:val="20"/>
          <w:szCs w:val="20"/>
          <w:color w:val="auto"/>
        </w:rPr>
        <w:t xml:space="preserve"> If the Participant’s Service terminates by reason of the death or Disability of the Participant either (a) before completion of the Performance Period or (b) after completion of the Performance Period but before the Vesting Date, the Participant shall not forfeit the Award. Instead, unless the Committee determines that Section 9 is applicable, the number of Earned Units and Vested Units shall be determined as follows:</w:t>
      </w:r>
    </w:p>
    <w:p>
      <w:pPr>
        <w:spacing w:after="0" w:line="195" w:lineRule="exact"/>
        <w:rPr>
          <w:sz w:val="20"/>
          <w:szCs w:val="20"/>
          <w:color w:val="auto"/>
        </w:rPr>
      </w:pPr>
    </w:p>
    <w:p>
      <w:pPr>
        <w:jc w:val="both"/>
        <w:ind w:firstLine="1952"/>
        <w:spacing w:after="0" w:line="236" w:lineRule="auto"/>
        <w:tabs>
          <w:tab w:leader="none" w:pos="241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of Service occurs before completion of the Performance Period, then a number of Earned Units shall be determined for a special Performance Period ending on the day of such termination of Service (the “</w:t>
      </w:r>
      <w:r>
        <w:rPr>
          <w:rFonts w:ascii="Times New Roman" w:cs="Times New Roman" w:eastAsia="Times New Roman" w:hAnsi="Times New Roman"/>
          <w:sz w:val="20"/>
          <w:szCs w:val="20"/>
          <w:b w:val="1"/>
          <w:bCs w:val="1"/>
          <w:i w:val="1"/>
          <w:iCs w:val="1"/>
          <w:color w:val="auto"/>
        </w:rPr>
        <w:t>Special 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Period</w:t>
      </w:r>
      <w:r>
        <w:rPr>
          <w:rFonts w:ascii="Times New Roman" w:cs="Times New Roman" w:eastAsia="Times New Roman" w:hAnsi="Times New Roman"/>
          <w:sz w:val="20"/>
          <w:szCs w:val="20"/>
          <w:color w:val="auto"/>
        </w:rPr>
        <w:t>”). The applicable level of performance for the Special Performance Period shall be determined as provided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except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performance shall be determined for portion of the Performance Period ending with the last day of the Special Performance Period. The number of Vested Units shall be determined by multiplying such number of Earned Units by the ratio of the number of days of the Participant’s Service during the Special Performance Period to the number of days contained in the original Performance Period. The number of Vested Units so determined shall be settled in accordance with Section 5. The Participant shall forfeit all Units not determined to be Vested Units in accordance with this Section, and the Participant shall not be entitled to any payment therefor.</w:t>
      </w:r>
    </w:p>
    <w:p>
      <w:pPr>
        <w:spacing w:after="0" w:line="202" w:lineRule="exact"/>
        <w:rPr>
          <w:rFonts w:ascii="Times New Roman" w:cs="Times New Roman" w:eastAsia="Times New Roman" w:hAnsi="Times New Roman"/>
          <w:sz w:val="20"/>
          <w:szCs w:val="20"/>
          <w:color w:val="auto"/>
        </w:rPr>
      </w:pPr>
    </w:p>
    <w:p>
      <w:pPr>
        <w:jc w:val="both"/>
        <w:ind w:firstLine="1952"/>
        <w:spacing w:after="0" w:line="244" w:lineRule="auto"/>
        <w:tabs>
          <w:tab w:leader="none" w:pos="240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of Service occurs after completion of the Performance Period but before the Vesting Date, then the number of Earned Units shall be determined for the Performance Period in accordance with Section 2, and all such Earned Units be deemed Vested Units upon such determination by the Committee and settled in accordance with Section 5 as if the Participant’s Service had continued through the Vesting Date.</w:t>
      </w:r>
    </w:p>
    <w:p>
      <w:pPr>
        <w:spacing w:after="0" w:line="195"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Other Termination of Service.</w:t>
      </w:r>
      <w:r>
        <w:rPr>
          <w:rFonts w:ascii="Times New Roman" w:cs="Times New Roman" w:eastAsia="Times New Roman" w:hAnsi="Times New Roman"/>
          <w:sz w:val="20"/>
          <w:szCs w:val="20"/>
          <w:color w:val="auto"/>
        </w:rPr>
        <w:t xml:space="preserve"> In the event that the Participant’s Service terminates for any reason, with or without cause, other than by reason of the death or Disability of the Participant, the Participant shall forfeit and the Company shall automatically reacquire all Units which are not, as of the time of such termination, Vested Units, and the Participant shall not be entitled to any payment therefor.</w:t>
      </w:r>
    </w:p>
    <w:p>
      <w:pPr>
        <w:spacing w:after="0" w:line="210"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5.3 and Section 6 below, the Company shall issue to the Participant on the Settlement Date with respect to each Vested Unit to be settled on such date one (1) Share. Shares issued in settlement of Vested Units shall not be subject to any restriction on transfer other than any such restriction as may be required pursuant to Section 5.3.</w:t>
      </w:r>
    </w:p>
    <w:p>
      <w:pPr>
        <w:spacing w:after="0" w:line="20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98"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color w:val="auto"/>
        </w:rPr>
        <w:t>Restrictions on Grant of the Award and 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grant of the Award and issuance of Shares upon settlement of the Award shall be subject to compliance with all</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234" w:lineRule="auto"/>
        <w:rPr>
          <w:sz w:val="20"/>
          <w:szCs w:val="20"/>
          <w:color w:val="auto"/>
        </w:rPr>
      </w:pPr>
      <w:r>
        <w:rPr>
          <w:rFonts w:ascii="Times New Roman" w:cs="Times New Roman" w:eastAsia="Times New Roman" w:hAnsi="Times New Roman"/>
          <w:sz w:val="20"/>
          <w:szCs w:val="20"/>
          <w:color w:val="auto"/>
        </w:rPr>
        <w:t>applicable requirements of U.S. federal, state or foreign law with respect to such securities. No Shares may be issued hereunder if the issuance of such Shares would constitute a violation of any applicable U.S. federal, state or foreign securities laws or other laws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Further, regardless of whether the transfer or issuance of the Shares to be issued pursuant to the Units has been registered under the Securities Act or has been registered or qualified under the securities laws of any State, the Company may impose additional restrictions upon the sale, pledge, or other transfer of the Shares (including the placement of appropriate legends on share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w:t>
      </w:r>
    </w:p>
    <w:p>
      <w:pPr>
        <w:spacing w:after="0" w:line="20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Fractional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not be required to issue fractional Shares upon the settlement of the Award.</w:t>
      </w:r>
    </w:p>
    <w:p>
      <w:pPr>
        <w:spacing w:after="0" w:line="243"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 ADVICE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In General.</w:t>
      </w:r>
      <w:r>
        <w:rPr>
          <w:rFonts w:ascii="Times New Roman" w:cs="Times New Roman" w:eastAsia="Times New Roman" w:hAnsi="Times New Roman"/>
          <w:sz w:val="20"/>
          <w:szCs w:val="20"/>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U.S. federal, state, local and foreign tax (including any social insurance) withholding obligations of the Participating Company, if any, which arise in connection with the Award, the vesting of Units or the issuance of Shares in settlement thereof. The Company shall have no obligation to deliver Shares until the tax withholding obligations of the Participating Company have been satisfied by the Participant.</w:t>
      </w:r>
    </w:p>
    <w:p>
      <w:pPr>
        <w:spacing w:after="0" w:line="211"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Assignment of Sale Proceeds.</w:t>
      </w:r>
      <w:r>
        <w:rPr>
          <w:rFonts w:ascii="Times New Roman" w:cs="Times New Roman" w:eastAsia="Times New Roman" w:hAnsi="Times New Roman"/>
          <w:sz w:val="20"/>
          <w:szCs w:val="20"/>
          <w:color w:val="auto"/>
        </w:rPr>
        <w:t xml:space="preserve"> 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20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color w:val="auto"/>
        </w:rPr>
        <w:t>Withholding in Shares.</w:t>
      </w:r>
      <w:r>
        <w:rPr>
          <w:rFonts w:ascii="Times New Roman" w:cs="Times New Roman" w:eastAsia="Times New Roman" w:hAnsi="Times New Roman"/>
          <w:sz w:val="20"/>
          <w:szCs w:val="20"/>
          <w:color w:val="auto"/>
        </w:rPr>
        <w:t xml:space="preserve"> The Company shall have the right, but not the obligation, to require the Participant to satisfy all or any portion of a Participating Company’s tax withholding obligations by deducting from the Shares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statutory withholding rates.</w:t>
      </w:r>
    </w:p>
    <w:p>
      <w:pPr>
        <w:spacing w:after="0" w:line="20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The Participant represents, warrants and acknowledges that the Company has made no warranties or representations to the Participant with respect to the income tax consequences of the transactions contemplated by this Agreement, and the Participant is in no manner relying on the Company or the Company’s representatives for an assessment of such tax consequences. THE PARTICIPANT UNDERSTANDS THAT THE TAX LAWS AND REGULATIONS ARE SUBJECT TO CHANGE. THE PARTICIPANT SHOULD CONSULT HIS OR HER OWN TAX</w:t>
      </w:r>
    </w:p>
    <w:p>
      <w:pPr>
        <w:sectPr>
          <w:pgSz w:w="11900" w:h="16838" w:orient="portrait"/>
          <w:cols w:equalWidth="0" w:num="1">
            <w:col w:w="11240"/>
          </w:cols>
          <w:pgMar w:left="320" w:top="1332" w:right="339" w:bottom="1440" w:gutter="0" w:footer="0" w:header="0"/>
        </w:sectPr>
      </w:pPr>
    </w:p>
    <w:bookmarkStart w:id="65" w:name="page66"/>
    <w:bookmarkEnd w:id="65"/>
    <w:p>
      <w:pPr>
        <w:ind w:right="20"/>
        <w:spacing w:after="0" w:line="255" w:lineRule="auto"/>
        <w:rPr>
          <w:sz w:val="20"/>
          <w:szCs w:val="20"/>
          <w:color w:val="auto"/>
        </w:rPr>
      </w:pPr>
      <w:r>
        <w:rPr>
          <w:rFonts w:ascii="Times New Roman" w:cs="Times New Roman" w:eastAsia="Times New Roman" w:hAnsi="Times New Roman"/>
          <w:sz w:val="20"/>
          <w:szCs w:val="20"/>
          <w:color w:val="auto"/>
        </w:rPr>
        <w:t>ADVISOR REGARDING THE UNITS. NOTHING STATED HEREIN IS INTENDED OR WRITTEN TO BE USED, AND CANNOT BE USED, FOR THE PURPOSE OF AVOIDING TAXPAYER PENALTIES.</w:t>
      </w:r>
    </w:p>
    <w:p>
      <w:pPr>
        <w:spacing w:after="0" w:line="196"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 COVENANTS.</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Covenant Not to Disclose.</w:t>
      </w:r>
      <w:r>
        <w:rPr>
          <w:rFonts w:ascii="Times New Roman" w:cs="Times New Roman" w:eastAsia="Times New Roman" w:hAnsi="Times New Roman"/>
          <w:sz w:val="20"/>
          <w:szCs w:val="20"/>
          <w:color w:val="auto"/>
        </w:rPr>
        <w:t xml:space="preserve"> The Participant acknowledges that as a result of the Participant’s employment with Paylocity Corporation, an Illinois corporation (“</w:t>
      </w:r>
      <w:r>
        <w:rPr>
          <w:rFonts w:ascii="Times New Roman" w:cs="Times New Roman" w:eastAsia="Times New Roman" w:hAnsi="Times New Roman"/>
          <w:sz w:val="20"/>
          <w:szCs w:val="20"/>
          <w:b w:val="1"/>
          <w:bCs w:val="1"/>
          <w:i w:val="1"/>
          <w:iCs w:val="1"/>
          <w:color w:val="auto"/>
        </w:rPr>
        <w:t>Paylocity</w:t>
      </w:r>
      <w:r>
        <w:rPr>
          <w:rFonts w:ascii="Times New Roman" w:cs="Times New Roman" w:eastAsia="Times New Roman" w:hAnsi="Times New Roman"/>
          <w:sz w:val="20"/>
          <w:szCs w:val="20"/>
          <w:color w:val="auto"/>
        </w:rPr>
        <w:t>”), the Participant has gained access to Paylocity’s Confidential Information (defined below). During the Participant’s employment and thereafter, the Participant will not use, disclose, or reveal to any person any Confidential Information except when acting within the scope of the Participant’s duties or with prior written authorization from Paylocity’s Chief Human Resources Officer.</w:t>
      </w:r>
    </w:p>
    <w:p>
      <w:pPr>
        <w:spacing w:after="0" w:line="200" w:lineRule="exact"/>
        <w:rPr>
          <w:sz w:val="20"/>
          <w:szCs w:val="20"/>
          <w:color w:val="auto"/>
        </w:rPr>
      </w:pPr>
    </w:p>
    <w:p>
      <w:pPr>
        <w:jc w:val="both"/>
        <w:ind w:firstLine="1952"/>
        <w:spacing w:after="0" w:line="235" w:lineRule="auto"/>
        <w:tabs>
          <w:tab w:leader="none" w:pos="241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all information belonging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relating to the business of Paylocity (including information received in confidence by Paylocity from its customers or suppliers or other third parties),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formulae and processes,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pacing w:after="0" w:line="200" w:lineRule="exact"/>
        <w:rPr>
          <w:rFonts w:ascii="Times New Roman" w:cs="Times New Roman" w:eastAsia="Times New Roman" w:hAnsi="Times New Roman"/>
          <w:sz w:val="20"/>
          <w:szCs w:val="20"/>
          <w:color w:val="auto"/>
        </w:rPr>
      </w:pPr>
    </w:p>
    <w:p>
      <w:pPr>
        <w:jc w:val="both"/>
        <w:ind w:firstLine="1952"/>
        <w:spacing w:after="0" w:line="237" w:lineRule="auto"/>
        <w:tabs>
          <w:tab w:leader="none" w:pos="240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Scope of Non-Disclosure; Return of Company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Nothing in this Section shall be deemed to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9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Covenants Not to Solicit.</w:t>
      </w:r>
    </w:p>
    <w:p>
      <w:pPr>
        <w:spacing w:after="0" w:line="243" w:lineRule="exact"/>
        <w:rPr>
          <w:sz w:val="20"/>
          <w:szCs w:val="20"/>
          <w:color w:val="auto"/>
        </w:rPr>
      </w:pPr>
    </w:p>
    <w:p>
      <w:pPr>
        <w:jc w:val="both"/>
        <w:ind w:firstLine="1952"/>
        <w:spacing w:after="0" w:line="241" w:lineRule="auto"/>
        <w:tabs>
          <w:tab w:leader="none" w:pos="251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Customer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accept business from any of Paylocity’s customers, prospective customers, brokers, brokerage firms, business partners, business associates, or end users for the purpose of selling or soliciting products or services that are in competition with the products or services of Paylocity.</w:t>
      </w:r>
    </w:p>
    <w:p>
      <w:pPr>
        <w:spacing w:after="0" w:line="196"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1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Employee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recruit any employees or exclusive independent contractors of Paylocity for the purpose of causing, inviting or encouraging any such</w:t>
      </w:r>
    </w:p>
    <w:p>
      <w:pPr>
        <w:sectPr>
          <w:pgSz w:w="11900" w:h="16838" w:orient="portrait"/>
          <w:cols w:equalWidth="0" w:num="1">
            <w:col w:w="11240"/>
          </w:cols>
          <w:pgMar w:left="320" w:top="1332" w:right="3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20"/>
          <w:szCs w:val="20"/>
          <w:color w:val="auto"/>
        </w:rPr>
        <w:t>employee to (i) terminate his or her employment or business relationship with Paylocity; and/or (ii) become employed or engaged by a person or entity that sells Competing Products (as defined below).</w:t>
      </w:r>
    </w:p>
    <w:p>
      <w:pPr>
        <w:spacing w:after="0" w:line="19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Covenant Not to Compete.</w:t>
      </w:r>
      <w:r>
        <w:rPr>
          <w:rFonts w:ascii="Times New Roman" w:cs="Times New Roman" w:eastAsia="Times New Roman" w:hAnsi="Times New Roman"/>
          <w:sz w:val="20"/>
          <w:szCs w:val="20"/>
          <w:color w:val="auto"/>
        </w:rPr>
        <w:t xml:space="preserve"> During employment with Paylocity, the Participant agrees not to directly or indirectly, on behalf of Participant or in conjunction with any other person or entity: (i) own any business (other than less than 3% ownership in a publicly traded company) that sells Competing Products in the Restricted Territory; or (ii) work (whether as an employee, independent contractor, consultant, or otherwise) for any person or entity that sells Competing Products, in any role: (y) that is similar to the Participant’s then-current position or to any position the Participant held with the Company during the previous twenty-four (24) months, or (z) in which it would be beneficial for the Participant to use or rely upon Paylocity’s Confidential Information. The term “</w:t>
      </w:r>
      <w:r>
        <w:rPr>
          <w:rFonts w:ascii="Times New Roman" w:cs="Times New Roman" w:eastAsia="Times New Roman" w:hAnsi="Times New Roman"/>
          <w:sz w:val="20"/>
          <w:szCs w:val="20"/>
          <w:b w:val="1"/>
          <w:bCs w:val="1"/>
          <w:i w:val="1"/>
          <w:iCs w:val="1"/>
          <w:color w:val="auto"/>
        </w:rPr>
        <w:t>Competing Products</w:t>
      </w:r>
      <w:r>
        <w:rPr>
          <w:rFonts w:ascii="Times New Roman" w:cs="Times New Roman" w:eastAsia="Times New Roman" w:hAnsi="Times New Roman"/>
          <w:sz w:val="20"/>
          <w:szCs w:val="20"/>
          <w:color w:val="auto"/>
        </w:rPr>
        <w:t>” shall mean products or services sold by Paylocity, or any prospective product or service Paylocity has taken steps to develop, including, without limitation, any products or services related to software solutions for payroll, human capital management, human resources, benefits, time and labor, and talent management.</w:t>
      </w:r>
    </w:p>
    <w:p>
      <w:pPr>
        <w:spacing w:after="0" w:line="21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color w:val="auto"/>
        </w:rPr>
        <w:t>Acknowledgments.</w:t>
      </w:r>
      <w:r>
        <w:rPr>
          <w:rFonts w:ascii="Times New Roman" w:cs="Times New Roman" w:eastAsia="Times New Roman" w:hAnsi="Times New Roman"/>
          <w:sz w:val="20"/>
          <w:szCs w:val="20"/>
          <w:color w:val="auto"/>
        </w:rPr>
        <w:t xml:space="preserve"> The Participant acknowledges that: (i) the covenants of this Section 7 are supported by sufficient consideration, including access to Paylocity’s Legitimate Business Interests (defined below), and the Units awarded under this Agreement; (ii) Paylocity has invested substantial resources into the development, protection and retention of its Confidential Information, employees, customers, and business (collectively, “</w:t>
      </w:r>
      <w:r>
        <w:rPr>
          <w:rFonts w:ascii="Times New Roman" w:cs="Times New Roman" w:eastAsia="Times New Roman" w:hAnsi="Times New Roman"/>
          <w:sz w:val="20"/>
          <w:szCs w:val="20"/>
          <w:b w:val="1"/>
          <w:bCs w:val="1"/>
          <w:i w:val="1"/>
          <w:iCs w:val="1"/>
          <w:color w:val="auto"/>
        </w:rPr>
        <w:t>Legitimate Business Interests</w:t>
      </w:r>
      <w:r>
        <w:rPr>
          <w:rFonts w:ascii="Times New Roman" w:cs="Times New Roman" w:eastAsia="Times New Roman" w:hAnsi="Times New Roman"/>
          <w:sz w:val="20"/>
          <w:szCs w:val="20"/>
          <w:color w:val="auto"/>
        </w:rPr>
        <w:t>”); (iii) the Legitimate Business Interests have significant intrinsic value and are not readily achieved or duplicated; (iv) solely as a result of the Participant’s employment with Paylocity, the Participant has gained access to and familiarity with the Legitimate Business Interests; (v) the covenants of this Section 7 are therefore reasonable and necessary to protect the Legitimate Business Interests, and they are enforceable; and (vi) the provisions of this Section 7 do not restrain competition, limit the Participant’s ability to obtain employment of the Participant’s choosing or affect the Participant’s wages.</w:t>
      </w:r>
    </w:p>
    <w:p>
      <w:pPr>
        <w:spacing w:after="0" w:line="20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color w:val="auto"/>
        </w:rPr>
        <w:t>Remedies and Relief.</w:t>
      </w:r>
      <w:r>
        <w:rPr>
          <w:rFonts w:ascii="Times New Roman" w:cs="Times New Roman" w:eastAsia="Times New Roman" w:hAnsi="Times New Roman"/>
          <w:sz w:val="20"/>
          <w:szCs w:val="20"/>
          <w:color w:val="auto"/>
        </w:rPr>
        <w:t xml:space="preserve"> In the event of any breach by the Participant of the provisions of this Section 7: (i) the Company shall have the right to require the Participant to deliver to the Company: (a) all Units granted to the Participant in the three (3) years preceding said breach; and (b) to the extent the Participant has disposed of any Units so granted or shares of Stock issued in settlement of such Units, the net proceeds from all such dispositions; and (ii) any unvested Units shall be immediately forfeited (collectively, the “</w:t>
      </w:r>
      <w:r>
        <w:rPr>
          <w:rFonts w:ascii="Times New Roman" w:cs="Times New Roman" w:eastAsia="Times New Roman" w:hAnsi="Times New Roman"/>
          <w:sz w:val="20"/>
          <w:szCs w:val="20"/>
          <w:b w:val="1"/>
          <w:bCs w:val="1"/>
          <w:i w:val="1"/>
          <w:iCs w:val="1"/>
          <w:color w:val="auto"/>
        </w:rPr>
        <w:t>Repayment Obligation</w:t>
      </w:r>
      <w:r>
        <w:rPr>
          <w:rFonts w:ascii="Times New Roman" w:cs="Times New Roman" w:eastAsia="Times New Roman" w:hAnsi="Times New Roman"/>
          <w:sz w:val="20"/>
          <w:szCs w:val="20"/>
          <w:color w:val="auto"/>
        </w:rPr>
        <w:t>”). The determination of whether the Participant has engaged in a breach of Section 7 shall be determined by the Committee in its sole discretion. Any repayment obligations under this Section 7 shall be effected by the Participant within thirty (30) days of receipt of the Company’s written demand for repayment. The Company may provide for an offset to any future payments owed by the Participating Company Group to the Participant, if necessary, to satisfy the Repayment Obligation. The Participant agrees to execute such documents as may be necessary to effect the repayment obligations referred to in this Section. Nothing in this Section 7 shall limit Paylocity from pursuing any other remedies otherwise available in law or in equity, including a temporary retaining order, a preliminary injunction, and a permanent injunction enjoining Participant’s breach or threatened breach of any of the provisions of this Agreement or from seeking enforcement of any other restrictions by which the Participant is bound under other agreements or applicable law.</w:t>
      </w:r>
    </w:p>
    <w:p>
      <w:pPr>
        <w:spacing w:after="0" w:line="20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such provision will be distinct and severable from the other provisions of this Agreement, and such unenforceability will not affect the validity and enforceability of the remaining provisions. If a court holds that the duration, scope, geographic range or any other restriction stated in any provision of this Agreement is unreasonable under circumstances then existing, the parties agree that the maximum duration, scope, geographic range or other restriction that the court deems reasonable under such circumstances will be substituted and that the court will have the power to revise any of those restrictions to cover the maximum period, scope, geographic range and/or other restriction permitted by law. It is the</w:t>
      </w:r>
    </w:p>
    <w:p>
      <w:pPr>
        <w:sectPr>
          <w:pgSz w:w="11900" w:h="16838" w:orient="portrait"/>
          <w:cols w:equalWidth="0" w:num="1">
            <w:col w:w="11240"/>
          </w:cols>
          <w:pgMar w:left="320" w:top="1332" w:right="339" w:bottom="1440" w:gutter="0" w:footer="0" w:header="0"/>
        </w:sectPr>
      </w:pPr>
    </w:p>
    <w:bookmarkStart w:id="67" w:name="page68"/>
    <w:bookmarkEnd w:id="67"/>
    <w:p>
      <w:pPr>
        <w:spacing w:after="0" w:line="255" w:lineRule="auto"/>
        <w:rPr>
          <w:sz w:val="20"/>
          <w:szCs w:val="20"/>
          <w:color w:val="auto"/>
        </w:rPr>
      </w:pPr>
      <w:r>
        <w:rPr>
          <w:rFonts w:ascii="Times New Roman" w:cs="Times New Roman" w:eastAsia="Times New Roman" w:hAnsi="Times New Roman"/>
          <w:sz w:val="20"/>
          <w:szCs w:val="20"/>
          <w:color w:val="auto"/>
        </w:rPr>
        <w:t>intent of the parties that the court, in establishing any such substitute restriction, recognize that the parties’ desire is that the stated restrictions upon which the parties have agreed be honored to the maximum lawful extent.</w:t>
      </w:r>
    </w:p>
    <w:p>
      <w:pPr>
        <w:spacing w:after="0" w:line="196"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AUTHORIZATION TO RELEASE NECESSARY PERSONAL INFORMATION.</w:t>
      </w:r>
    </w:p>
    <w:p>
      <w:pPr>
        <w:spacing w:after="0" w:line="23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The Participant hereby authorizes and directs the Participant’s employer to collect, use and transfer in electronic or other form, any personal information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regarding the Participant’s Service, the nature and amount of the Participant’s compensation and the fact and conditions of the Participant’s participation in the Plan (including, but not limited to, the Participant’s name, home address, telephone number, email address, date of birth, social security number (or any other social or national identification number), salary, nationality, job title, employment or Service location, number of Shares held and the details of all Units or any other entitlement to Shares awarded, cancelled, exercised, vested, unvested or outstanding in the Participant’s favor, any other information necessary to process tax withholding and reporting, and, where applicable, the Participant’s Service termination date and reason for termination, for the purpose of implementing, administering and managing the Participant’s participation in the Plan. The Participant understands that the Data may be transferred to the Company or any other Participating Company, or to any third parties assisting in the implementation, administration and management of the Plan, including any requisite transfer to a brokerage firm or other third party assisting with administration of the Award or with whom Shares acquired upon settlement of this Award or cash from the sale of such Shares may be deposited. The Participant acknowledges that recipients of the Data may be located in different countries, and those countries may have data privacy laws and protections different from those in the country of the Participant’s residence. Furthermore, the Participant acknowledges and understands that the transfer of the Data to the Company or any of other Participating Company, or to any third parties is necessary for Participant’s participation in the Plan. The Participant may at any time withdraw the consents herein, by contacting the Company’s share administration department in writing. The Participant further acknowledges that withdrawal of consent may affect the Participant’s ability to realize benefits from the Award, and the Participant’s ability to participate in the Plan. If the Participant is or becomes during the term of this Award a resident of the State of California, the Participant is hereby notified of the foregoing in accordance with the California Consumer Privacy Act.</w:t>
      </w:r>
    </w:p>
    <w:p>
      <w:pPr>
        <w:spacing w:after="0" w:line="20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b w:val="1"/>
          <w:bCs w:val="1"/>
          <w:i w:val="1"/>
          <w:iCs w:val="1"/>
          <w:color w:val="auto"/>
        </w:rPr>
        <w:t>.</w:t>
      </w:r>
    </w:p>
    <w:p>
      <w:pPr>
        <w:spacing w:after="0" w:line="247"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20"/>
          <w:szCs w:val="20"/>
          <w:color w:val="auto"/>
        </w:rPr>
        <w:t>In the event of a Change in Control, this Section 9 shall determine the treatment of the Units which have not otherwise become Vested Units.</w:t>
      </w:r>
    </w:p>
    <w:p>
      <w:pPr>
        <w:spacing w:after="0" w:line="19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color w:val="auto"/>
        </w:rPr>
        <w:t>Effect of Change in Control Following End of Performance Period.</w:t>
      </w:r>
      <w:r>
        <w:rPr>
          <w:rFonts w:ascii="Times New Roman" w:cs="Times New Roman" w:eastAsia="Times New Roman" w:hAnsi="Times New Roman"/>
          <w:sz w:val="20"/>
          <w:szCs w:val="20"/>
          <w:color w:val="auto"/>
        </w:rPr>
        <w:t xml:space="preserve"> In the event of a Change in Control upon or after the end of the Performance Period but before the Vesting Date, the number of Earned Units shall, if not previously determined by the Committee in accordance with Section 3.1 and settled in accordance with Section 5, be determined by the Committee in accordance with Section 3.1, become Vested Units and be settled in accordance with Section 5 prior to the effective time of the Change in Control, provided that the Participant’s Service has not terminated prior to such effective time.</w:t>
      </w:r>
    </w:p>
    <w:p>
      <w:pPr>
        <w:spacing w:after="0" w:line="21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color w:val="auto"/>
        </w:rPr>
        <w:t>Effect of a Change in Control Prior to End of Performance Period</w:t>
      </w:r>
      <w:r>
        <w:rPr>
          <w:rFonts w:ascii="Times New Roman" w:cs="Times New Roman" w:eastAsia="Times New Roman" w:hAnsi="Times New Roman"/>
          <w:sz w:val="20"/>
          <w:szCs w:val="20"/>
          <w:color w:val="auto"/>
        </w:rPr>
        <w:t>. In the event of a Change in Control before the end of the Performance Period, the Performance Period shall be deemed to end on the day immediately preceding the Change in Control (the “</w:t>
      </w:r>
      <w:r>
        <w:rPr>
          <w:rFonts w:ascii="Times New Roman" w:cs="Times New Roman" w:eastAsia="Times New Roman" w:hAnsi="Times New Roman"/>
          <w:sz w:val="20"/>
          <w:szCs w:val="20"/>
          <w:b w:val="1"/>
          <w:bCs w:val="1"/>
          <w:i w:val="1"/>
          <w:iCs w:val="1"/>
          <w:color w:val="auto"/>
        </w:rPr>
        <w:t>Adjusted Performance Period</w:t>
      </w:r>
      <w:r>
        <w:rPr>
          <w:rFonts w:ascii="Times New Roman" w:cs="Times New Roman" w:eastAsia="Times New Roman" w:hAnsi="Times New Roman"/>
          <w:sz w:val="20"/>
          <w:szCs w:val="20"/>
          <w:color w:val="auto"/>
        </w:rPr>
        <w:t>”), and the number of Earned Units and the vesting thereof shall be determined for the Adjusted Performance Period</w:t>
      </w:r>
    </w:p>
    <w:p>
      <w:pPr>
        <w:spacing w:after="0" w:line="20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color w:val="auto"/>
        </w:rPr>
        <w:t>based on the applicable level of performance achieved through the last day of the Adjusted Performance Period..</w:t>
      </w:r>
    </w:p>
    <w:p>
      <w:pPr>
        <w:sectPr>
          <w:pgSz w:w="11900" w:h="16838" w:orient="portrait"/>
          <w:cols w:equalWidth="0" w:num="1">
            <w:col w:w="11240"/>
          </w:cols>
          <w:pgMar w:left="320" w:top="1332" w:right="339" w:bottom="1440" w:gutter="0" w:footer="0" w:header="0"/>
        </w:sectPr>
      </w:pPr>
    </w:p>
    <w:bookmarkStart w:id="68" w:name="page69"/>
    <w:bookmarkEnd w:id="68"/>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Immediately following the Committee’s determination pursuant to this Section 9.2(a), all Units subject to the Award which are not Earned Units (the “</w:t>
      </w:r>
      <w:r>
        <w:rPr>
          <w:rFonts w:ascii="Times New Roman" w:cs="Times New Roman" w:eastAsia="Times New Roman" w:hAnsi="Times New Roman"/>
          <w:sz w:val="20"/>
          <w:szCs w:val="20"/>
          <w:b w:val="1"/>
          <w:bCs w:val="1"/>
          <w:i w:val="1"/>
          <w:iCs w:val="1"/>
          <w:color w:val="auto"/>
        </w:rPr>
        <w:t>Unearned Units</w:t>
      </w:r>
      <w:r>
        <w:rPr>
          <w:rFonts w:ascii="Times New Roman" w:cs="Times New Roman" w:eastAsia="Times New Roman" w:hAnsi="Times New Roman"/>
          <w:sz w:val="20"/>
          <w:szCs w:val="20"/>
          <w:color w:val="auto"/>
        </w:rPr>
        <w:t>”) shall terminate and the Award, to the extent of the Unearned Units, shall cease to be outstanding.</w:t>
      </w:r>
    </w:p>
    <w:p>
      <w:pPr>
        <w:spacing w:after="0" w:line="196" w:lineRule="exact"/>
        <w:rPr>
          <w:sz w:val="20"/>
          <w:szCs w:val="20"/>
          <w:color w:val="auto"/>
        </w:rPr>
      </w:pPr>
    </w:p>
    <w:p>
      <w:pPr>
        <w:jc w:val="both"/>
        <w:ind w:firstLine="1952"/>
        <w:spacing w:after="0" w:line="241" w:lineRule="auto"/>
        <w:tabs>
          <w:tab w:leader="none" w:pos="235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Vested Units. </w:t>
      </w:r>
      <w:r>
        <w:rPr>
          <w:rFonts w:ascii="Times New Roman" w:cs="Times New Roman" w:eastAsia="Times New Roman" w:hAnsi="Times New Roman"/>
          <w:sz w:val="20"/>
          <w:szCs w:val="20"/>
          <w:color w:val="auto"/>
        </w:rPr>
        <w:t>As of the last day of the Adjusted Performance Period and provided that the Participant’s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not terminated prior to such date, all of the Earned Units determined in accordance with Section 9.2(a) shall become Vested Units (the “</w:t>
      </w:r>
      <w:r>
        <w:rPr>
          <w:rFonts w:ascii="Times New Roman" w:cs="Times New Roman" w:eastAsia="Times New Roman" w:hAnsi="Times New Roman"/>
          <w:sz w:val="20"/>
          <w:szCs w:val="20"/>
          <w:b w:val="1"/>
          <w:bCs w:val="1"/>
          <w:i w:val="1"/>
          <w:iCs w:val="1"/>
          <w:color w:val="auto"/>
        </w:rPr>
        <w:t>Accelerated Units</w:t>
      </w:r>
      <w:r>
        <w:rPr>
          <w:rFonts w:ascii="Times New Roman" w:cs="Times New Roman" w:eastAsia="Times New Roman" w:hAnsi="Times New Roman"/>
          <w:sz w:val="20"/>
          <w:szCs w:val="20"/>
          <w:color w:val="auto"/>
        </w:rPr>
        <w:t>”). The Accelerated Units shall be settled in accordance Section 5 immediately prior to the effective time of the Change in Control.</w:t>
      </w:r>
    </w:p>
    <w:p>
      <w:pPr>
        <w:spacing w:after="0" w:line="21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The number of Units awarded pursuant to this Agreement is subject to adjustment as provided in Section 4.3 of the Plan. Upon the occurrence of an event described in Section 4.3 of the Plan, any and all new, substituted or additional securities or other property to which a holder of a Share issuable in settlement of the Award would be entitled shall be immediately subject to the Agreement and included within the meaning of the term “Shares” for all purposes of the Award. The Participant shall be notified of such adjustments and such adjustments shall be binding upon the Company and the Participant.</w:t>
      </w:r>
    </w:p>
    <w:p>
      <w:pPr>
        <w:spacing w:after="0" w:line="201"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ENTITLEMENT OR CLAIMS FOR COMPENSATION OR EMPLOYMENT</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color w:val="auto"/>
        </w:rPr>
        <w:t>11.1 The Participant’s rights, if any, in respect of or in connection with the Units are derived solely from the discretionary decision of the Company to permit the Participant to participate in the Plan and to benefit from a discretionary Award. By accepting the Units, the Participant expressly acknowledges that there is no obligation on the part of the Company to continue the Plan and/or grant any additional Units or other Awards to the Participant. The Units are not intended to be compensation of a continuing or recurring nature, or part of the Participant’s normal or expected compensation, and in no way represents any portion of the Participant’s salary, compensation, or other remuneration for purposes of pension benefits, severance, redundancy, resignation or any other purpose.</w:t>
      </w:r>
    </w:p>
    <w:p>
      <w:pPr>
        <w:spacing w:after="0" w:line="205"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11.2 Neither the Plan nor the Units shall be deemed to give the Participant a right to remain an Employee, Director or Consultant of the Company or any other Participating Company. The Participating Company Group reserves the right to terminate the Service of the Participant at any time, with or without cause, and for any reason, subject to applicable laws, the Company’s Certificate of Incorporation and Bylaws and a written employment agreement (if any), and the Participant shall be deemed irrevocably to have waived any claim to damages or specific performance for breach of contract or dismissal, compensation for loss of office, tort or otherwise with respect to the Plan, the Units or any other outstanding Award that is forfeited and/or is terminated by its terms or to any future Award.</w:t>
      </w:r>
    </w:p>
    <w:p>
      <w:pPr>
        <w:spacing w:after="0" w:line="213"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A STOCKHOLDER</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that may be issued in settlement of this Award until the date of the issuance of a certificate for such Shares (as evidenced by the appropriate entry on the books of the Company or of a duly authorized transfer agent of the Company). No adjustment shall be made for dividends, dividend equivalents, distributions or other rights for which the record date is prior to the date such certificate is issued, except as provided in Section 10.</w:t>
      </w:r>
    </w:p>
    <w:p>
      <w:pPr>
        <w:spacing w:after="0" w:line="214"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REPAYMENT/FORFEITURE.</w:t>
      </w:r>
    </w:p>
    <w:p>
      <w:pPr>
        <w:spacing w:after="0" w:line="23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Any benefits a Participant may receive pursuant to this Award shall be subject to repayment or forfeiture as required to comply with (a) any applicable listing standards of a national securities exchange</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37" w:lineRule="auto"/>
        <w:rPr>
          <w:sz w:val="20"/>
          <w:szCs w:val="20"/>
          <w:color w:val="auto"/>
        </w:rPr>
      </w:pPr>
      <w:r>
        <w:rPr>
          <w:rFonts w:ascii="Times New Roman" w:cs="Times New Roman" w:eastAsia="Times New Roman" w:hAnsi="Times New Roman"/>
          <w:sz w:val="20"/>
          <w:szCs w:val="20"/>
          <w:color w:val="auto"/>
        </w:rPr>
        <w:t>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Paylocity Holding Corporation Policy for Recovery of Erroneously Awarded Incentive Compensation, or (d) any other repayment or forfeiture policies adopted by the Company, each to the extent determined by the Company in its discretion to be applicable to Participant.</w:t>
      </w:r>
    </w:p>
    <w:p>
      <w:pPr>
        <w:spacing w:after="0" w:line="213"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Units.</w:t>
      </w:r>
    </w:p>
    <w:p>
      <w:pPr>
        <w:spacing w:after="0" w:line="20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xml:space="preserve"> The Committee may amend this Agreement at any time; provided, however, that no such amendment may adversely affect the Participant’s rights under this Agreement without the consent of the Participant, except to the extent such amendment is necessary to comply with applicable law, including, but not limited to, Code Section 409A. No amendment or addition to this Agreement shall be effective unless in writing.</w:t>
      </w:r>
    </w:p>
    <w:p>
      <w:pPr>
        <w:spacing w:after="0" w:line="21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color w:val="auto"/>
        </w:rPr>
        <w:t>Nontransferability of the Award.</w:t>
      </w:r>
      <w:r>
        <w:rPr>
          <w:rFonts w:ascii="Times New Roman" w:cs="Times New Roman" w:eastAsia="Times New Roman" w:hAnsi="Times New Roman"/>
          <w:sz w:val="20"/>
          <w:szCs w:val="20"/>
          <w:color w:val="auto"/>
        </w:rPr>
        <w:t xml:space="preserve"> Prior to the issuance of Shares on the applicable Settlement Date, no right or interest of the Participant in the Award nor any Shares issuable on settlement of the Award shall be in any manner pledged, encumbered, or hypothecated to or in favor of any party other than the Company or shall become subject to any lien, obligation, or liability of such Participant to any other party other than the Company. Except as otherwise provided by the Committee, the Award shall not be assigned, transferred or otherwise disposed of other than by will or the laws of descent and distribution. All rights with respect to the Award shall be exercisable during the Participant’s lifetime only by the Participant or the Participant’s guardian or legal representative.</w:t>
      </w:r>
    </w:p>
    <w:p>
      <w:pPr>
        <w:spacing w:after="0" w:line="198"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19"/>
          <w:szCs w:val="19"/>
          <w:b w:val="1"/>
          <w:bCs w:val="1"/>
          <w:color w:val="auto"/>
        </w:rPr>
        <w:t>Section 409A.</w:t>
      </w:r>
    </w:p>
    <w:p>
      <w:pPr>
        <w:spacing w:after="0" w:line="243" w:lineRule="exact"/>
        <w:rPr>
          <w:sz w:val="20"/>
          <w:szCs w:val="20"/>
          <w:color w:val="auto"/>
        </w:rPr>
      </w:pPr>
    </w:p>
    <w:p>
      <w:pPr>
        <w:jc w:val="both"/>
        <w:ind w:firstLine="1952"/>
        <w:spacing w:after="0" w:line="235" w:lineRule="auto"/>
        <w:tabs>
          <w:tab w:leader="none" w:pos="236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the Plan, this Agreement or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Notice, the Plan, this Agreement and the Grant Notice shall be interpreted in accordance with, and incorporate the terms and conditions required by, Code Section 409A (together with any Department of Treasury regulations and other interpretive guidance issued thereunder, including without limitation any such regulations or other guidance that may be issued after the date hereof). The vesting and settlement of Units awarded pursuant to this Agreement are intended to qualify for the “short-term deferral” exemption from Code Section 409A. The Company reserves the right, to the extent the Company deems necessary or advisable in its sole discretion, to unilaterally amend or modify the Plan and/or this Agreement to ensure that the Units qualify for exemption from or comply with Code Section 409A;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makes no representations that the Units will be exempt from Code Section 409A and makes no undertaking to preclude Code Section 409A from applying to the Units.</w:t>
      </w:r>
    </w:p>
    <w:p>
      <w:pPr>
        <w:sectPr>
          <w:pgSz w:w="11900" w:h="16838" w:orient="portrait"/>
          <w:cols w:equalWidth="0" w:num="1">
            <w:col w:w="11240"/>
          </w:cols>
          <w:pgMar w:left="320" w:top="1332" w:right="339" w:bottom="1440" w:gutter="0" w:footer="0" w:header="0"/>
        </w:sectPr>
      </w:pPr>
    </w:p>
    <w:bookmarkStart w:id="70" w:name="page71"/>
    <w:bookmarkEnd w:id="70"/>
    <w:p>
      <w:pPr>
        <w:jc w:val="both"/>
        <w:ind w:firstLine="1952"/>
        <w:spacing w:after="0" w:line="235" w:lineRule="auto"/>
        <w:tabs>
          <w:tab w:leader="none" w:pos="237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Required Delay in Payment to Specified Employee. </w:t>
      </w:r>
      <w:r>
        <w:rPr>
          <w:rFonts w:ascii="Times New Roman" w:cs="Times New Roman" w:eastAsia="Times New Roman" w:hAnsi="Times New Roman"/>
          <w:sz w:val="20"/>
          <w:szCs w:val="20"/>
          <w:color w:val="auto"/>
        </w:rPr>
        <w:t>Notwithstanding anything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herein to the contrary, no amount payable pursuant to this Agreement on account of the Participant’s termination of Service which constitutes a “deferral of compensation” within the meaning of Code Section 409A shall be paid unless and until the Participant has incurred a “separation from service” within the meaning of Code Section 409A. Furthermore, to the extent that the Participant is a “specified employee” within the meaning of Code Section 409A as of the date of the Participant’s separation from service, no amount that constitutes a deferral of compensation which is payable on account of the Participant’s separation from service shall paid to the Participant before the date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21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b w:val="1"/>
          <w:bCs w:val="1"/>
          <w:color w:val="auto"/>
        </w:rPr>
        <w:t>Delivery of Documents and Notices.</w:t>
      </w:r>
      <w:r>
        <w:rPr>
          <w:rFonts w:ascii="Times New Roman" w:cs="Times New Roman" w:eastAsia="Times New Roman" w:hAnsi="Times New Roman"/>
          <w:sz w:val="20"/>
          <w:szCs w:val="20"/>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8" w:lineRule="exact"/>
        <w:rPr>
          <w:sz w:val="20"/>
          <w:szCs w:val="20"/>
          <w:color w:val="auto"/>
        </w:rPr>
      </w:pPr>
    </w:p>
    <w:p>
      <w:pPr>
        <w:jc w:val="both"/>
        <w:ind w:firstLine="1952"/>
        <w:spacing w:after="0" w:line="238" w:lineRule="auto"/>
        <w:tabs>
          <w:tab w:leader="none" w:pos="236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Description of Electronic Delivery. </w:t>
      </w:r>
      <w:r>
        <w:rPr>
          <w:rFonts w:ascii="Times New Roman" w:cs="Times New Roman" w:eastAsia="Times New Roman" w:hAnsi="Times New Roman"/>
          <w:sz w:val="20"/>
          <w:szCs w:val="20"/>
          <w:color w:val="auto"/>
        </w:rPr>
        <w:t>The Plan documents, which may include but do not necessarily include: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99" w:lineRule="exact"/>
        <w:rPr>
          <w:rFonts w:ascii="Times New Roman" w:cs="Times New Roman" w:eastAsia="Times New Roman" w:hAnsi="Times New Roman"/>
          <w:sz w:val="20"/>
          <w:szCs w:val="20"/>
          <w:color w:val="auto"/>
        </w:rPr>
      </w:pPr>
    </w:p>
    <w:p>
      <w:pPr>
        <w:jc w:val="both"/>
        <w:ind w:firstLine="1952"/>
        <w:spacing w:after="0" w:line="236" w:lineRule="auto"/>
        <w:tabs>
          <w:tab w:leader="none" w:pos="240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Consent to Electronic Delivery. </w:t>
      </w:r>
      <w:r>
        <w:rPr>
          <w:rFonts w:ascii="Times New Roman" w:cs="Times New Roman" w:eastAsia="Times New Roman" w:hAnsi="Times New Roman"/>
          <w:sz w:val="20"/>
          <w:szCs w:val="20"/>
          <w:color w:val="auto"/>
        </w:rPr>
        <w:t>The Participant acknowledges that the Participant has read Section 14.6(a)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and consents to the electronic delivery of the Plan documents and, if permitted by the Company, the delivery of the Grant Notice, as described in Section 14.6(a).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14.6(a)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14.6(a).</w:t>
      </w:r>
    </w:p>
    <w:p>
      <w:pPr>
        <w:spacing w:after="0" w:line="19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b w:val="1"/>
          <w:bCs w:val="1"/>
          <w:color w:val="auto"/>
        </w:rPr>
        <w:t>Construction of Agreement.</w:t>
      </w:r>
      <w:r>
        <w:rPr>
          <w:rFonts w:ascii="Times New Roman" w:cs="Times New Roman" w:eastAsia="Times New Roman" w:hAnsi="Times New Roman"/>
          <w:sz w:val="20"/>
          <w:szCs w:val="20"/>
          <w:color w:val="auto"/>
        </w:rPr>
        <w:t xml:space="preserve"> The Grant Notice, this Agreement, and the Units evidenced hereby (i) are made and granted pursuant to the Plan and are in all respects limited by and subject to the terms of the Plan, and (ii) constitute the entire agreement between the Participant and the Company on the subject matter hereof and supersede all proposals, written or oral, and all other</w:t>
      </w:r>
    </w:p>
    <w:p>
      <w:pPr>
        <w:sectPr>
          <w:pgSz w:w="11900" w:h="16838" w:orient="portrait"/>
          <w:cols w:equalWidth="0" w:num="1">
            <w:col w:w="11240"/>
          </w:cols>
          <w:pgMar w:left="320" w:top="1328"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20"/>
          <w:szCs w:val="20"/>
          <w:color w:val="auto"/>
        </w:rPr>
        <w:t>communications between the parties related to the subject matter. All decisions of the Committee with respect to any question or issue arising under the Grant Notice, this Agreement or the Plan shall be conclusive and binding on all persons having an interest in the Units.</w:t>
      </w:r>
    </w:p>
    <w:p>
      <w:pPr>
        <w:spacing w:after="0" w:line="19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14.8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14.9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8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14.10 </w:t>
      </w:r>
      <w:r>
        <w:rPr>
          <w:rFonts w:ascii="Times New Roman" w:cs="Times New Roman" w:eastAsia="Times New Roman" w:hAnsi="Times New Roman"/>
          <w:sz w:val="20"/>
          <w:szCs w:val="20"/>
          <w:b w:val="1"/>
          <w:bCs w:val="1"/>
          <w:color w:val="auto"/>
        </w:rPr>
        <w:t>Applicable Law; Forum Selection.</w:t>
      </w:r>
      <w:r>
        <w:rPr>
          <w:rFonts w:ascii="Times New Roman" w:cs="Times New Roman" w:eastAsia="Times New Roman" w:hAnsi="Times New Roman"/>
          <w:sz w:val="20"/>
          <w:szCs w:val="20"/>
          <w:color w:val="auto"/>
        </w:rPr>
        <w:t xml:space="preserve"> This Agreement shall be governed by the laws of the State of California. The parties agree that any suit, action, or other legal proceeding arising out of or relating to this Agreement may be brought in a court of competent jurisdiction located within California. The parties agree and consent to service by mail of any paper initiating any suit, action, or proceeding at the address set forth herein. The Participant agrees to update the Participant’s address with the Company as soon as possible after a change in address occurs and acknowledges that it is the Participant’s responsibility to ensure that the Company has the Participant’s correct address on file. The Participant waives any objection to service by mail where the Company addresses service to the most recent address provided by the Participant.</w:t>
      </w:r>
    </w:p>
    <w:p>
      <w:pPr>
        <w:spacing w:after="0" w:line="19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14.11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xml:space="preserve"> The Grant Notice may be executed in counterparts, each of which shall be deemed an original, but all of which together shall constitute one and the same instrument.</w:t>
      </w:r>
    </w:p>
    <w:p>
      <w:pPr>
        <w:sectPr>
          <w:pgSz w:w="11900" w:h="16838" w:orient="portrait"/>
          <w:cols w:equalWidth="0" w:num="1">
            <w:col w:w="11240"/>
          </w:cols>
          <w:pgMar w:left="320" w:top="1332"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ind w:left="4180"/>
        <w:spacing w:after="0" w:line="205" w:lineRule="auto"/>
        <w:rPr>
          <w:sz w:val="20"/>
          <w:szCs w:val="20"/>
          <w:color w:val="auto"/>
        </w:rPr>
      </w:pPr>
      <w:r>
        <w:rPr>
          <w:rFonts w:ascii="Times New Roman" w:cs="Times New Roman" w:eastAsia="Times New Roman" w:hAnsi="Times New Roman"/>
          <w:sz w:val="25"/>
          <w:szCs w:val="25"/>
          <w:b w:val="1"/>
          <w:bCs w:val="1"/>
          <w:color w:val="auto"/>
        </w:rPr>
        <w:t>MARKET STOCK UNITS</w:t>
      </w:r>
    </w:p>
    <w:p>
      <w:pPr>
        <w:jc w:val="center"/>
        <w:spacing w:after="0" w:line="220" w:lineRule="auto"/>
        <w:rPr>
          <w:sz w:val="20"/>
          <w:szCs w:val="20"/>
          <w:color w:val="auto"/>
        </w:rPr>
      </w:pPr>
      <w:r>
        <w:rPr>
          <w:rFonts w:ascii="Times New Roman" w:cs="Times New Roman" w:eastAsia="Times New Roman" w:hAnsi="Times New Roman"/>
          <w:sz w:val="25"/>
          <w:szCs w:val="25"/>
          <w:b w:val="1"/>
          <w:bCs w:val="1"/>
          <w:color w:val="auto"/>
        </w:rPr>
        <w:t>NOTICE OF GRANT AND AWARD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U.S. Participants/Contains a Non-Competition Covenant)</w:t>
      </w:r>
    </w:p>
    <w:p>
      <w:pPr>
        <w:spacing w:after="0" w:line="200" w:lineRule="exact"/>
        <w:rPr>
          <w:sz w:val="20"/>
          <w:szCs w:val="20"/>
          <w:color w:val="auto"/>
        </w:rPr>
      </w:pPr>
    </w:p>
    <w:p>
      <w:pPr>
        <w:spacing w:after="0" w:line="206" w:lineRule="exact"/>
        <w:rPr>
          <w:sz w:val="20"/>
          <w:szCs w:val="20"/>
          <w:color w:val="auto"/>
        </w:rPr>
      </w:pPr>
    </w:p>
    <w:p>
      <w:pPr>
        <w:ind w:right="420" w:firstLine="648"/>
        <w:spacing w:after="0" w:line="229" w:lineRule="auto"/>
        <w:rPr>
          <w:sz w:val="20"/>
          <w:szCs w:val="20"/>
          <w:color w:val="auto"/>
        </w:rPr>
      </w:pPr>
      <w:r>
        <w:rPr>
          <w:rFonts w:ascii="Times New Roman" w:cs="Times New Roman" w:eastAsia="Times New Roman" w:hAnsi="Times New Roman"/>
          <w:sz w:val="19"/>
          <w:szCs w:val="19"/>
          <w:color w:val="auto"/>
        </w:rPr>
        <w:t>Paylocity Holding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pursuant to its 2023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this Notice of Grant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and the attached Award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hereby grants to the holder listed below (the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an</w:t>
      </w:r>
    </w:p>
    <w:p>
      <w:pPr>
        <w:spacing w:after="0" w:line="1"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0"/>
          <w:szCs w:val="20"/>
          <w:color w:val="auto"/>
        </w:rPr>
        <w:t>award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of Market Stock Units (each a “</w:t>
      </w:r>
      <w:r>
        <w:rPr>
          <w:rFonts w:ascii="Times New Roman" w:cs="Times New Roman" w:eastAsia="Times New Roman" w:hAnsi="Times New Roman"/>
          <w:sz w:val="20"/>
          <w:szCs w:val="20"/>
          <w:b w:val="1"/>
          <w:bCs w:val="1"/>
          <w:i w:val="1"/>
          <w:iCs w:val="1"/>
          <w:color w:val="auto"/>
        </w:rPr>
        <w:t>Unit</w:t>
      </w:r>
      <w:r>
        <w:rPr>
          <w:rFonts w:ascii="Times New Roman" w:cs="Times New Roman" w:eastAsia="Times New Roman" w:hAnsi="Times New Roman"/>
          <w:sz w:val="20"/>
          <w:szCs w:val="20"/>
          <w:color w:val="auto"/>
        </w:rPr>
        <w:t>”), each of which represents the right to receive on the applicable Settlement Date one (1) share of Stock (each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as follows:</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-140335</wp:posOffset>
            </wp:positionV>
            <wp:extent cx="4345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70" w:lineRule="exact"/>
        <w:rPr>
          <w:sz w:val="20"/>
          <w:szCs w:val="20"/>
          <w:color w:val="auto"/>
        </w:rPr>
      </w:pPr>
    </w:p>
    <w:tbl>
      <w:tblPr>
        <w:tblLayout w:type="fixed"/>
        <w:tblInd w:w="740" w:type="dxa"/>
        <w:tblCellMar>
          <w:top w:w="0" w:type="dxa"/>
          <w:left w:w="0" w:type="dxa"/>
          <w:bottom w:w="0" w:type="dxa"/>
          <w:right w:w="0" w:type="dxa"/>
        </w:tblCellMar>
      </w:tblP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Units:</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__________ subject to adjustment as provided by the Agreement.</w:t>
            </w:r>
          </w:p>
        </w:tc>
        <w:tc>
          <w:tcPr>
            <w:tcW w:w="0" w:type="dxa"/>
            <w:vAlign w:val="bottom"/>
          </w:tcPr>
          <w:p>
            <w:pPr>
              <w:spacing w:after="0"/>
              <w:rPr>
                <w:sz w:val="1"/>
                <w:szCs w:val="1"/>
                <w:color w:val="auto"/>
              </w:rPr>
            </w:pPr>
          </w:p>
        </w:tc>
      </w:tr>
      <w:tr>
        <w:trPr>
          <w:trHeight w:val="207"/>
        </w:trPr>
        <w:tc>
          <w:tcPr>
            <w:tcW w:w="30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Maximum Number of Units:</w:t>
            </w:r>
          </w:p>
        </w:tc>
        <w:tc>
          <w:tcPr>
            <w:tcW w:w="68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[___]% of the Target Number of Units, subject to adjustment as provided by the</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Allocation of Award to</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199" w:lineRule="exact"/>
              <w:rPr>
                <w:sz w:val="20"/>
                <w:szCs w:val="20"/>
                <w:color w:val="auto"/>
              </w:rPr>
            </w:pPr>
            <w:r>
              <w:rPr>
                <w:rFonts w:ascii="Times New Roman" w:cs="Times New Roman" w:eastAsia="Times New Roman" w:hAnsi="Times New Roman"/>
                <w:sz w:val="20"/>
                <w:szCs w:val="20"/>
                <w:color w:val="auto"/>
              </w:rPr>
              <w:t>[___]% of the Award is allocated to and eligible to be earned with respect of the</w:t>
            </w:r>
          </w:p>
        </w:tc>
        <w:tc>
          <w:tcPr>
            <w:tcW w:w="0" w:type="dxa"/>
            <w:vAlign w:val="bottom"/>
          </w:tcPr>
          <w:p>
            <w:pPr>
              <w:spacing w:after="0"/>
              <w:rPr>
                <w:sz w:val="1"/>
                <w:szCs w:val="1"/>
                <w:color w:val="auto"/>
              </w:rPr>
            </w:pPr>
          </w:p>
        </w:tc>
      </w:tr>
      <w:tr>
        <w:trPr>
          <w:trHeight w:val="207"/>
        </w:trPr>
        <w:tc>
          <w:tcPr>
            <w:tcW w:w="30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Performance Periods:</w:t>
            </w:r>
          </w:p>
        </w:tc>
        <w:tc>
          <w:tcPr>
            <w:tcW w:w="68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level performance attained during the [four] Performance Periods applicable to the</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Award. [[___] of the Award is eligible to vest in quarterly installments commencing</w:t>
            </w:r>
          </w:p>
        </w:tc>
        <w:tc>
          <w:tcPr>
            <w:tcW w:w="0" w:type="dxa"/>
            <w:vAlign w:val="bottom"/>
          </w:tcPr>
          <w:p>
            <w:pPr>
              <w:spacing w:after="0"/>
              <w:rPr>
                <w:sz w:val="1"/>
                <w:szCs w:val="1"/>
                <w:color w:val="auto"/>
              </w:rPr>
            </w:pPr>
          </w:p>
        </w:tc>
      </w:tr>
      <w:tr>
        <w:trPr>
          <w:trHeight w:val="247"/>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Performance Periods:</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 the third performance year as outlined in the Performance Periods.]</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applicable Performance Periods are as follows (each a “Performance</w:t>
            </w: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682"/>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Relative TSR Percentile, as defined in Appendix A.</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3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080" w:type="dxa"/>
            <w:vAlign w:val="bottom"/>
            <w:vMerge w:val="continue"/>
          </w:tcPr>
          <w:p>
            <w:pPr>
              <w:spacing w:after="0"/>
              <w:rPr>
                <w:sz w:val="19"/>
                <w:szCs w:val="19"/>
                <w:color w:val="auto"/>
              </w:rPr>
            </w:pPr>
          </w:p>
        </w:tc>
        <w:tc>
          <w:tcPr>
            <w:tcW w:w="684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rPr>
              <w:t>Except as otherwise provided by the Agreement, the Vesting Date shall be the day</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color w:val="auto"/>
                <w:w w:val="99"/>
              </w:rPr>
              <w:t>following the end of the Performance Period on which the Committee determines the</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20"/>
                <w:szCs w:val="20"/>
                <w:color w:val="auto"/>
              </w:rPr>
              <w:t>extent to which the Performance Measure has been achieved, but in any event no</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later than 30 days following the end of such Performance Period.</w:t>
            </w:r>
          </w:p>
        </w:tc>
        <w:tc>
          <w:tcPr>
            <w:tcW w:w="0" w:type="dxa"/>
            <w:vAlign w:val="bottom"/>
          </w:tcPr>
          <w:p>
            <w:pPr>
              <w:spacing w:after="0"/>
              <w:rPr>
                <w:sz w:val="1"/>
                <w:szCs w:val="1"/>
                <w:color w:val="auto"/>
              </w:rPr>
            </w:pPr>
          </w:p>
        </w:tc>
      </w:tr>
      <w:tr>
        <w:trPr>
          <w:trHeight w:val="36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Vested Units:</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Provided that the Participant’s Service has not terminated prior to the Vesting Date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for a Performance Period (except as otherwise provided by the Agreement), the</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Settlement Date:</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Earned Units, if any, shall become Vested Units on the Vesting Date.</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For each Vested Unit, except as otherwise provided by the Agreement, the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Settlement Date shall be the Vesting Date or as soon thereafter as practicable, but in</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w w:val="99"/>
              </w:rPr>
              <w:t>any event no later than the 15th day of the third calendar month following the end of</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w w:val="99"/>
              </w:rPr>
              <w:t>the Applicable Year in which the Vesting Date occurs. For this purpose, “Applicable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Year” means the calendar year or the Company’s fiscal year, whichever year ends</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later.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73" w:name="page74"/>
    <w:bookmarkEnd w:id="73"/>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their signatures below or by electronic acceptance or authentication in a form authorized by the Company, the Company and the</w:t>
      </w:r>
    </w:p>
    <w:p>
      <w:pPr>
        <w:spacing w:after="0" w:line="204" w:lineRule="auto"/>
        <w:rPr>
          <w:sz w:val="20"/>
          <w:szCs w:val="20"/>
          <w:color w:val="auto"/>
        </w:rPr>
      </w:pPr>
      <w:r>
        <w:rPr>
          <w:rFonts w:ascii="Times New Roman" w:cs="Times New Roman" w:eastAsia="Times New Roman" w:hAnsi="Times New Roman"/>
          <w:sz w:val="20"/>
          <w:szCs w:val="20"/>
          <w:color w:val="auto"/>
        </w:rPr>
        <w:t>Participant agree that the Award is governed by this Grant Notice and by the provisions of the Plan and the Agreement, both of which are made part of this document. The Participant acknowledges that copies of the Plan, the Agreement and the prospectus for the Plan are</w:t>
      </w:r>
    </w:p>
    <w:p>
      <w:pPr>
        <w:spacing w:after="0" w:line="211" w:lineRule="auto"/>
        <w:rPr>
          <w:sz w:val="20"/>
          <w:szCs w:val="20"/>
          <w:color w:val="auto"/>
        </w:rPr>
      </w:pPr>
      <w:r>
        <w:rPr>
          <w:rFonts w:ascii="Times New Roman" w:cs="Times New Roman" w:eastAsia="Times New Roman" w:hAnsi="Times New Roman"/>
          <w:sz w:val="20"/>
          <w:szCs w:val="20"/>
          <w:color w:val="auto"/>
        </w:rPr>
        <w:t>available on the Company’s internal web site and may be viewed and printed by the Participant for attachment to the Participant’s copy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this Grant Notice. The Participant represents that the Participant has read and is familiar with the provisions of the Plan and the Agreement, and hereby accepts the Award subject to all of their terms and conditions.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0" w:type="dxa"/>
            <w:vAlign w:val="bottom"/>
          </w:tcPr>
          <w:p>
            <w:pPr>
              <w:spacing w:after="0"/>
              <w:rPr>
                <w:sz w:val="1"/>
                <w:szCs w:val="1"/>
                <w:color w:val="auto"/>
              </w:rPr>
            </w:pPr>
          </w:p>
        </w:tc>
      </w:tr>
      <w:tr>
        <w:trPr>
          <w:trHeight w:val="439"/>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Toby Williams</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7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Name: Toby Williams</w:t>
            </w: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20" w:type="dxa"/>
            <w:vAlign w:val="bottom"/>
            <w:gridSpan w:val="4"/>
            <w:vMerge w:val="continue"/>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Signature</w:t>
            </w:r>
          </w:p>
        </w:tc>
        <w:tc>
          <w:tcPr>
            <w:tcW w:w="0" w:type="dxa"/>
            <w:vAlign w:val="bottom"/>
          </w:tcPr>
          <w:p>
            <w:pPr>
              <w:spacing w:after="0"/>
              <w:rPr>
                <w:sz w:val="1"/>
                <w:szCs w:val="1"/>
                <w:color w:val="auto"/>
              </w:rPr>
            </w:pPr>
          </w:p>
        </w:tc>
      </w:t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5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4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1400 American Lane</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191"/>
        </w:trPr>
        <w:tc>
          <w:tcPr>
            <w:tcW w:w="1060" w:type="dxa"/>
            <w:vAlign w:val="bottom"/>
            <w:gridSpan w:val="2"/>
            <w:vMerge w:val="continue"/>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Schaumburg, Illinois, 60173</w:t>
            </w:r>
          </w:p>
        </w:tc>
        <w:tc>
          <w:tcPr>
            <w:tcW w:w="5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wp:posOffset>
            </wp:positionV>
            <wp:extent cx="3488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167640</wp:posOffset>
            </wp:positionV>
            <wp:extent cx="3488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3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Performance Measure and Performance Multiplier</w:t>
      </w:r>
    </w:p>
    <w:p>
      <w:pPr>
        <w:ind w:left="3420"/>
        <w:spacing w:after="0" w:line="211" w:lineRule="auto"/>
        <w:rPr>
          <w:sz w:val="20"/>
          <w:szCs w:val="20"/>
          <w:color w:val="auto"/>
        </w:rPr>
      </w:pPr>
      <w:r>
        <w:rPr>
          <w:rFonts w:ascii="Times New Roman" w:cs="Times New Roman" w:eastAsia="Times New Roman" w:hAnsi="Times New Roman"/>
          <w:sz w:val="20"/>
          <w:szCs w:val="20"/>
          <w:b w:val="1"/>
          <w:bCs w:val="1"/>
          <w:color w:val="auto"/>
        </w:rPr>
        <w:t>Applicable to Market Stock Unit Award Granted on</w:t>
      </w:r>
    </w:p>
    <w:p>
      <w:pPr>
        <w:ind w:left="5120"/>
        <w:spacing w:after="0"/>
        <w:rPr>
          <w:sz w:val="20"/>
          <w:szCs w:val="20"/>
          <w:color w:val="auto"/>
        </w:rPr>
      </w:pPr>
      <w:r>
        <w:rPr>
          <w:rFonts w:ascii="Times New Roman" w:cs="Times New Roman" w:eastAsia="Times New Roman" w:hAnsi="Times New Roman"/>
          <w:sz w:val="20"/>
          <w:szCs w:val="20"/>
          <w:b w:val="1"/>
          <w:bCs w:val="1"/>
          <w:color w:val="auto"/>
        </w:rPr>
        <w:t>[_________]</w:t>
      </w:r>
    </w:p>
    <w:p>
      <w:pPr>
        <w:spacing w:after="0" w:line="379" w:lineRule="exact"/>
        <w:rPr>
          <w:sz w:val="20"/>
          <w:szCs w:val="20"/>
          <w:color w:val="auto"/>
        </w:rPr>
      </w:pPr>
    </w:p>
    <w:p>
      <w:pPr>
        <w:ind w:right="20" w:firstLine="656"/>
        <w:spacing w:after="0" w:line="235" w:lineRule="auto"/>
        <w:tabs>
          <w:tab w:leader="none" w:pos="129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Relative TSR Percentile</w:t>
      </w:r>
      <w:r>
        <w:rPr>
          <w:rFonts w:ascii="Times New Roman" w:cs="Times New Roman" w:eastAsia="Times New Roman" w:hAnsi="Times New Roman"/>
          <w:sz w:val="20"/>
          <w:szCs w:val="20"/>
          <w:color w:val="auto"/>
        </w:rPr>
        <w:t>” means the percentile (rounded to the nearest whole percentile) of the Company’s TSR ranking relative to the TSRs of the Comparator Companies, determined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125095</wp:posOffset>
            </wp:positionV>
            <wp:extent cx="2648585"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6485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171" w:lineRule="exact"/>
        <w:rPr>
          <w:sz w:val="20"/>
          <w:szCs w:val="20"/>
          <w:color w:val="auto"/>
        </w:rPr>
      </w:pPr>
    </w:p>
    <w:p>
      <w:pPr>
        <w:ind w:left="196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20"/>
          <w:szCs w:val="20"/>
          <w:color w:val="auto"/>
        </w:rPr>
        <w:t>” is an integer equal to the Company’s ranking when the TSRs of the Company and the Comparator Companies are ranked from the highest to the lowest TSR, with the highest being one (1); and</w:t>
      </w:r>
    </w:p>
    <w:p>
      <w:pPr>
        <w:spacing w:after="0" w:line="1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20"/>
          <w:szCs w:val="20"/>
          <w:color w:val="auto"/>
        </w:rPr>
        <w:t>” is equal to the number of Comparator Companies plus the Company.</w:t>
      </w:r>
    </w:p>
    <w:p>
      <w:pPr>
        <w:spacing w:after="0" w:line="179"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0"/>
          <w:szCs w:val="20"/>
          <w:color w:val="auto"/>
        </w:rPr>
        <w:t>For example, if there are 2999 Comparator Companies and the Company’s TSR ranked 500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highest among the TSRs of a group of 3000 Index Companies (i.e., the Comparator Companies plus the Company), the Relative TSR Percentile of the Company would be 83%, which is the result of (1 – ((500 – 1)/(3000-1))) x 100% (rounded to the nearest whole percentile).</w:t>
      </w:r>
    </w:p>
    <w:p>
      <w:pPr>
        <w:spacing w:after="0" w:line="146" w:lineRule="exact"/>
        <w:rPr>
          <w:sz w:val="20"/>
          <w:szCs w:val="20"/>
          <w:color w:val="auto"/>
        </w:rPr>
      </w:pPr>
    </w:p>
    <w:p>
      <w:pPr>
        <w:jc w:val="both"/>
        <w:ind w:firstLine="656"/>
        <w:spacing w:after="0" w:line="223" w:lineRule="auto"/>
        <w:tabs>
          <w:tab w:leader="none" w:pos="129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or Total Stockholder Return means, for the Company and each Comparator Company, the growth rate for the applicable Performance Period, expressed as a percentage (rounded to the nearest 1/100 of 1%), in the value of one share of such company’s common stock during the Performance Period due to the appreciation in the price per share and dividends paid during such period with respect to such share, assuming dividends are reinvested,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125730</wp:posOffset>
            </wp:positionV>
            <wp:extent cx="263144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314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“Ending Price</w:t>
      </w:r>
      <w:r>
        <w:rPr>
          <w:rFonts w:ascii="Times New Roman" w:cs="Times New Roman" w:eastAsia="Times New Roman" w:hAnsi="Times New Roman"/>
          <w:sz w:val="20"/>
          <w:szCs w:val="20"/>
          <w:color w:val="auto"/>
        </w:rPr>
        <w:t>” is the Ending Average Per Share Closing Price of such company;</w:t>
      </w:r>
    </w:p>
    <w:p>
      <w:pPr>
        <w:spacing w:after="0" w:line="189" w:lineRule="exact"/>
        <w:rPr>
          <w:sz w:val="20"/>
          <w:szCs w:val="20"/>
          <w:color w:val="auto"/>
        </w:rPr>
      </w:pPr>
    </w:p>
    <w:p>
      <w:pPr>
        <w:ind w:left="196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Dividends</w:t>
      </w:r>
      <w:r>
        <w:rPr>
          <w:rFonts w:ascii="Times New Roman" w:cs="Times New Roman" w:eastAsia="Times New Roman" w:hAnsi="Times New Roman"/>
          <w:sz w:val="20"/>
          <w:szCs w:val="20"/>
          <w:color w:val="auto"/>
        </w:rPr>
        <w:t>” are the aggregate values of all dividends paid to a stockholder of record of such company with respect to one share of common stock during the Performance Period; and</w:t>
      </w:r>
    </w:p>
    <w:p>
      <w:pPr>
        <w:spacing w:after="0" w:line="15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Beginning Price</w:t>
      </w:r>
      <w:r>
        <w:rPr>
          <w:rFonts w:ascii="Times New Roman" w:cs="Times New Roman" w:eastAsia="Times New Roman" w:hAnsi="Times New Roman"/>
          <w:sz w:val="20"/>
          <w:szCs w:val="20"/>
          <w:color w:val="auto"/>
        </w:rPr>
        <w:t>” is the Beginning Average Per Share Closing Price of such company.</w:t>
      </w:r>
    </w:p>
    <w:p>
      <w:pPr>
        <w:spacing w:after="0" w:line="189" w:lineRule="exact"/>
        <w:rPr>
          <w:sz w:val="20"/>
          <w:szCs w:val="20"/>
          <w:color w:val="auto"/>
        </w:rPr>
      </w:pPr>
    </w:p>
    <w:p>
      <w:pPr>
        <w:ind w:firstLine="656"/>
        <w:spacing w:after="0" w:line="235" w:lineRule="auto"/>
        <w:tabs>
          <w:tab w:leader="none" w:pos="129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Beginning Average Per Share Closing Price</w:t>
      </w:r>
      <w:r>
        <w:rPr>
          <w:rFonts w:ascii="Times New Roman" w:cs="Times New Roman" w:eastAsia="Times New Roman" w:hAnsi="Times New Roman"/>
          <w:sz w:val="20"/>
          <w:szCs w:val="20"/>
          <w:color w:val="auto"/>
        </w:rPr>
        <w:t>” means, for the Company and each Comparator Company, the Average Per Share Closing Price for the 30 calendar days ending with the calendar day immediately preceding the first day of the Performance Period.</w:t>
      </w:r>
    </w:p>
    <w:p>
      <w:pPr>
        <w:sectPr>
          <w:pgSz w:w="11900" w:h="16838" w:orient="portrait"/>
          <w:cols w:equalWidth="0" w:num="1">
            <w:col w:w="11240"/>
          </w:cols>
          <w:pgMar w:left="320" w:top="1440" w:right="339" w:bottom="1440" w:gutter="0" w:footer="0" w:header="0"/>
        </w:sectPr>
      </w:pPr>
    </w:p>
    <w:bookmarkStart w:id="75" w:name="page76"/>
    <w:bookmarkEnd w:id="75"/>
    <w:p>
      <w:pPr>
        <w:ind w:firstLine="656"/>
        <w:spacing w:after="0" w:line="245" w:lineRule="auto"/>
        <w:tabs>
          <w:tab w:leader="none" w:pos="129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“Comparator Companies” </w:t>
      </w:r>
      <w:r>
        <w:rPr>
          <w:rFonts w:ascii="Times New Roman" w:cs="Times New Roman" w:eastAsia="Times New Roman" w:hAnsi="Times New Roman"/>
          <w:sz w:val="20"/>
          <w:szCs w:val="20"/>
          <w:color w:val="auto"/>
        </w:rPr>
        <w:t>means each of the companies, other than the Company, included in the Russell 3000 Index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determined in accordance with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w:t>
      </w:r>
    </w:p>
    <w:p>
      <w:pPr>
        <w:spacing w:after="0" w:line="137" w:lineRule="exact"/>
        <w:rPr>
          <w:rFonts w:ascii="Times New Roman" w:cs="Times New Roman" w:eastAsia="Times New Roman" w:hAnsi="Times New Roman"/>
          <w:sz w:val="20"/>
          <w:szCs w:val="20"/>
          <w:color w:val="auto"/>
        </w:rPr>
      </w:pPr>
    </w:p>
    <w:p>
      <w:pPr>
        <w:jc w:val="both"/>
        <w:ind w:firstLine="656"/>
        <w:spacing w:after="0" w:line="235" w:lineRule="auto"/>
        <w:tabs>
          <w:tab w:leader="none" w:pos="129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“Earned Units” </w:t>
      </w:r>
      <w:r>
        <w:rPr>
          <w:rFonts w:ascii="Times New Roman" w:cs="Times New Roman" w:eastAsia="Times New Roman" w:hAnsi="Times New Roman"/>
          <w:sz w:val="19"/>
          <w:szCs w:val="19"/>
          <w:color w:val="auto"/>
        </w:rPr>
        <w:t>means, with respect to each Performance Period, the number of Units (rounded up to the nearest whole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Unit), if any (not to exceed the Maximum Number of Units for such Performance Period) shall be equal to the product of (i) the Target Number of Units for such Performance Period multiplied by (ii) the Relative TSR Multiplier; provided, however, that if the Company’s TSR for the Performance Period is a negative number, then the number of Earned Units shall not exceed 100% of the Target Number of Units.</w:t>
      </w:r>
    </w:p>
    <w:p>
      <w:pPr>
        <w:spacing w:after="0" w:line="156" w:lineRule="exact"/>
        <w:rPr>
          <w:rFonts w:ascii="Times New Roman" w:cs="Times New Roman" w:eastAsia="Times New Roman" w:hAnsi="Times New Roman"/>
          <w:sz w:val="19"/>
          <w:szCs w:val="19"/>
          <w:color w:val="auto"/>
        </w:rPr>
      </w:pPr>
    </w:p>
    <w:p>
      <w:pPr>
        <w:ind w:firstLine="656"/>
        <w:spacing w:after="0" w:line="245" w:lineRule="auto"/>
        <w:tabs>
          <w:tab w:leader="none" w:pos="129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Ending Average Per Share Closing Price</w:t>
      </w:r>
      <w:r>
        <w:rPr>
          <w:rFonts w:ascii="Times New Roman" w:cs="Times New Roman" w:eastAsia="Times New Roman" w:hAnsi="Times New Roman"/>
          <w:sz w:val="20"/>
          <w:szCs w:val="20"/>
          <w:color w:val="auto"/>
        </w:rPr>
        <w:t>” means, for the Company and each Comparator Company, the Average Per Share Closing Price for the 30 calendar days ending with the last calendar day of the applicable Performance Period.</w:t>
      </w:r>
    </w:p>
    <w:p>
      <w:pPr>
        <w:spacing w:after="0" w:line="137"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Average Per Share Closing Price</w:t>
      </w:r>
      <w:r>
        <w:rPr>
          <w:rFonts w:ascii="Times New Roman" w:cs="Times New Roman" w:eastAsia="Times New Roman" w:hAnsi="Times New Roman"/>
          <w:sz w:val="19"/>
          <w:szCs w:val="19"/>
          <w:color w:val="auto"/>
        </w:rPr>
        <w:t>” means, for the Company and each Comparator Company, the volume weighted average of the daily closing prices per share of common stock of such company as reported on the national or regional securities exchange or quotation system constituting the primary market for such common stock for all trading days falling within the applicable averaging period.</w:t>
      </w:r>
    </w:p>
    <w:p>
      <w:pPr>
        <w:spacing w:after="0" w:line="138"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Relative TSR Multiplier</w:t>
      </w:r>
      <w:r>
        <w:rPr>
          <w:rFonts w:ascii="Times New Roman" w:cs="Times New Roman" w:eastAsia="Times New Roman" w:hAnsi="Times New Roman"/>
          <w:sz w:val="20"/>
          <w:szCs w:val="20"/>
          <w:color w:val="auto"/>
        </w:rPr>
        <w:t xml:space="preserve">” means a ratio determined as set forth on </w:t>
      </w:r>
      <w:r>
        <w:rPr>
          <w:rFonts w:ascii="Times New Roman" w:cs="Times New Roman" w:eastAsia="Times New Roman" w:hAnsi="Times New Roman"/>
          <w:sz w:val="20"/>
          <w:szCs w:val="20"/>
          <w:u w:val="single" w:color="auto"/>
          <w:color w:val="auto"/>
        </w:rPr>
        <w:t>Appendix C</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Relative TSR Percentiles serve as cliffs. For example, if Relative TSR Percentile was 59%, the Relative TSR Multiplier would be 95%.</w:t>
      </w:r>
    </w:p>
    <w:p>
      <w:pPr>
        <w:spacing w:after="0" w:line="212" w:lineRule="exact"/>
        <w:rPr>
          <w:sz w:val="20"/>
          <w:szCs w:val="20"/>
          <w:color w:val="auto"/>
        </w:rPr>
      </w:pPr>
    </w:p>
    <w:p>
      <w:pPr>
        <w:jc w:val="both"/>
        <w:ind w:firstLine="656"/>
        <w:spacing w:after="0" w:line="227" w:lineRule="auto"/>
        <w:tabs>
          <w:tab w:leader="none" w:pos="129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Negative Company TSR</w:t>
      </w:r>
      <w:r>
        <w:rPr>
          <w:rFonts w:ascii="Times New Roman" w:cs="Times New Roman" w:eastAsia="Times New Roman" w:hAnsi="Times New Roman"/>
          <w:sz w:val="20"/>
          <w:szCs w:val="20"/>
          <w:color w:val="auto"/>
        </w:rPr>
        <w:t>. If the Company’s TSR for the Performance Period is a negative number, then the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Earned Units shall not exceed 100% of the Target Units (i.e., the Relative TSR Multiplier may not exceed 1.00), regardless of the Company’s Relative TSR Percentile for the Performance Period.</w:t>
      </w:r>
    </w:p>
    <w:p>
      <w:pPr>
        <w:sectPr>
          <w:pgSz w:w="11900" w:h="16838" w:orient="portrait"/>
          <w:cols w:equalWidth="0" w:num="1">
            <w:col w:w="11240"/>
          </w:cols>
          <w:pgMar w:left="320" w:top="1395" w:right="339" w:bottom="1440" w:gutter="0" w:footer="0" w:header="0"/>
        </w:sectPr>
      </w:pPr>
    </w:p>
    <w:bookmarkStart w:id="76" w:name="page77"/>
    <w:bookmarkEnd w:id="76"/>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COMPARATOR COMPANIES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Comparator Companies consist of the companies (other than the Company) included in the Russell 3000 Index as of the Grant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applicable during a Performane Period, a Comparator Company’s TSR shall be modified during the Performance Period as follows:</w:t>
      </w:r>
    </w:p>
    <w:p>
      <w:pPr>
        <w:spacing w:after="0" w:line="189" w:lineRule="exact"/>
        <w:rPr>
          <w:sz w:val="20"/>
          <w:szCs w:val="20"/>
          <w:color w:val="auto"/>
        </w:rPr>
      </w:pPr>
    </w:p>
    <w:p>
      <w:pPr>
        <w:ind w:left="1300" w:hanging="644"/>
        <w:spacing w:after="0" w:line="233" w:lineRule="auto"/>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becomes bankrupt during the Performance Period, then its TSR for the Performance Period will be deemed to equal negative 100%.</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ceases to be publicly traded for a reason other than bankruptcy during the Performance Period, then its TSR will be determined on the date immediately prior to its ceasing to be publicly traded.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merges during the Performance Period with another entity that is not a Comparator Company, then its TSR will be determined on the date immediately prior to the effective time of the merger.</w:t>
      </w:r>
    </w:p>
    <w:p>
      <w:pPr>
        <w:spacing w:after="0" w:line="161" w:lineRule="exact"/>
        <w:rPr>
          <w:rFonts w:ascii="Times New Roman" w:cs="Times New Roman" w:eastAsia="Times New Roman" w:hAnsi="Times New Roman"/>
          <w:sz w:val="20"/>
          <w:szCs w:val="20"/>
          <w:color w:val="auto"/>
        </w:rPr>
      </w:pPr>
    </w:p>
    <w:p>
      <w:pPr>
        <w:jc w:val="both"/>
        <w:ind w:left="1300" w:hanging="644"/>
        <w:spacing w:after="0" w:line="226" w:lineRule="auto"/>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two Comparator Companies merge during the Performance Period, then (a) with respect to the acquired company, its TSR will be determined on the date immediately prior the effective time of the merger and (b) with respect to the acquiring company, its TSR will be determined as if the merger did not occur.</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26" w:lineRule="auto"/>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distributes a portion of its business in a spin-off transaction during the Performance Period, then in determining its TSR for the Performance Period the market capitalization per share of the spun off entity will be treated as a dividend paid by the distributing company.</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APPENDIX 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RELATIVE TSR 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16510</wp:posOffset>
            </wp:positionV>
            <wp:extent cx="2880360" cy="1431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880360" cy="1431925"/>
                    </a:xfrm>
                    <a:prstGeom prst="rect">
                      <a:avLst/>
                    </a:prstGeom>
                    <a:noFill/>
                  </pic:spPr>
                </pic:pic>
              </a:graphicData>
            </a:graphic>
          </wp:anchor>
        </w:drawing>
      </w:r>
    </w:p>
    <w:tbl>
      <w:tblPr>
        <w:tblLayout w:type="fixed"/>
        <w:tblInd w:w="2240" w:type="dxa"/>
        <w:tblCellMar>
          <w:top w:w="0" w:type="dxa"/>
          <w:left w:w="0" w:type="dxa"/>
          <w:bottom w:w="0" w:type="dxa"/>
          <w:right w:w="0" w:type="dxa"/>
        </w:tblCellMar>
      </w:tblPr>
      <w:tr>
        <w:trPr>
          <w:trHeight w:val="229"/>
        </w:trPr>
        <w:tc>
          <w:tcPr>
            <w:tcW w:w="2600" w:type="dxa"/>
            <w:vAlign w:val="bottom"/>
            <w:vMerge w:val="restart"/>
            <w:shd w:val="clear" w:color="auto" w:fill="A5A5A5"/>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Relative TSR Multiplier</w:t>
            </w:r>
          </w:p>
        </w:tc>
        <w:tc>
          <w:tcPr>
            <w:tcW w:w="1940" w:type="dxa"/>
            <w:vAlign w:val="bottom"/>
            <w:shd w:val="clear" w:color="auto" w:fill="A5A5A5"/>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Relative TSR</w:t>
            </w:r>
          </w:p>
        </w:tc>
        <w:tc>
          <w:tcPr>
            <w:tcW w:w="0" w:type="dxa"/>
            <w:vAlign w:val="bottom"/>
          </w:tcPr>
          <w:p>
            <w:pPr>
              <w:spacing w:after="0"/>
              <w:rPr>
                <w:sz w:val="1"/>
                <w:szCs w:val="1"/>
                <w:color w:val="auto"/>
              </w:rPr>
            </w:pPr>
          </w:p>
        </w:tc>
      </w:tr>
      <w:tr>
        <w:trPr>
          <w:trHeight w:val="154"/>
        </w:trPr>
        <w:tc>
          <w:tcPr>
            <w:tcW w:w="2600" w:type="dxa"/>
            <w:vAlign w:val="bottom"/>
            <w:vMerge w:val="continue"/>
            <w:shd w:val="clear" w:color="auto" w:fill="A5A5A5"/>
          </w:tcPr>
          <w:p>
            <w:pPr>
              <w:spacing w:after="0"/>
              <w:rPr>
                <w:sz w:val="13"/>
                <w:szCs w:val="13"/>
                <w:color w:val="auto"/>
              </w:rPr>
            </w:pPr>
          </w:p>
        </w:tc>
        <w:tc>
          <w:tcPr>
            <w:tcW w:w="1940" w:type="dxa"/>
            <w:vAlign w:val="bottom"/>
            <w:vMerge w:val="restart"/>
            <w:shd w:val="clear" w:color="auto" w:fill="A5A5A5"/>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Percentile</w:t>
            </w:r>
          </w:p>
        </w:tc>
        <w:tc>
          <w:tcPr>
            <w:tcW w:w="0" w:type="dxa"/>
            <w:vAlign w:val="bottom"/>
          </w:tcPr>
          <w:p>
            <w:pPr>
              <w:spacing w:after="0"/>
              <w:rPr>
                <w:sz w:val="1"/>
                <w:szCs w:val="1"/>
                <w:color w:val="auto"/>
              </w:rPr>
            </w:pPr>
          </w:p>
        </w:tc>
      </w:tr>
      <w:tr>
        <w:trPr>
          <w:trHeight w:val="109"/>
        </w:trPr>
        <w:tc>
          <w:tcPr>
            <w:tcW w:w="2600" w:type="dxa"/>
            <w:vAlign w:val="bottom"/>
            <w:tcBorders>
              <w:bottom w:val="single" w:sz="8" w:color="A5A5A5"/>
            </w:tcBorders>
            <w:shd w:val="clear" w:color="auto" w:fill="A5A5A5"/>
          </w:tcPr>
          <w:p>
            <w:pPr>
              <w:spacing w:after="0"/>
              <w:rPr>
                <w:sz w:val="9"/>
                <w:szCs w:val="9"/>
                <w:color w:val="auto"/>
              </w:rPr>
            </w:pPr>
          </w:p>
        </w:tc>
        <w:tc>
          <w:tcPr>
            <w:tcW w:w="1940" w:type="dxa"/>
            <w:vAlign w:val="bottom"/>
            <w:tcBorders>
              <w:bottom w:val="single" w:sz="8" w:color="A5A5A5"/>
            </w:tcBorders>
            <w:vMerge w:val="continue"/>
            <w:shd w:val="clear" w:color="auto" w:fill="A5A5A5"/>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600" w:type="dxa"/>
            <w:vAlign w:val="bottom"/>
            <w:shd w:val="clear" w:color="auto" w:fill="E1E1E1"/>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E1E1E1"/>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F0F0F0"/>
            </w:tcBorders>
            <w:shd w:val="clear" w:color="auto" w:fill="F0F0F0"/>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tcBorders>
              <w:bottom w:val="single" w:sz="8" w:color="F0F0F0"/>
            </w:tcBorders>
            <w:shd w:val="clear" w:color="auto" w:fill="F0F0F0"/>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83"/>
        </w:trPr>
        <w:tc>
          <w:tcPr>
            <w:tcW w:w="2600" w:type="dxa"/>
            <w:vAlign w:val="bottom"/>
            <w:shd w:val="clear" w:color="auto" w:fill="E1E1E1"/>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E1E1E1"/>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F0F0F0"/>
            </w:tcBorders>
            <w:shd w:val="clear" w:color="auto" w:fill="F0F0F0"/>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tcBorders>
              <w:bottom w:val="single" w:sz="8" w:color="F0F0F0"/>
            </w:tcBorders>
            <w:shd w:val="clear" w:color="auto" w:fill="F0F0F0"/>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83"/>
        </w:trPr>
        <w:tc>
          <w:tcPr>
            <w:tcW w:w="2600" w:type="dxa"/>
            <w:vAlign w:val="bottom"/>
            <w:shd w:val="clear" w:color="auto" w:fill="E1E1E1"/>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E1E1E1"/>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63"/>
        </w:trPr>
        <w:tc>
          <w:tcPr>
            <w:tcW w:w="2600" w:type="dxa"/>
            <w:vAlign w:val="bottom"/>
            <w:shd w:val="clear" w:color="auto" w:fill="F0F0F0"/>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F0F0F0"/>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34"/>
        </w:trPr>
        <w:tc>
          <w:tcPr>
            <w:tcW w:w="2600" w:type="dxa"/>
            <w:vAlign w:val="bottom"/>
            <w:shd w:val="clear" w:color="auto" w:fill="F0F0F0"/>
          </w:tcPr>
          <w:p>
            <w:pPr>
              <w:spacing w:after="0"/>
              <w:rPr>
                <w:sz w:val="3"/>
                <w:szCs w:val="3"/>
                <w:color w:val="auto"/>
              </w:rPr>
            </w:pPr>
          </w:p>
        </w:tc>
        <w:tc>
          <w:tcPr>
            <w:tcW w:w="1940" w:type="dxa"/>
            <w:vAlign w:val="bottom"/>
            <w:shd w:val="clear" w:color="auto" w:fill="F0F0F0"/>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440" w:right="1440" w:bottom="1440" w:gutter="0" w:footer="0" w:header="0"/>
        </w:sectPr>
      </w:pPr>
    </w:p>
    <w:bookmarkStart w:id="78" w:name="page79"/>
    <w:bookmarkEnd w:id="78"/>
    <w:p>
      <w:pPr>
        <w:ind w:left="5040"/>
        <w:spacing w:after="0"/>
        <w:rPr>
          <w:sz w:val="20"/>
          <w:szCs w:val="20"/>
          <w:color w:val="auto"/>
        </w:rPr>
      </w:pPr>
      <w:r>
        <w:rPr>
          <w:rFonts w:ascii="Times New Roman" w:cs="Times New Roman" w:eastAsia="Times New Roman" w:hAnsi="Times New Roman"/>
          <w:sz w:val="25"/>
          <w:szCs w:val="25"/>
          <w:b w:val="1"/>
          <w:bCs w:val="1"/>
          <w:color w:val="auto"/>
        </w:rPr>
        <w:t>FORM OF</w:t>
      </w:r>
    </w:p>
    <w:p>
      <w:pPr>
        <w:ind w:left="3260"/>
        <w:spacing w:after="0" w:line="205" w:lineRule="auto"/>
        <w:rPr>
          <w:sz w:val="20"/>
          <w:szCs w:val="20"/>
          <w:color w:val="auto"/>
        </w:rPr>
      </w:pPr>
      <w:r>
        <w:rPr>
          <w:rFonts w:ascii="Times New Roman" w:cs="Times New Roman" w:eastAsia="Times New Roman" w:hAnsi="Times New Roman"/>
          <w:sz w:val="25"/>
          <w:szCs w:val="25"/>
          <w:b w:val="1"/>
          <w:bCs w:val="1"/>
          <w:color w:val="auto"/>
        </w:rPr>
        <w:t>PAYLOCITY HOLDING CORPORATION</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MARKET STOCK 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AWARD AGREEMENT</w:t>
      </w:r>
    </w:p>
    <w:p>
      <w:pPr>
        <w:spacing w:after="0" w:line="167"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Paylocity Holding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granted to the Participant named in the Grant Notice to which this Agreement is attached an Award consisting of Market Stock Units (the “</w:t>
      </w:r>
      <w:r>
        <w:rPr>
          <w:rFonts w:ascii="Times New Roman" w:cs="Times New Roman" w:eastAsia="Times New Roman" w:hAnsi="Times New Roman"/>
          <w:sz w:val="19"/>
          <w:szCs w:val="19"/>
          <w:b w:val="1"/>
          <w:bCs w:val="1"/>
          <w:i w:val="1"/>
          <w:iCs w:val="1"/>
          <w:color w:val="auto"/>
        </w:rPr>
        <w:t>Units</w:t>
      </w:r>
      <w:r>
        <w:rPr>
          <w:rFonts w:ascii="Times New Roman" w:cs="Times New Roman" w:eastAsia="Times New Roman" w:hAnsi="Times New Roman"/>
          <w:sz w:val="19"/>
          <w:szCs w:val="19"/>
          <w:color w:val="auto"/>
        </w:rPr>
        <w:t>”) subject to the terms and conditions set forth in the Grant Notice and this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Agreement. The Award has been granted pursuant to the Paylocity Holding Corporation 2023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amended to the Grant Date, the provisions of which are incorporated herein by reference. This Award is intended to constitute an Award of Performance Shares described in Section 10 of the Plan. Notwithstanding anything in the Plan to the contrary, the determination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number of Units which vest and/or are to be settled in Shares shall be determined based on the provisions contained in the Grant Notice and this Agreement, and the provisions set forth in Section 10.7(a) of the Plan (relating to certain Terminations of Service) shall not apply.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defined herein or in the Grant Notice, capitalized terms shall have the meanings assigned by the Plan.</w:t>
      </w:r>
    </w:p>
    <w:p>
      <w:pPr>
        <w:spacing w:after="0" w:line="185"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b w:val="1"/>
          <w:bCs w:val="1"/>
          <w:color w:val="auto"/>
        </w:rPr>
        <w:t>.</w:t>
      </w:r>
    </w:p>
    <w:p>
      <w:pPr>
        <w:spacing w:after="0" w:line="193"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The Company has granted to the Participant the Award set forth in the Grant Notice, which, depending on the extent to which the Performance Measure is attained during the Performance Period, may result in the Participant earning as little as zero (0) Units or as</w:t>
      </w:r>
    </w:p>
    <w:p>
      <w:pPr>
        <w:spacing w:after="0" w:line="211" w:lineRule="auto"/>
        <w:rPr>
          <w:sz w:val="20"/>
          <w:szCs w:val="20"/>
          <w:color w:val="auto"/>
        </w:rPr>
      </w:pPr>
      <w:r>
        <w:rPr>
          <w:rFonts w:ascii="Times New Roman" w:cs="Times New Roman" w:eastAsia="Times New Roman" w:hAnsi="Times New Roman"/>
          <w:sz w:val="20"/>
          <w:szCs w:val="20"/>
          <w:color w:val="auto"/>
        </w:rPr>
        <w:t>many as the Maximum Number of Units. Subject to the terms of this Agreement and the Plan, each Unit, to the extent it is earned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becomes a Vested Unit, represents a right to receive on the Settlement Date one (1) Share. Unless and until a Unit has been determined to be an Earned Unit and has vested and become a Vested Unit as set forth in the Grant Notice, the Participant will have no right to settlement of</w:t>
      </w:r>
    </w:p>
    <w:p>
      <w:pPr>
        <w:spacing w:after="0"/>
        <w:rPr>
          <w:sz w:val="20"/>
          <w:szCs w:val="20"/>
          <w:color w:val="auto"/>
        </w:rPr>
      </w:pPr>
      <w:r>
        <w:rPr>
          <w:rFonts w:ascii="Times New Roman" w:cs="Times New Roman" w:eastAsia="Times New Roman" w:hAnsi="Times New Roman"/>
          <w:sz w:val="20"/>
          <w:szCs w:val="20"/>
          <w:color w:val="auto"/>
        </w:rPr>
        <w:t>such Units. Prior to settlement of Vested Units, such Units will represent an unfunded and unsecured obligation of the Company.</w:t>
      </w:r>
    </w:p>
    <w:p>
      <w:pPr>
        <w:spacing w:after="0" w:line="149"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COMMITTEE DETERMINATION OF EARNED UNITS</w:t>
      </w:r>
      <w:r>
        <w:rPr>
          <w:rFonts w:ascii="Times New Roman" w:cs="Times New Roman" w:eastAsia="Times New Roman" w:hAnsi="Times New Roman"/>
          <w:sz w:val="20"/>
          <w:szCs w:val="20"/>
          <w:b w:val="1"/>
          <w:bCs w:val="1"/>
          <w:color w:val="auto"/>
        </w:rPr>
        <w:t>.</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color w:val="auto"/>
        </w:rPr>
        <w:t xml:space="preserve">Level of Performance Measure Attained. </w:t>
      </w:r>
      <w:r>
        <w:rPr>
          <w:rFonts w:ascii="Times New Roman" w:cs="Times New Roman" w:eastAsia="Times New Roman" w:hAnsi="Times New Roman"/>
          <w:sz w:val="19"/>
          <w:szCs w:val="19"/>
          <w:color w:val="auto"/>
        </w:rPr>
        <w:t>As soon as practicable following completion of the Performance Period,</w:t>
      </w:r>
    </w:p>
    <w:p>
      <w:pPr>
        <w:spacing w:after="0" w:line="4"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but in any event no later than the Vesting Date, the Committee shall determine the level of attainment of the Performance Measure during the Performance Period, the resulting Relative TSR Multiplier and the number of Units which have become Earned Units.</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b w:val="1"/>
          <w:bCs w:val="1"/>
          <w:color w:val="auto"/>
        </w:rPr>
        <w:t xml:space="preserve">Adjustment for Leave of Absence or Part-Time Work. </w:t>
      </w:r>
      <w:r>
        <w:rPr>
          <w:rFonts w:ascii="Times New Roman" w:cs="Times New Roman" w:eastAsia="Times New Roman" w:hAnsi="Times New Roman"/>
          <w:sz w:val="20"/>
          <w:szCs w:val="20"/>
          <w:color w:val="auto"/>
        </w:rPr>
        <w:t>Unless otherwise required by law or Company policy, if</w:t>
      </w:r>
    </w:p>
    <w:p>
      <w:pPr>
        <w:spacing w:after="0" w:line="215" w:lineRule="auto"/>
        <w:rPr>
          <w:sz w:val="20"/>
          <w:szCs w:val="20"/>
          <w:color w:val="auto"/>
        </w:rPr>
      </w:pPr>
      <w:r>
        <w:rPr>
          <w:rFonts w:ascii="Times New Roman" w:cs="Times New Roman" w:eastAsia="Times New Roman" w:hAnsi="Times New Roman"/>
          <w:sz w:val="19"/>
          <w:szCs w:val="19"/>
          <w:color w:val="auto"/>
        </w:rPr>
        <w:t>the Participant takes one or more unpaid leaves of absence, the Committee may, in its discretion, make such modifications to the Award as it deems appropriate. Unless otherwise required by law or Company policy, if the Participant commences working on a part-time basis during</w:t>
      </w:r>
    </w:p>
    <w:p>
      <w:pPr>
        <w:spacing w:after="0"/>
        <w:rPr>
          <w:sz w:val="20"/>
          <w:szCs w:val="20"/>
          <w:color w:val="auto"/>
        </w:rPr>
      </w:pPr>
      <w:r>
        <w:rPr>
          <w:rFonts w:ascii="Times New Roman" w:cs="Times New Roman" w:eastAsia="Times New Roman" w:hAnsi="Times New Roman"/>
          <w:sz w:val="20"/>
          <w:szCs w:val="20"/>
          <w:color w:val="auto"/>
        </w:rPr>
        <w:t>the Performance Period, the Committee may, in its discretion, make such modifications to the Award as it deems appropriate.</w:t>
      </w:r>
    </w:p>
    <w:p>
      <w:pPr>
        <w:spacing w:after="0" w:line="163"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EARNED UNITS</w:t>
      </w:r>
      <w:r>
        <w:rPr>
          <w:rFonts w:ascii="Times New Roman" w:cs="Times New Roman" w:eastAsia="Times New Roman" w:hAnsi="Times New Roman"/>
          <w:sz w:val="20"/>
          <w:szCs w:val="20"/>
          <w:b w:val="1"/>
          <w:bCs w:val="1"/>
          <w:color w:val="auto"/>
        </w:rPr>
        <w:t>.</w:t>
      </w:r>
    </w:p>
    <w:p>
      <w:pPr>
        <w:spacing w:after="0" w:line="175"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Normal Vesting.</w:t>
      </w:r>
      <w:r>
        <w:rPr>
          <w:rFonts w:ascii="Times New Roman" w:cs="Times New Roman" w:eastAsia="Times New Roman" w:hAnsi="Times New Roman"/>
          <w:sz w:val="20"/>
          <w:szCs w:val="20"/>
          <w:color w:val="auto"/>
        </w:rPr>
        <w:t xml:space="preserve"> Except as otherwise provided by this Agreement, Earned Units shall vest and become Vested Units as provided in the Grant Notice.</w:t>
      </w:r>
    </w:p>
    <w:p>
      <w:pPr>
        <w:spacing w:after="0" w:line="151" w:lineRule="exact"/>
        <w:rPr>
          <w:sz w:val="20"/>
          <w:szCs w:val="20"/>
          <w:color w:val="auto"/>
        </w:rPr>
      </w:pPr>
    </w:p>
    <w:p>
      <w:pPr>
        <w:ind w:right="580" w:firstLine="1296"/>
        <w:spacing w:after="0" w:line="23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Vesting Upon a Change in Control.</w:t>
      </w:r>
      <w:r>
        <w:rPr>
          <w:rFonts w:ascii="Times New Roman" w:cs="Times New Roman" w:eastAsia="Times New Roman" w:hAnsi="Times New Roman"/>
          <w:sz w:val="20"/>
          <w:szCs w:val="20"/>
          <w:color w:val="auto"/>
        </w:rPr>
        <w:t xml:space="preserve"> In the event of a Change in Control, the vesting of Earned Units shall be determined in accordance with Section 9.</w:t>
      </w:r>
    </w:p>
    <w:p>
      <w:pPr>
        <w:sectPr>
          <w:pgSz w:w="11900" w:h="16838" w:orient="portrait"/>
          <w:cols w:equalWidth="0" w:num="1">
            <w:col w:w="11240"/>
          </w:cols>
          <w:pgMar w:left="320" w:top="1380" w:right="339" w:bottom="1440" w:gutter="0" w:footer="0" w:header="0"/>
        </w:sectPr>
      </w:pPr>
    </w:p>
    <w:bookmarkStart w:id="79" w:name="page80"/>
    <w:bookmarkEnd w:id="79"/>
    <w:p>
      <w:pPr>
        <w:ind w:left="1300" w:hanging="644"/>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SERVICE</w:t>
      </w:r>
      <w:r>
        <w:rPr>
          <w:rFonts w:ascii="Times New Roman" w:cs="Times New Roman" w:eastAsia="Times New Roman" w:hAnsi="Times New Roman"/>
          <w:sz w:val="20"/>
          <w:szCs w:val="20"/>
          <w:b w:val="1"/>
          <w:bCs w:val="1"/>
          <w:color w:val="auto"/>
        </w:rPr>
        <w:t>.</w:t>
      </w:r>
    </w:p>
    <w:p>
      <w:pPr>
        <w:spacing w:after="0" w:line="189"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Death or Disability.</w:t>
      </w:r>
      <w:r>
        <w:rPr>
          <w:rFonts w:ascii="Times New Roman" w:cs="Times New Roman" w:eastAsia="Times New Roman" w:hAnsi="Times New Roman"/>
          <w:sz w:val="20"/>
          <w:szCs w:val="20"/>
          <w:color w:val="auto"/>
        </w:rPr>
        <w:t xml:space="preserve"> If the Participant’s Service terminates by reason of the death or Disability of the Participant either (a) before completion of the Performance Period or (b) after completion of the Performance Period but before the Vesting Date, the</w:t>
      </w:r>
    </w:p>
    <w:p>
      <w:pPr>
        <w:spacing w:after="0" w:line="224" w:lineRule="auto"/>
        <w:rPr>
          <w:sz w:val="20"/>
          <w:szCs w:val="20"/>
          <w:color w:val="auto"/>
        </w:rPr>
      </w:pPr>
      <w:r>
        <w:rPr>
          <w:rFonts w:ascii="Times New Roman" w:cs="Times New Roman" w:eastAsia="Times New Roman" w:hAnsi="Times New Roman"/>
          <w:sz w:val="19"/>
          <w:szCs w:val="19"/>
          <w:color w:val="auto"/>
        </w:rPr>
        <w:t>Participant shall not forfeit the Award. Instead, unless the Committee determines that Section 9 is applicable, the number of Earned Units and</w:t>
      </w:r>
    </w:p>
    <w:p>
      <w:pPr>
        <w:spacing w:after="0"/>
        <w:rPr>
          <w:sz w:val="20"/>
          <w:szCs w:val="20"/>
          <w:color w:val="auto"/>
        </w:rPr>
      </w:pPr>
      <w:r>
        <w:rPr>
          <w:rFonts w:ascii="Times New Roman" w:cs="Times New Roman" w:eastAsia="Times New Roman" w:hAnsi="Times New Roman"/>
          <w:sz w:val="20"/>
          <w:szCs w:val="20"/>
          <w:color w:val="auto"/>
        </w:rPr>
        <w:t>Vested Units shall be determined as follows:</w:t>
      </w:r>
    </w:p>
    <w:p>
      <w:pPr>
        <w:spacing w:after="0" w:line="153" w:lineRule="exact"/>
        <w:rPr>
          <w:sz w:val="20"/>
          <w:szCs w:val="20"/>
          <w:color w:val="auto"/>
        </w:rPr>
      </w:pPr>
    </w:p>
    <w:p>
      <w:pPr>
        <w:jc w:val="both"/>
        <w:ind w:firstLine="1952"/>
        <w:spacing w:after="0" w:line="226" w:lineRule="auto"/>
        <w:tabs>
          <w:tab w:leader="none" w:pos="258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termination of Service occurs before completion of the Performance Period, then a number of Earned Units shall be determined for a special Performance Period ending on the day of such termination of Service (the “</w:t>
      </w:r>
      <w:r>
        <w:rPr>
          <w:rFonts w:ascii="Times New Roman" w:cs="Times New Roman" w:eastAsia="Times New Roman" w:hAnsi="Times New Roman"/>
          <w:sz w:val="19"/>
          <w:szCs w:val="19"/>
          <w:b w:val="1"/>
          <w:bCs w:val="1"/>
          <w:i w:val="1"/>
          <w:iCs w:val="1"/>
          <w:color w:val="auto"/>
        </w:rPr>
        <w:t>Special 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Period</w:t>
      </w:r>
      <w:r>
        <w:rPr>
          <w:rFonts w:ascii="Times New Roman" w:cs="Times New Roman" w:eastAsia="Times New Roman" w:hAnsi="Times New Roman"/>
          <w:sz w:val="19"/>
          <w:szCs w:val="19"/>
          <w:color w:val="auto"/>
        </w:rPr>
        <w:t>”). The TSR for the Company and each Comparator Company for the Special Performance Period shall be determined as provided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except that the Ending Average Per Share Closing Price shall be determined for the 30 calendar days ending with the last day of the Special Performance Period. The number of Vested Units shall be determined by multiplying such number of Earned Units by the ratio of the number of days of the Participant’s Service during the Special Performance Period to the number of days contained in the original Performance Period. The number of Vested Units so determined shall be settled in accordance with Section 5. The Participant shall forfeit all Units not determined to be Vested Units in accordance with this Section, and the Participant shall not be entitled to any payment therefor.</w:t>
      </w:r>
    </w:p>
    <w:p>
      <w:pPr>
        <w:spacing w:after="0" w:line="163" w:lineRule="exact"/>
        <w:rPr>
          <w:rFonts w:ascii="Times New Roman" w:cs="Times New Roman" w:eastAsia="Times New Roman" w:hAnsi="Times New Roman"/>
          <w:sz w:val="19"/>
          <w:szCs w:val="19"/>
          <w:color w:val="auto"/>
        </w:rPr>
      </w:pPr>
    </w:p>
    <w:p>
      <w:pPr>
        <w:jc w:val="both"/>
        <w:ind w:firstLine="1952"/>
        <w:spacing w:after="0" w:line="222" w:lineRule="auto"/>
        <w:tabs>
          <w:tab w:leader="none" w:pos="25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of Service occurs after completion of the Performance Period but before the Vesting Date, then the number of Earned Units shall be determined for the Performance Period in accordance with Section 2, and all such Earned Units be deemed Vested Units upon such determination by the Committee and settled in accordance with Section 5 as if the Participant’s Service had continued through the Vesting Date.</w:t>
      </w:r>
    </w:p>
    <w:p>
      <w:pPr>
        <w:spacing w:after="0" w:line="13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color w:val="auto"/>
        </w:rPr>
        <w:t xml:space="preserve">Other Termination of Service. </w:t>
      </w:r>
      <w:r>
        <w:rPr>
          <w:rFonts w:ascii="Times New Roman" w:cs="Times New Roman" w:eastAsia="Times New Roman" w:hAnsi="Times New Roman"/>
          <w:sz w:val="19"/>
          <w:szCs w:val="19"/>
          <w:color w:val="auto"/>
        </w:rPr>
        <w:t>In the event that the Participant’s Service terminates for any reason, with or without</w:t>
      </w:r>
    </w:p>
    <w:p>
      <w:pPr>
        <w:spacing w:after="0" w:line="4"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cause, other than by reason of the death or Disability of the Participant, the Participant shall forfeit and the Company shall automatically reacquire all Units which are not, as of the time of such termination, Vested Units, and the Participant shall not be entitled to any payment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therefor.</w:t>
      </w:r>
    </w:p>
    <w:p>
      <w:pPr>
        <w:spacing w:after="0" w:line="163"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17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5.3 and Section 6 below, the Company shall issue to the Participant on the Settlement Date with respect to each Vested Unit to be settled on such date one (1) Share. Shares issued in settlement of Vested Units shall not be subject to any restriction on transfer other than any such restriction as may be required pursuant to Section 5.3.</w:t>
      </w:r>
    </w:p>
    <w:p>
      <w:pPr>
        <w:spacing w:after="0" w:line="13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hereby authorizes the Company, in its</w:t>
      </w:r>
    </w:p>
    <w:p>
      <w:pPr>
        <w:spacing w:after="0" w:line="211" w:lineRule="auto"/>
        <w:rPr>
          <w:sz w:val="20"/>
          <w:szCs w:val="20"/>
          <w:color w:val="auto"/>
        </w:rPr>
      </w:pPr>
      <w:r>
        <w:rPr>
          <w:rFonts w:ascii="Times New Roman" w:cs="Times New Roman" w:eastAsia="Times New Roman" w:hAnsi="Times New Roman"/>
          <w:sz w:val="20"/>
          <w:szCs w:val="20"/>
          <w:color w:val="auto"/>
        </w:rPr>
        <w:t>sole discretion, to deposit any or all Shares acquired by the Participant pursuant to the settlement of the Award with the Company’s transfer</w:t>
      </w:r>
    </w:p>
    <w:p>
      <w:pPr>
        <w:jc w:val="both"/>
        <w:spacing w:after="0" w:line="204" w:lineRule="auto"/>
        <w:rPr>
          <w:sz w:val="20"/>
          <w:szCs w:val="20"/>
          <w:color w:val="auto"/>
        </w:rPr>
      </w:pPr>
      <w:r>
        <w:rPr>
          <w:rFonts w:ascii="Times New Roman" w:cs="Times New Roman" w:eastAsia="Times New Roman" w:hAnsi="Times New Roman"/>
          <w:sz w:val="20"/>
          <w:szCs w:val="20"/>
          <w:color w:val="auto"/>
        </w:rPr>
        <w:t>agent, including any successor transfer agent, to be held in book entry form, or to deposit such Shares for the benefit of the Participant with any broker with which the Participant has an account relationship of which the Company has notice. Except as provided by the foregoing, 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certificate for the Shares acquired by the Participant shall be registered in the name of the Participant, or, if applicable, in the names of the heirs of the Participant.</w:t>
      </w:r>
    </w:p>
    <w:p>
      <w:pPr>
        <w:spacing w:after="0" w:line="13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Restrictions on Grant of the Award and Issuance of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grant of the Award and issuance of Shares upon</w:t>
      </w:r>
    </w:p>
    <w:p>
      <w:pPr>
        <w:spacing w:after="0" w:line="215" w:lineRule="auto"/>
        <w:rPr>
          <w:sz w:val="20"/>
          <w:szCs w:val="20"/>
          <w:color w:val="auto"/>
        </w:rPr>
      </w:pPr>
      <w:r>
        <w:rPr>
          <w:rFonts w:ascii="Times New Roman" w:cs="Times New Roman" w:eastAsia="Times New Roman" w:hAnsi="Times New Roman"/>
          <w:sz w:val="20"/>
          <w:szCs w:val="20"/>
          <w:color w:val="auto"/>
        </w:rPr>
        <w:t>settlement of the Award shall be subject to compliance with all applicable requirements of U.S. federal, state or foreign law with respect to</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securities. No Shares may be issued hereunder if the issuance of such Shares would constitute a violation of any applicable U.S. federal, state or foreign securities laws or other laws or regulations or the requirements of any stock exchange or market system upon which the Stock</w:t>
      </w:r>
    </w:p>
    <w:p>
      <w:pPr>
        <w:spacing w:after="0" w:line="211" w:lineRule="auto"/>
        <w:rPr>
          <w:sz w:val="20"/>
          <w:szCs w:val="20"/>
          <w:color w:val="auto"/>
        </w:rPr>
      </w:pPr>
      <w:r>
        <w:rPr>
          <w:rFonts w:ascii="Times New Roman" w:cs="Times New Roman" w:eastAsia="Times New Roman" w:hAnsi="Times New Roman"/>
          <w:sz w:val="20"/>
          <w:szCs w:val="20"/>
          <w:color w:val="auto"/>
        </w:rPr>
        <w:t>may then be listed. The inability of the Company to obtain from any regulatory body having jurisdiction the authority, if any, deemed by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Company’s legal counsel to be necessary to the lawful issuance of any Shares subject to the Award shall relieve the Company of any liability in respect of the failure to issue such Shares as to which such requisite authority shall not have been obtained. As a condition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settlement of the Award, the Company may require</w:t>
      </w:r>
    </w:p>
    <w:p>
      <w:pPr>
        <w:sectPr>
          <w:pgSz w:w="11900" w:h="16838" w:orient="portrait"/>
          <w:cols w:equalWidth="0" w:num="1">
            <w:col w:w="11240"/>
          </w:cols>
          <w:pgMar w:left="320" w:top="139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the Participant to satisfy any qualifications that may be necessary or appropriate, to evidence compliance with any applicable law or</w:t>
      </w:r>
    </w:p>
    <w:p>
      <w:pPr>
        <w:spacing w:after="0" w:line="204" w:lineRule="auto"/>
        <w:rPr>
          <w:sz w:val="20"/>
          <w:szCs w:val="20"/>
          <w:color w:val="auto"/>
        </w:rPr>
      </w:pPr>
      <w:r>
        <w:rPr>
          <w:rFonts w:ascii="Times New Roman" w:cs="Times New Roman" w:eastAsia="Times New Roman" w:hAnsi="Times New Roman"/>
          <w:sz w:val="20"/>
          <w:szCs w:val="20"/>
          <w:color w:val="auto"/>
        </w:rPr>
        <w:t>regulation and to make any representation or warranty with respect thereto as may be requested by the Company. Further, regardless of whether the transfer or issuance of the Shares to be issued pursuant to the Units has been registered under the Securities Act or has been</w:t>
      </w:r>
    </w:p>
    <w:p>
      <w:pPr>
        <w:spacing w:after="0" w:line="223" w:lineRule="auto"/>
        <w:rPr>
          <w:sz w:val="20"/>
          <w:szCs w:val="20"/>
          <w:color w:val="auto"/>
        </w:rPr>
      </w:pPr>
      <w:r>
        <w:rPr>
          <w:rFonts w:ascii="Times New Roman" w:cs="Times New Roman" w:eastAsia="Times New Roman" w:hAnsi="Times New Roman"/>
          <w:sz w:val="19"/>
          <w:szCs w:val="19"/>
          <w:color w:val="auto"/>
        </w:rPr>
        <w:t>registered or qualified under the securities laws of any State, the Company may impose additional restrictions upon the sale, pledge, or other</w:t>
      </w:r>
    </w:p>
    <w:p>
      <w:pPr>
        <w:spacing w:after="0" w:line="215" w:lineRule="auto"/>
        <w:rPr>
          <w:sz w:val="20"/>
          <w:szCs w:val="20"/>
          <w:color w:val="auto"/>
        </w:rPr>
      </w:pPr>
      <w:r>
        <w:rPr>
          <w:rFonts w:ascii="Times New Roman" w:cs="Times New Roman" w:eastAsia="Times New Roman" w:hAnsi="Times New Roman"/>
          <w:sz w:val="19"/>
          <w:szCs w:val="19"/>
          <w:color w:val="auto"/>
        </w:rPr>
        <w:t>transfer of the Shares (including the placement of appropriate legends on share certificates and the issuance of stop-transfer instructions to the Company’s transfer agent) if, in the judgment of the Company and the Company’s counsel, such restrictions are necessary in order to achieve</w:t>
      </w:r>
    </w:p>
    <w:p>
      <w:pPr>
        <w:spacing w:after="0"/>
        <w:rPr>
          <w:sz w:val="20"/>
          <w:szCs w:val="20"/>
          <w:color w:val="auto"/>
        </w:rPr>
      </w:pPr>
      <w:r>
        <w:rPr>
          <w:rFonts w:ascii="Times New Roman" w:cs="Times New Roman" w:eastAsia="Times New Roman" w:hAnsi="Times New Roman"/>
          <w:sz w:val="20"/>
          <w:szCs w:val="20"/>
          <w:color w:val="auto"/>
        </w:rPr>
        <w:t>compliance with the provisions of the Securities Act, the securities laws of any State, or any other law.</w:t>
      </w:r>
    </w:p>
    <w:p>
      <w:pPr>
        <w:spacing w:after="0" w:line="16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Fractional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not be required to issue fractional Shares upon the settlement of the Award.</w:t>
      </w:r>
    </w:p>
    <w:p>
      <w:pPr>
        <w:spacing w:after="0" w:line="175"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 AND ADVICE</w:t>
      </w:r>
      <w:r>
        <w:rPr>
          <w:rFonts w:ascii="Times New Roman" w:cs="Times New Roman" w:eastAsia="Times New Roman" w:hAnsi="Times New Roman"/>
          <w:sz w:val="20"/>
          <w:szCs w:val="20"/>
          <w:b w:val="1"/>
          <w:bCs w:val="1"/>
          <w:color w:val="auto"/>
        </w:rPr>
        <w:t>.</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b w:val="1"/>
          <w:bCs w:val="1"/>
          <w:color w:val="auto"/>
        </w:rPr>
        <w:t xml:space="preserve">In General. </w:t>
      </w:r>
      <w:r>
        <w:rPr>
          <w:rFonts w:ascii="Times New Roman" w:cs="Times New Roman" w:eastAsia="Times New Roman" w:hAnsi="Times New Roman"/>
          <w:sz w:val="20"/>
          <w:szCs w:val="20"/>
          <w:color w:val="auto"/>
        </w:rPr>
        <w:t>At the time the Grant Notice is executed, or at any time thereafter as requested by a Participating</w:t>
      </w:r>
    </w:p>
    <w:p>
      <w:pPr>
        <w:jc w:val="both"/>
        <w:spacing w:after="0" w:line="215" w:lineRule="auto"/>
        <w:rPr>
          <w:sz w:val="20"/>
          <w:szCs w:val="20"/>
          <w:color w:val="auto"/>
        </w:rPr>
      </w:pPr>
      <w:r>
        <w:rPr>
          <w:rFonts w:ascii="Times New Roman" w:cs="Times New Roman" w:eastAsia="Times New Roman" w:hAnsi="Times New Roman"/>
          <w:sz w:val="19"/>
          <w:szCs w:val="19"/>
          <w:color w:val="auto"/>
        </w:rPr>
        <w:t>Company, the Participant hereby authorizes withholding from payroll and any other amounts payable to the Participant, and otherwise agrees to make adequate provision for, any sums required to satisfy the U.S. federal, state, local and foreign tax (including any social insurance)</w:t>
      </w:r>
    </w:p>
    <w:p>
      <w:pPr>
        <w:spacing w:after="0" w:line="211" w:lineRule="auto"/>
        <w:rPr>
          <w:sz w:val="20"/>
          <w:szCs w:val="20"/>
          <w:color w:val="auto"/>
        </w:rPr>
      </w:pPr>
      <w:r>
        <w:rPr>
          <w:rFonts w:ascii="Times New Roman" w:cs="Times New Roman" w:eastAsia="Times New Roman" w:hAnsi="Times New Roman"/>
          <w:sz w:val="20"/>
          <w:szCs w:val="20"/>
          <w:color w:val="auto"/>
        </w:rPr>
        <w:t>withholding obligations of the Participating Company, if any, which arise in connection with the Award, the vesting of Units or the issuance</w:t>
      </w:r>
    </w:p>
    <w:p>
      <w:pPr>
        <w:spacing w:after="0" w:line="221" w:lineRule="auto"/>
        <w:rPr>
          <w:sz w:val="20"/>
          <w:szCs w:val="20"/>
          <w:color w:val="auto"/>
        </w:rPr>
      </w:pPr>
      <w:r>
        <w:rPr>
          <w:rFonts w:ascii="Times New Roman" w:cs="Times New Roman" w:eastAsia="Times New Roman" w:hAnsi="Times New Roman"/>
          <w:sz w:val="20"/>
          <w:szCs w:val="20"/>
          <w:color w:val="auto"/>
        </w:rPr>
        <w:t>of Shares in settlement thereof. The Company shall have no obligation to deliver Shares until the tax withholding obligations of the Participating Company have been satisfied by the Participant.</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b w:val="1"/>
          <w:bCs w:val="1"/>
          <w:color w:val="auto"/>
        </w:rPr>
        <w:t xml:space="preserve">Assignment of Sale Proceeds. </w:t>
      </w:r>
      <w:r>
        <w:rPr>
          <w:rFonts w:ascii="Times New Roman" w:cs="Times New Roman" w:eastAsia="Times New Roman" w:hAnsi="Times New Roman"/>
          <w:sz w:val="20"/>
          <w:szCs w:val="20"/>
          <w:color w:val="auto"/>
        </w:rPr>
        <w:t>Subject to compliance with applicable law and the Company’s Trading Compliance</w:t>
      </w:r>
    </w:p>
    <w:p>
      <w:pPr>
        <w:spacing w:after="0" w:line="215" w:lineRule="auto"/>
        <w:rPr>
          <w:sz w:val="20"/>
          <w:szCs w:val="20"/>
          <w:color w:val="auto"/>
        </w:rPr>
      </w:pPr>
      <w:r>
        <w:rPr>
          <w:rFonts w:ascii="Times New Roman" w:cs="Times New Roman" w:eastAsia="Times New Roman" w:hAnsi="Times New Roman"/>
          <w:sz w:val="19"/>
          <w:szCs w:val="19"/>
          <w:color w:val="auto"/>
        </w:rPr>
        <w:t>Policy, if permitted by the Company, the Participant may satisfy the Participating Company’s tax withholding obligations in accordance with procedures established by the Company providing for delivery by the Participant to the Company or a broker approved by the Company of</w:t>
      </w:r>
    </w:p>
    <w:p>
      <w:pPr>
        <w:spacing w:after="0" w:line="221" w:lineRule="auto"/>
        <w:rPr>
          <w:sz w:val="20"/>
          <w:szCs w:val="20"/>
          <w:color w:val="auto"/>
        </w:rPr>
      </w:pPr>
      <w:r>
        <w:rPr>
          <w:rFonts w:ascii="Times New Roman" w:cs="Times New Roman" w:eastAsia="Times New Roman" w:hAnsi="Times New Roman"/>
          <w:sz w:val="20"/>
          <w:szCs w:val="20"/>
          <w:color w:val="auto"/>
        </w:rPr>
        <w:t>properly executed instructions, in a form approved by the Company, providing for the assignment to the Company of the proceeds of a sale with respect to some or all of the Shares being acquired upon settlement of Units.</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b w:val="1"/>
          <w:bCs w:val="1"/>
          <w:color w:val="auto"/>
        </w:rPr>
        <w:t xml:space="preserve">Withholding in Shares. </w:t>
      </w:r>
      <w:r>
        <w:rPr>
          <w:rFonts w:ascii="Times New Roman" w:cs="Times New Roman" w:eastAsia="Times New Roman" w:hAnsi="Times New Roman"/>
          <w:sz w:val="20"/>
          <w:szCs w:val="20"/>
          <w:color w:val="auto"/>
        </w:rPr>
        <w:t>The Company shall have the right, but not the obligation, to require the Participant to</w:t>
      </w:r>
    </w:p>
    <w:p>
      <w:pPr>
        <w:spacing w:after="0" w:line="215" w:lineRule="auto"/>
        <w:rPr>
          <w:sz w:val="20"/>
          <w:szCs w:val="20"/>
          <w:color w:val="auto"/>
        </w:rPr>
      </w:pPr>
      <w:r>
        <w:rPr>
          <w:rFonts w:ascii="Times New Roman" w:cs="Times New Roman" w:eastAsia="Times New Roman" w:hAnsi="Times New Roman"/>
          <w:sz w:val="19"/>
          <w:szCs w:val="19"/>
          <w:color w:val="auto"/>
        </w:rPr>
        <w:t>satisfy all or any portion of a Participating Company’s tax withholding obligations by deducting from the Shares otherwise deliverable to the Participant in settlement of the Award a number of whole Shares having a fair market value, as determined by the Company as of the date on</w:t>
      </w:r>
    </w:p>
    <w:p>
      <w:pPr>
        <w:spacing w:after="0" w:line="228" w:lineRule="auto"/>
        <w:rPr>
          <w:sz w:val="20"/>
          <w:szCs w:val="20"/>
          <w:color w:val="auto"/>
        </w:rPr>
      </w:pPr>
      <w:r>
        <w:rPr>
          <w:rFonts w:ascii="Times New Roman" w:cs="Times New Roman" w:eastAsia="Times New Roman" w:hAnsi="Times New Roman"/>
          <w:sz w:val="20"/>
          <w:szCs w:val="20"/>
          <w:color w:val="auto"/>
        </w:rPr>
        <w:t>which the tax withholding obligations arise, not in excess of the amount of such tax withholding obligations determined by the applicable statutory withholding rates.</w:t>
      </w:r>
    </w:p>
    <w:p>
      <w:pPr>
        <w:spacing w:after="0" w:line="14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The Participant represents, warrants and acknowledges that the Company has made no warranties or representations to the Participant with respect to the income tax consequences of the transactions contemplated by this Agreement, and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is in no manner relying on the Company or the Company’s representatives for an assessment of such tax consequences. THE PARTICIPANT UNDERSTANDS THAT THE TAX LAWS AND REGULATIONS ARE SUBJECT TO CHANGE. THE PARTICIPANT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SHOULD CONSULT HIS OR HER OWN TAX ADVISOR REGARDING THE UNITS. NOTHING STATED HEREIN IS INTENDED OR WRITTEN TO BE USED, AND CANNOT BE USED, FOR THE PURPOSE OF AVOIDING TAXPAYER PENALTIES.</w:t>
      </w:r>
    </w:p>
    <w:p>
      <w:pPr>
        <w:spacing w:after="0" w:line="14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 COVENANTS.</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b w:val="1"/>
          <w:bCs w:val="1"/>
          <w:color w:val="auto"/>
        </w:rPr>
        <w:t xml:space="preserve">Covenant Not to Disclose. </w:t>
      </w:r>
      <w:r>
        <w:rPr>
          <w:rFonts w:ascii="Times New Roman" w:cs="Times New Roman" w:eastAsia="Times New Roman" w:hAnsi="Times New Roman"/>
          <w:sz w:val="20"/>
          <w:szCs w:val="20"/>
          <w:color w:val="auto"/>
        </w:rPr>
        <w:t>The Participant acknowledges that as a result of the Participant’s employment with</w:t>
      </w:r>
    </w:p>
    <w:p>
      <w:pPr>
        <w:spacing w:after="0" w:line="204" w:lineRule="auto"/>
        <w:rPr>
          <w:sz w:val="20"/>
          <w:szCs w:val="20"/>
          <w:color w:val="auto"/>
        </w:rPr>
      </w:pPr>
      <w:r>
        <w:rPr>
          <w:rFonts w:ascii="Times New Roman" w:cs="Times New Roman" w:eastAsia="Times New Roman" w:hAnsi="Times New Roman"/>
          <w:sz w:val="20"/>
          <w:szCs w:val="20"/>
          <w:color w:val="auto"/>
        </w:rPr>
        <w:t>Paylocity Corporation, an Illinois corporation (“</w:t>
      </w:r>
      <w:r>
        <w:rPr>
          <w:rFonts w:ascii="Times New Roman" w:cs="Times New Roman" w:eastAsia="Times New Roman" w:hAnsi="Times New Roman"/>
          <w:sz w:val="20"/>
          <w:szCs w:val="20"/>
          <w:b w:val="1"/>
          <w:bCs w:val="1"/>
          <w:i w:val="1"/>
          <w:iCs w:val="1"/>
          <w:color w:val="auto"/>
        </w:rPr>
        <w:t>Paylocity</w:t>
      </w:r>
      <w:r>
        <w:rPr>
          <w:rFonts w:ascii="Times New Roman" w:cs="Times New Roman" w:eastAsia="Times New Roman" w:hAnsi="Times New Roman"/>
          <w:sz w:val="20"/>
          <w:szCs w:val="20"/>
          <w:color w:val="auto"/>
        </w:rPr>
        <w:t>”), the Participant has gained access to Paylocity’s Confidential Information (defined below). During the Participant’s employment and thereafter, the Participant will not use, disclose, or reveal to any person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Confidential Information except when acting within the scope of the Participant’s duties or with prior written authorization from Paylocity’s Chief Human Resources Officer.</w:t>
      </w:r>
    </w:p>
    <w:p>
      <w:pPr>
        <w:sectPr>
          <w:pgSz w:w="11900" w:h="16838" w:orient="portrait"/>
          <w:cols w:equalWidth="0" w:num="1">
            <w:col w:w="11240"/>
          </w:cols>
          <w:pgMar w:left="320" w:top="1394" w:right="339" w:bottom="1440" w:gutter="0" w:footer="0" w:header="0"/>
        </w:sectPr>
      </w:pPr>
    </w:p>
    <w:bookmarkStart w:id="81" w:name="page82"/>
    <w:bookmarkEnd w:id="81"/>
    <w:p>
      <w:pPr>
        <w:ind w:right="20" w:firstLine="1952"/>
        <w:spacing w:after="0" w:line="211" w:lineRule="auto"/>
        <w:tabs>
          <w:tab w:leader="none" w:pos="258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all information belonging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relating to the business of Paylocity (including information received in confidence by Paylocity from its customers or suppliers or other third parties),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formulae and processes,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pacing w:after="0" w:line="165" w:lineRule="exact"/>
        <w:rPr>
          <w:rFonts w:ascii="Times New Roman" w:cs="Times New Roman" w:eastAsia="Times New Roman" w:hAnsi="Times New Roman"/>
          <w:sz w:val="20"/>
          <w:szCs w:val="20"/>
          <w:color w:val="auto"/>
        </w:rPr>
      </w:pPr>
    </w:p>
    <w:p>
      <w:pPr>
        <w:ind w:right="60" w:firstLine="1952"/>
        <w:spacing w:after="0" w:line="213" w:lineRule="auto"/>
        <w:tabs>
          <w:tab w:leader="none" w:pos="2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Scope of Non-Disclosure; Return of Company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Nothing in this Section shall be deemed to limit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6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Covenants Not to Solicit.</w:t>
      </w:r>
    </w:p>
    <w:p>
      <w:pPr>
        <w:spacing w:after="0" w:line="175" w:lineRule="exact"/>
        <w:rPr>
          <w:sz w:val="20"/>
          <w:szCs w:val="20"/>
          <w:color w:val="auto"/>
        </w:rPr>
      </w:pPr>
    </w:p>
    <w:p>
      <w:pPr>
        <w:ind w:right="40" w:firstLine="1952"/>
        <w:spacing w:after="0" w:line="232" w:lineRule="auto"/>
        <w:tabs>
          <w:tab w:leader="none" w:pos="258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Customer Non-Solicitation. </w:t>
      </w:r>
      <w:r>
        <w:rPr>
          <w:rFonts w:ascii="Times New Roman" w:cs="Times New Roman" w:eastAsia="Times New Roman" w:hAnsi="Times New Roman"/>
          <w:sz w:val="19"/>
          <w:szCs w:val="19"/>
          <w:color w:val="auto"/>
        </w:rPr>
        <w:t>During employment with Paylocity and for a period of twenty-four (24) months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following the termination of employment for any reason, the Participant agrees not to directly or indirectly contact, solicit or accept business from any of Paylocity’s customers, prospective customers, brokers, brokerage firms, business partners, business associates, or end users, with whom the Participant had direct or indirect contact or solicited on behalf of Paylocity in the twelve (12) months prior to the Participant’s termination, for the purpose of selling or soliciting products or services that are in competition with the products or services of Paylocity.</w:t>
      </w:r>
    </w:p>
    <w:p>
      <w:pPr>
        <w:spacing w:after="0" w:line="159" w:lineRule="exact"/>
        <w:rPr>
          <w:rFonts w:ascii="Times New Roman" w:cs="Times New Roman" w:eastAsia="Times New Roman" w:hAnsi="Times New Roman"/>
          <w:sz w:val="19"/>
          <w:szCs w:val="19"/>
          <w:color w:val="auto"/>
        </w:rPr>
      </w:pPr>
    </w:p>
    <w:p>
      <w:pPr>
        <w:ind w:right="20" w:firstLine="1952"/>
        <w:spacing w:after="0" w:line="217" w:lineRule="auto"/>
        <w:tabs>
          <w:tab w:leader="none" w:pos="2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Employee Non-Solicitation. </w:t>
      </w:r>
      <w:r>
        <w:rPr>
          <w:rFonts w:ascii="Times New Roman" w:cs="Times New Roman" w:eastAsia="Times New Roman" w:hAnsi="Times New Roman"/>
          <w:sz w:val="20"/>
          <w:szCs w:val="20"/>
          <w:color w:val="auto"/>
        </w:rPr>
        <w:t>During employment with Paylocity and for a period of twenty-four (24) months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following the termination of employment for any reason, the Participant agrees not to directly or indirectly contact, solicit or recruit any employees or exclusive independent contractors of Paylocity with whom the Participant worked or had contact during the twelve (12) months preceding the termination of the Participant’s employment, for the purpose of causing, inviting or encouraging any such employee to (i) terminate his or her employment or business relationship with Paylocity; and/or (ii) become employed or engaged by a person or entity that sells Competing Products (as defined below).</w:t>
      </w:r>
    </w:p>
    <w:p>
      <w:pPr>
        <w:spacing w:after="0" w:line="156"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Covenant Not to Compete.</w:t>
      </w:r>
      <w:r>
        <w:rPr>
          <w:rFonts w:ascii="Times New Roman" w:cs="Times New Roman" w:eastAsia="Times New Roman" w:hAnsi="Times New Roman"/>
          <w:sz w:val="20"/>
          <w:szCs w:val="20"/>
          <w:color w:val="auto"/>
        </w:rPr>
        <w:t xml:space="preserve"> During employment with Paylocity and for a period of twelve (12) months following the termination of employment for any reason, the Participant agrees not to directly or indirectly, on behalf of Participant or in conjunction</w:t>
      </w:r>
    </w:p>
    <w:p>
      <w:pPr>
        <w:spacing w:after="0" w:line="213" w:lineRule="auto"/>
        <w:rPr>
          <w:sz w:val="20"/>
          <w:szCs w:val="20"/>
          <w:color w:val="auto"/>
        </w:rPr>
      </w:pPr>
      <w:r>
        <w:rPr>
          <w:rFonts w:ascii="Times New Roman" w:cs="Times New Roman" w:eastAsia="Times New Roman" w:hAnsi="Times New Roman"/>
          <w:sz w:val="20"/>
          <w:szCs w:val="20"/>
          <w:color w:val="auto"/>
        </w:rPr>
        <w:t>with any other person or entity: (i) own any business (other than less than 3% ownership in a publicly traded company) that sells Competing</w:t>
      </w:r>
    </w:p>
    <w:p>
      <w:pPr>
        <w:spacing w:after="0" w:line="204" w:lineRule="auto"/>
        <w:rPr>
          <w:sz w:val="20"/>
          <w:szCs w:val="20"/>
          <w:color w:val="auto"/>
        </w:rPr>
      </w:pPr>
      <w:r>
        <w:rPr>
          <w:rFonts w:ascii="Times New Roman" w:cs="Times New Roman" w:eastAsia="Times New Roman" w:hAnsi="Times New Roman"/>
          <w:sz w:val="20"/>
          <w:szCs w:val="20"/>
          <w:color w:val="auto"/>
        </w:rPr>
        <w:t>Products in the Restricted Territory; or (ii) work in the Restricted Territory (whether as an employee, independent contractor, consultant, or otherwise) for any person or entity that sells Competing Products, in any role: (y) that is similar to any position held with the Company</w:t>
      </w:r>
    </w:p>
    <w:p>
      <w:pPr>
        <w:spacing w:after="0" w:line="211" w:lineRule="auto"/>
        <w:rPr>
          <w:sz w:val="20"/>
          <w:szCs w:val="20"/>
          <w:color w:val="auto"/>
        </w:rPr>
      </w:pPr>
      <w:r>
        <w:rPr>
          <w:rFonts w:ascii="Times New Roman" w:cs="Times New Roman" w:eastAsia="Times New Roman" w:hAnsi="Times New Roman"/>
          <w:sz w:val="20"/>
          <w:szCs w:val="20"/>
          <w:color w:val="auto"/>
        </w:rPr>
        <w:t>during the twenty-four (24) months preceding the termination of the Participant’s employment, or (z) in which it would be beneficial for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Participant to use or rely upon Paylocity’s Confidential Information. The term “</w:t>
      </w:r>
      <w:r>
        <w:rPr>
          <w:rFonts w:ascii="Times New Roman" w:cs="Times New Roman" w:eastAsia="Times New Roman" w:hAnsi="Times New Roman"/>
          <w:sz w:val="20"/>
          <w:szCs w:val="20"/>
          <w:b w:val="1"/>
          <w:bCs w:val="1"/>
          <w:i w:val="1"/>
          <w:iCs w:val="1"/>
          <w:color w:val="auto"/>
        </w:rPr>
        <w:t>Competing Products</w:t>
      </w:r>
      <w:r>
        <w:rPr>
          <w:rFonts w:ascii="Times New Roman" w:cs="Times New Roman" w:eastAsia="Times New Roman" w:hAnsi="Times New Roman"/>
          <w:sz w:val="20"/>
          <w:szCs w:val="20"/>
          <w:color w:val="auto"/>
        </w:rPr>
        <w:t>” shall mean products or services sold by Paylocity, or any prospective product or service Paylocity took</w:t>
      </w:r>
    </w:p>
    <w:p>
      <w:pPr>
        <w:sectPr>
          <w:pgSz w:w="11900" w:h="16838" w:orient="portrait"/>
          <w:cols w:equalWidth="0" w:num="1">
            <w:col w:w="11240"/>
          </w:cols>
          <w:pgMar w:left="320" w:top="139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steps to develop, and for which the Participant had any responsibility during the twenty-four (24) months preceding the termination of the</w:t>
      </w:r>
    </w:p>
    <w:p>
      <w:pPr>
        <w:spacing w:after="0" w:line="204" w:lineRule="auto"/>
        <w:rPr>
          <w:sz w:val="20"/>
          <w:szCs w:val="20"/>
          <w:color w:val="auto"/>
        </w:rPr>
      </w:pPr>
      <w:r>
        <w:rPr>
          <w:rFonts w:ascii="Times New Roman" w:cs="Times New Roman" w:eastAsia="Times New Roman" w:hAnsi="Times New Roman"/>
          <w:sz w:val="20"/>
          <w:szCs w:val="20"/>
          <w:color w:val="auto"/>
        </w:rPr>
        <w:t>Participant’s employment, including, without limitation, any products or services related to software solutions for payroll, human capital management, human resources, benefits, time and labor, and talent management. The term “</w:t>
      </w:r>
      <w:r>
        <w:rPr>
          <w:rFonts w:ascii="Times New Roman" w:cs="Times New Roman" w:eastAsia="Times New Roman" w:hAnsi="Times New Roman"/>
          <w:sz w:val="20"/>
          <w:szCs w:val="20"/>
          <w:b w:val="1"/>
          <w:bCs w:val="1"/>
          <w:i w:val="1"/>
          <w:iCs w:val="1"/>
          <w:color w:val="auto"/>
        </w:rPr>
        <w:t>Restricted Territory</w:t>
      </w:r>
      <w:r>
        <w:rPr>
          <w:rFonts w:ascii="Times New Roman" w:cs="Times New Roman" w:eastAsia="Times New Roman" w:hAnsi="Times New Roman"/>
          <w:sz w:val="20"/>
          <w:szCs w:val="20"/>
          <w:color w:val="auto"/>
        </w:rPr>
        <w:t>” shall mean the geographic</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territory over which the Participant had responsibility during the twenty-four (24) months preceding the termination of the Participant’s employment.</w:t>
      </w:r>
    </w:p>
    <w:p>
      <w:pPr>
        <w:spacing w:after="0" w:line="14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color w:val="auto"/>
        </w:rPr>
        <w:t>Acknowledgments.</w:t>
      </w:r>
      <w:r>
        <w:rPr>
          <w:rFonts w:ascii="Times New Roman" w:cs="Times New Roman" w:eastAsia="Times New Roman" w:hAnsi="Times New Roman"/>
          <w:sz w:val="20"/>
          <w:szCs w:val="20"/>
          <w:color w:val="auto"/>
        </w:rPr>
        <w:t xml:space="preserve"> The Participant acknowledges that: (i) the covenants of this Section 7 are supported by sufficient consideration, including access to Paylocity’s Legitimate Business Interests (defined below), and the Units awarded under this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(ii) Paylocity has invested substantial resources into the development, protection and retention of its Confidential Information, employees, customers, and business (collectively, “</w:t>
      </w:r>
      <w:r>
        <w:rPr>
          <w:rFonts w:ascii="Times New Roman" w:cs="Times New Roman" w:eastAsia="Times New Roman" w:hAnsi="Times New Roman"/>
          <w:sz w:val="20"/>
          <w:szCs w:val="20"/>
          <w:b w:val="1"/>
          <w:bCs w:val="1"/>
          <w:i w:val="1"/>
          <w:iCs w:val="1"/>
          <w:color w:val="auto"/>
        </w:rPr>
        <w:t>Legitimate Business Interests</w:t>
      </w:r>
      <w:r>
        <w:rPr>
          <w:rFonts w:ascii="Times New Roman" w:cs="Times New Roman" w:eastAsia="Times New Roman" w:hAnsi="Times New Roman"/>
          <w:sz w:val="20"/>
          <w:szCs w:val="20"/>
          <w:color w:val="auto"/>
        </w:rPr>
        <w:t>”); (iii) the Legitimate Business Interests have significant</w:t>
      </w:r>
    </w:p>
    <w:p>
      <w:pPr>
        <w:spacing w:after="0" w:line="211" w:lineRule="auto"/>
        <w:rPr>
          <w:sz w:val="20"/>
          <w:szCs w:val="20"/>
          <w:color w:val="auto"/>
        </w:rPr>
      </w:pPr>
      <w:r>
        <w:rPr>
          <w:rFonts w:ascii="Times New Roman" w:cs="Times New Roman" w:eastAsia="Times New Roman" w:hAnsi="Times New Roman"/>
          <w:sz w:val="20"/>
          <w:szCs w:val="20"/>
          <w:color w:val="auto"/>
        </w:rPr>
        <w:t>intrinsic value and are not readily achieved or duplicated; (iv) solely as a result of the Participant’s employment with Paylocity,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has gained access to and familiarity with the Legitimate Business Interests; (v) the covenants of this Section 7 are therefore reasonable and necessary to protect the Legitimate Business Interests, and they are enforceable; and (vi) the provisions of this Section 7 do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restrain competition, limit the Participant’s ability to obtain employment of the Participant’s choosing or affect the Participant’s wages.</w:t>
      </w:r>
    </w:p>
    <w:p>
      <w:pPr>
        <w:spacing w:after="0" w:line="14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b w:val="1"/>
          <w:bCs w:val="1"/>
          <w:color w:val="auto"/>
        </w:rPr>
        <w:t xml:space="preserve">Remedies and Relief. </w:t>
      </w:r>
      <w:r>
        <w:rPr>
          <w:rFonts w:ascii="Times New Roman" w:cs="Times New Roman" w:eastAsia="Times New Roman" w:hAnsi="Times New Roman"/>
          <w:sz w:val="20"/>
          <w:szCs w:val="20"/>
          <w:color w:val="auto"/>
        </w:rPr>
        <w:t>In the event of any breach by the Participant of the provisions of this Section 7: (i) the</w:t>
      </w:r>
    </w:p>
    <w:p>
      <w:pPr>
        <w:spacing w:after="0" w:line="211" w:lineRule="auto"/>
        <w:rPr>
          <w:sz w:val="20"/>
          <w:szCs w:val="20"/>
          <w:color w:val="auto"/>
        </w:rPr>
      </w:pPr>
      <w:r>
        <w:rPr>
          <w:rFonts w:ascii="Times New Roman" w:cs="Times New Roman" w:eastAsia="Times New Roman" w:hAnsi="Times New Roman"/>
          <w:sz w:val="20"/>
          <w:szCs w:val="20"/>
          <w:color w:val="auto"/>
        </w:rPr>
        <w:t>Company shall have the right to require the Participant to deliver to the Company: (a) all Units granted to the Participant in the three (3)</w:t>
      </w:r>
    </w:p>
    <w:p>
      <w:pPr>
        <w:spacing w:after="0" w:line="222" w:lineRule="auto"/>
        <w:rPr>
          <w:sz w:val="20"/>
          <w:szCs w:val="20"/>
          <w:color w:val="auto"/>
        </w:rPr>
      </w:pPr>
      <w:r>
        <w:rPr>
          <w:rFonts w:ascii="Times New Roman" w:cs="Times New Roman" w:eastAsia="Times New Roman" w:hAnsi="Times New Roman"/>
          <w:sz w:val="19"/>
          <w:szCs w:val="19"/>
          <w:color w:val="auto"/>
        </w:rPr>
        <w:t>years preceding said breach; and (b) to the extent the Participant has disposed of any Units so granted or shares of Stock issued in settlement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such Units, the net proceeds from all such dispositions; and (ii) any unvested Units shall be immediately forfeited (collectively, the “</w:t>
      </w:r>
      <w:r>
        <w:rPr>
          <w:rFonts w:ascii="Times New Roman" w:cs="Times New Roman" w:eastAsia="Times New Roman" w:hAnsi="Times New Roman"/>
          <w:sz w:val="20"/>
          <w:szCs w:val="20"/>
          <w:b w:val="1"/>
          <w:bCs w:val="1"/>
          <w:i w:val="1"/>
          <w:iCs w:val="1"/>
          <w:color w:val="auto"/>
        </w:rPr>
        <w:t>Repayment Obligation</w:t>
      </w:r>
      <w:r>
        <w:rPr>
          <w:rFonts w:ascii="Times New Roman" w:cs="Times New Roman" w:eastAsia="Times New Roman" w:hAnsi="Times New Roman"/>
          <w:sz w:val="20"/>
          <w:szCs w:val="20"/>
          <w:color w:val="auto"/>
        </w:rPr>
        <w:t>”). The determination of whether the Participant has engaged in a breach of Section 7 shall be determined 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Committee in its sole discretion. Any repayment obligations under this Section 7 shall be effected by the Participant within thirty (30) days of receipt of the Company’s written demand for repayment. The Company may provide for an offset to any future payments owed by the</w:t>
      </w:r>
    </w:p>
    <w:p>
      <w:pPr>
        <w:spacing w:after="0" w:line="211" w:lineRule="auto"/>
        <w:rPr>
          <w:sz w:val="20"/>
          <w:szCs w:val="20"/>
          <w:color w:val="auto"/>
        </w:rPr>
      </w:pPr>
      <w:r>
        <w:rPr>
          <w:rFonts w:ascii="Times New Roman" w:cs="Times New Roman" w:eastAsia="Times New Roman" w:hAnsi="Times New Roman"/>
          <w:sz w:val="20"/>
          <w:szCs w:val="20"/>
          <w:color w:val="auto"/>
        </w:rPr>
        <w:t>Participating Company Group to the Participant, if necessary, to satisfy the Repayment Obligation. The Participant agrees to execute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documents as may be necessary to effect the repayment obligations referred to in this Section. Nothing in this Section 7 shall limit Paylocity from pursuing any other remedies otherwise available in law or in equity, including a temporary retaining order, a preliminary injunction, and</w:t>
      </w:r>
    </w:p>
    <w:p>
      <w:pPr>
        <w:spacing w:after="0" w:line="228" w:lineRule="auto"/>
        <w:rPr>
          <w:sz w:val="20"/>
          <w:szCs w:val="20"/>
          <w:color w:val="auto"/>
        </w:rPr>
      </w:pPr>
      <w:r>
        <w:rPr>
          <w:rFonts w:ascii="Times New Roman" w:cs="Times New Roman" w:eastAsia="Times New Roman" w:hAnsi="Times New Roman"/>
          <w:sz w:val="20"/>
          <w:szCs w:val="20"/>
          <w:color w:val="auto"/>
        </w:rPr>
        <w:t>a permanent injunction enjoining Participant’s breach or threatened breach of any of the provisions of this Agreement or from seeking enforcement of any other restrictions by which the Participant is bound under other agreements or applicable law.</w:t>
      </w:r>
    </w:p>
    <w:p>
      <w:pPr>
        <w:spacing w:after="0" w:line="14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such provision will be distinct and severable from the other provisions of this Agreement, and such unenforceability will not affect the validity and enforceability of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remaining provisions. If a court holds that the duration, scope, geographic range or any other restriction stated in any provision of this Agreement is unreasonable under circumstances then existing, the parties agree that the maximum duration, scope, geographic range or other</w:t>
      </w:r>
    </w:p>
    <w:p>
      <w:pPr>
        <w:spacing w:after="0" w:line="211" w:lineRule="auto"/>
        <w:rPr>
          <w:sz w:val="20"/>
          <w:szCs w:val="20"/>
          <w:color w:val="auto"/>
        </w:rPr>
      </w:pPr>
      <w:r>
        <w:rPr>
          <w:rFonts w:ascii="Times New Roman" w:cs="Times New Roman" w:eastAsia="Times New Roman" w:hAnsi="Times New Roman"/>
          <w:sz w:val="20"/>
          <w:szCs w:val="20"/>
          <w:color w:val="auto"/>
        </w:rPr>
        <w:t>restriction that the court deems reasonable under such circumstances will be substituted and that the court will have the power to revise any</w:t>
      </w:r>
    </w:p>
    <w:p>
      <w:pPr>
        <w:spacing w:after="0" w:line="215" w:lineRule="auto"/>
        <w:rPr>
          <w:sz w:val="20"/>
          <w:szCs w:val="20"/>
          <w:color w:val="auto"/>
        </w:rPr>
      </w:pPr>
      <w:r>
        <w:rPr>
          <w:rFonts w:ascii="Times New Roman" w:cs="Times New Roman" w:eastAsia="Times New Roman" w:hAnsi="Times New Roman"/>
          <w:sz w:val="19"/>
          <w:szCs w:val="19"/>
          <w:color w:val="auto"/>
        </w:rPr>
        <w:t>of those restrictions to cover the maximum period, scope, geographic range and/or other restriction permitted by law. It is the intent of the parties that the court, in establishing any such substitute restriction, recognize that the parties’ desire is that the stated restrictions upon which</w:t>
      </w:r>
    </w:p>
    <w:p>
      <w:pPr>
        <w:spacing w:after="0"/>
        <w:rPr>
          <w:sz w:val="20"/>
          <w:szCs w:val="20"/>
          <w:color w:val="auto"/>
        </w:rPr>
      </w:pPr>
      <w:r>
        <w:rPr>
          <w:rFonts w:ascii="Times New Roman" w:cs="Times New Roman" w:eastAsia="Times New Roman" w:hAnsi="Times New Roman"/>
          <w:sz w:val="20"/>
          <w:szCs w:val="20"/>
          <w:color w:val="auto"/>
        </w:rPr>
        <w:t>the parties have agreed be honored to the maximum lawful extent.</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b w:val="1"/>
          <w:bCs w:val="1"/>
          <w:color w:val="auto"/>
        </w:rPr>
        <w:t>Tolling</w:t>
      </w:r>
      <w:r>
        <w:rPr>
          <w:rFonts w:ascii="Times New Roman" w:cs="Times New Roman" w:eastAsia="Times New Roman" w:hAnsi="Times New Roman"/>
          <w:sz w:val="20"/>
          <w:szCs w:val="20"/>
          <w:color w:val="auto"/>
        </w:rPr>
        <w:t>. The restricted time periods in Section 7 shall be tolled during any time period that Participant is in violation of such covenants, as determined by a court of competent jurisdiction, so that Paylocity may realize the full benefit of its bargain. This tolling</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shall include any time period during which litigation is pending, and during which Participant has continued to violate such protective covenants.</w:t>
      </w:r>
    </w:p>
    <w:p>
      <w:pPr>
        <w:spacing w:after="0" w:line="145"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AUTHORIZATION TO RELEASE NECESSARY PERSONAL INFORMATION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The Participant hereby authorizes and directs the Participant’s employer to collect, use and transfer in electronic or other form, any personal information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regarding the Participant’s</w:t>
      </w:r>
    </w:p>
    <w:p>
      <w:pPr>
        <w:sectPr>
          <w:pgSz w:w="11900" w:h="16838" w:orient="portrait"/>
          <w:cols w:equalWidth="0" w:num="1">
            <w:col w:w="11240"/>
          </w:cols>
          <w:pgMar w:left="320" w:top="139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Service, the nature and amount of the Participant’s compensation and the fact and conditions of the Participant’s participation in the Plan</w:t>
      </w:r>
    </w:p>
    <w:p>
      <w:pPr>
        <w:spacing w:after="0" w:line="204" w:lineRule="auto"/>
        <w:rPr>
          <w:sz w:val="20"/>
          <w:szCs w:val="20"/>
          <w:color w:val="auto"/>
        </w:rPr>
      </w:pPr>
      <w:r>
        <w:rPr>
          <w:rFonts w:ascii="Times New Roman" w:cs="Times New Roman" w:eastAsia="Times New Roman" w:hAnsi="Times New Roman"/>
          <w:sz w:val="20"/>
          <w:szCs w:val="20"/>
          <w:color w:val="auto"/>
        </w:rPr>
        <w:t>(including, but not limited to, the Participant’s name, home address, telephone number, email address, date of birth, social security number (or any other social or national identification number), salary, nationality, job title, employment or Service location, number of Shares held</w:t>
      </w:r>
    </w:p>
    <w:p>
      <w:pPr>
        <w:spacing w:after="0" w:line="211" w:lineRule="auto"/>
        <w:rPr>
          <w:sz w:val="20"/>
          <w:szCs w:val="20"/>
          <w:color w:val="auto"/>
        </w:rPr>
      </w:pPr>
      <w:r>
        <w:rPr>
          <w:rFonts w:ascii="Times New Roman" w:cs="Times New Roman" w:eastAsia="Times New Roman" w:hAnsi="Times New Roman"/>
          <w:sz w:val="20"/>
          <w:szCs w:val="20"/>
          <w:color w:val="auto"/>
        </w:rPr>
        <w:t>and the details of all Units or any other entitlement to Shares awarded, cancelled, exercised, vested, unvested or outstanding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Participant’s favor, any other information necessary to process tax withholding and reporting, and, where applicable, the Participant’s Service termination date and reason for termination, for the purpose of implementing, administering and managing the Participant’s participation in</w:t>
      </w:r>
    </w:p>
    <w:p>
      <w:pPr>
        <w:spacing w:after="0" w:line="211" w:lineRule="auto"/>
        <w:rPr>
          <w:sz w:val="20"/>
          <w:szCs w:val="20"/>
          <w:color w:val="auto"/>
        </w:rPr>
      </w:pPr>
      <w:r>
        <w:rPr>
          <w:rFonts w:ascii="Times New Roman" w:cs="Times New Roman" w:eastAsia="Times New Roman" w:hAnsi="Times New Roman"/>
          <w:sz w:val="20"/>
          <w:szCs w:val="20"/>
          <w:color w:val="auto"/>
        </w:rPr>
        <w:t>the Plan. The Participant understands that the Data may be transferred to the Company or any other Participating Company, or to any third</w:t>
      </w:r>
    </w:p>
    <w:p>
      <w:pPr>
        <w:spacing w:after="0" w:line="204" w:lineRule="auto"/>
        <w:rPr>
          <w:sz w:val="20"/>
          <w:szCs w:val="20"/>
          <w:color w:val="auto"/>
        </w:rPr>
      </w:pPr>
      <w:r>
        <w:rPr>
          <w:rFonts w:ascii="Times New Roman" w:cs="Times New Roman" w:eastAsia="Times New Roman" w:hAnsi="Times New Roman"/>
          <w:sz w:val="20"/>
          <w:szCs w:val="20"/>
          <w:color w:val="auto"/>
        </w:rPr>
        <w:t>parties assisting in the implementation, administration and management of the Plan, including any requisite transfer to a brokerage firm or other third party assisting with administration of the Award or with whom Shares acquired upon settlement of this Award or cash from the</w:t>
      </w:r>
    </w:p>
    <w:p>
      <w:pPr>
        <w:spacing w:after="0" w:line="211" w:lineRule="auto"/>
        <w:rPr>
          <w:sz w:val="20"/>
          <w:szCs w:val="20"/>
          <w:color w:val="auto"/>
        </w:rPr>
      </w:pPr>
      <w:r>
        <w:rPr>
          <w:rFonts w:ascii="Times New Roman" w:cs="Times New Roman" w:eastAsia="Times New Roman" w:hAnsi="Times New Roman"/>
          <w:sz w:val="20"/>
          <w:szCs w:val="20"/>
          <w:color w:val="auto"/>
        </w:rPr>
        <w:t>sale of such Shares may be deposited. The Participant acknowledges that recipients of the Data may be located in different countries,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those countries may have data privacy laws and protections different from those in the country of the Participant’s residence. Furthermore, the Participant acknowledges and understands that the transfer of the Data to the Company or any of other Participating Company, or to any</w:t>
      </w:r>
    </w:p>
    <w:p>
      <w:pPr>
        <w:spacing w:after="0" w:line="211" w:lineRule="auto"/>
        <w:rPr>
          <w:sz w:val="20"/>
          <w:szCs w:val="20"/>
          <w:color w:val="auto"/>
        </w:rPr>
      </w:pPr>
      <w:r>
        <w:rPr>
          <w:rFonts w:ascii="Times New Roman" w:cs="Times New Roman" w:eastAsia="Times New Roman" w:hAnsi="Times New Roman"/>
          <w:sz w:val="20"/>
          <w:szCs w:val="20"/>
          <w:color w:val="auto"/>
        </w:rPr>
        <w:t>third parties is necessary for Participant’s participation in the Plan. The Participant may at any time withdraw the consents herein,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contacting the Company’s share administration department in writing. The Participant further acknowledges that withdrawal of consent may affect the Participant’s ability to realize benefits from the Award, and the Participant’s ability to participate in the Plan. If the Participant is or</w:t>
      </w:r>
    </w:p>
    <w:p>
      <w:pPr>
        <w:ind w:right="20"/>
        <w:spacing w:after="0" w:line="228" w:lineRule="auto"/>
        <w:rPr>
          <w:sz w:val="20"/>
          <w:szCs w:val="20"/>
          <w:color w:val="auto"/>
        </w:rPr>
      </w:pPr>
      <w:r>
        <w:rPr>
          <w:rFonts w:ascii="Times New Roman" w:cs="Times New Roman" w:eastAsia="Times New Roman" w:hAnsi="Times New Roman"/>
          <w:sz w:val="20"/>
          <w:szCs w:val="20"/>
          <w:color w:val="auto"/>
        </w:rPr>
        <w:t>becomes during the term of this Award a resident of the State of California, the Participant is hereby notified of the foregoing in accordance with the California Consumer Privacy Act.</w:t>
      </w:r>
    </w:p>
    <w:p>
      <w:pPr>
        <w:spacing w:after="0" w:line="145"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b w:val="1"/>
          <w:bCs w:val="1"/>
          <w:i w:val="1"/>
          <w:iCs w:val="1"/>
          <w:color w:val="auto"/>
        </w:rPr>
        <w:t>.</w:t>
      </w:r>
    </w:p>
    <w:p>
      <w:pPr>
        <w:spacing w:after="0" w:line="193"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In the event of a Change in Control, this Section 9 shall determine the treatment of the Units which have not otherwise become Vested Units.</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b w:val="1"/>
          <w:bCs w:val="1"/>
          <w:color w:val="auto"/>
        </w:rPr>
        <w:t xml:space="preserve">Effect of Change in Control Following End of Performance Period. </w:t>
      </w:r>
      <w:r>
        <w:rPr>
          <w:rFonts w:ascii="Times New Roman" w:cs="Times New Roman" w:eastAsia="Times New Roman" w:hAnsi="Times New Roman"/>
          <w:sz w:val="20"/>
          <w:szCs w:val="20"/>
          <w:color w:val="auto"/>
        </w:rPr>
        <w:t>In the event of a Change in Control upon or</w:t>
      </w:r>
    </w:p>
    <w:p>
      <w:pPr>
        <w:spacing w:after="0" w:line="204" w:lineRule="auto"/>
        <w:rPr>
          <w:sz w:val="20"/>
          <w:szCs w:val="20"/>
          <w:color w:val="auto"/>
        </w:rPr>
      </w:pPr>
      <w:r>
        <w:rPr>
          <w:rFonts w:ascii="Times New Roman" w:cs="Times New Roman" w:eastAsia="Times New Roman" w:hAnsi="Times New Roman"/>
          <w:sz w:val="20"/>
          <w:szCs w:val="20"/>
          <w:color w:val="auto"/>
        </w:rPr>
        <w:t>after the end of the Performance Period but before the Vesting Date, the number of Earned Units shall, if not previously determined by the Committee in accordance with Section 3.1 and settled in accordance with Section 5, be determined by the Committee in accordance with</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Section 3.1, become Vested Units and be settled in accordance with Section 5 prior to the effective time of the Change in Control, provided that the Participant’s Service has not terminated prior to such effective time.</w:t>
      </w:r>
    </w:p>
    <w:p>
      <w:pPr>
        <w:spacing w:after="0" w:line="13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b w:val="1"/>
          <w:bCs w:val="1"/>
          <w:color w:val="auto"/>
        </w:rPr>
        <w:t>Effect of a Change in Control Prior to End of Performance Period</w:t>
      </w:r>
      <w:r>
        <w:rPr>
          <w:rFonts w:ascii="Times New Roman" w:cs="Times New Roman" w:eastAsia="Times New Roman" w:hAnsi="Times New Roman"/>
          <w:sz w:val="20"/>
          <w:szCs w:val="20"/>
          <w:color w:val="auto"/>
        </w:rPr>
        <w:t>. In the event of a Change in Control before</w:t>
      </w:r>
    </w:p>
    <w:p>
      <w:pPr>
        <w:spacing w:after="0" w:line="211" w:lineRule="auto"/>
        <w:rPr>
          <w:sz w:val="20"/>
          <w:szCs w:val="20"/>
          <w:color w:val="auto"/>
        </w:rPr>
      </w:pPr>
      <w:r>
        <w:rPr>
          <w:rFonts w:ascii="Times New Roman" w:cs="Times New Roman" w:eastAsia="Times New Roman" w:hAnsi="Times New Roman"/>
          <w:sz w:val="20"/>
          <w:szCs w:val="20"/>
          <w:color w:val="auto"/>
        </w:rPr>
        <w:t>the end of the Performance Period, the Performance Period shall be deemed to end on the day immediately preceding the Change in Control</w:t>
      </w:r>
    </w:p>
    <w:p>
      <w:pPr>
        <w:spacing w:after="0" w:line="221"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Adjusted Performance Period</w:t>
      </w:r>
      <w:r>
        <w:rPr>
          <w:rFonts w:ascii="Times New Roman" w:cs="Times New Roman" w:eastAsia="Times New Roman" w:hAnsi="Times New Roman"/>
          <w:sz w:val="20"/>
          <w:szCs w:val="20"/>
          <w:color w:val="auto"/>
        </w:rPr>
        <w:t>”), and the number of Earned Units and the vesting thereof shall be determined for the Adjusted Performance Period in accordance with the following:</w:t>
      </w:r>
    </w:p>
    <w:p>
      <w:pPr>
        <w:spacing w:after="0" w:line="158" w:lineRule="exact"/>
        <w:rPr>
          <w:sz w:val="20"/>
          <w:szCs w:val="20"/>
          <w:color w:val="auto"/>
        </w:rPr>
      </w:pPr>
    </w:p>
    <w:p>
      <w:pPr>
        <w:jc w:val="both"/>
        <w:ind w:firstLine="1952"/>
        <w:spacing w:after="0" w:line="227" w:lineRule="auto"/>
        <w:tabs>
          <w:tab w:leader="none" w:pos="258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Earned Units. </w:t>
      </w:r>
      <w:r>
        <w:rPr>
          <w:rFonts w:ascii="Times New Roman" w:cs="Times New Roman" w:eastAsia="Times New Roman" w:hAnsi="Times New Roman"/>
          <w:sz w:val="20"/>
          <w:szCs w:val="20"/>
          <w:color w:val="auto"/>
        </w:rPr>
        <w:t>The Committee shall determine no later than the day immediately preceding the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the number of Earned Units for the Adjusted Performance Period, taking into account the following modifications to the components of the Relative TSR Percentile:</w:t>
      </w:r>
    </w:p>
    <w:p>
      <w:pPr>
        <w:spacing w:after="0" w:line="161" w:lineRule="exact"/>
        <w:rPr>
          <w:rFonts w:ascii="Times New Roman" w:cs="Times New Roman" w:eastAsia="Times New Roman" w:hAnsi="Times New Roman"/>
          <w:sz w:val="20"/>
          <w:szCs w:val="20"/>
          <w:color w:val="auto"/>
        </w:rPr>
      </w:pPr>
    </w:p>
    <w:p>
      <w:pPr>
        <w:jc w:val="both"/>
        <w:ind w:firstLine="2600"/>
        <w:spacing w:after="0" w:line="215" w:lineRule="auto"/>
        <w:tabs>
          <w:tab w:leader="none" w:pos="323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TSR shall be determined as provided by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except that the Company’s Ending Average Per Share Closing Price shall be replaced with the fair market value of cash and other property to be received per share of Stock by the holder thereof in accordance with the definitive agreement governing the transaction constituting the Change in Control (or, in the absence of such agreement, the closing price per share of Stock on the last trading day of the Adjusted Performance Period as reported on the securities exchange constituting the primary market for the Stock), adjusted to reflect an assumed reinvestment, as of the applicable ex-dividend date, of all cash dividends and other cash distributions (excluding cash distributions resulting from share repurchases or redemptions by the Company) paid to stockholders during the Adjusted Performance Period.</w:t>
      </w:r>
    </w:p>
    <w:p>
      <w:pPr>
        <w:sectPr>
          <w:pgSz w:w="11900" w:h="16838" w:orient="portrait"/>
          <w:cols w:equalWidth="0" w:num="1">
            <w:col w:w="11240"/>
          </w:cols>
          <w:pgMar w:left="320" w:top="1394" w:right="339" w:bottom="1440" w:gutter="0" w:footer="0" w:header="0"/>
        </w:sectPr>
      </w:pPr>
    </w:p>
    <w:bookmarkStart w:id="84" w:name="page85"/>
    <w:bookmarkEnd w:id="84"/>
    <w:p>
      <w:pPr>
        <w:jc w:val="both"/>
        <w:ind w:firstLine="2600"/>
        <w:spacing w:after="0" w:line="226" w:lineRule="auto"/>
        <w:tabs>
          <w:tab w:leader="none" w:pos="323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TSR for each Comparator Company shall be determined as provided by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except that the Ending Average Per Share Closing Price shall be determined for the 30 calendar days ending with the last day of the Adjusted Performance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Immediately following the Committee’s determination pursuant to this Section 9.2(a), all Units subject to the Award which are not Earned Units (the “</w:t>
      </w:r>
      <w:r>
        <w:rPr>
          <w:rFonts w:ascii="Times New Roman" w:cs="Times New Roman" w:eastAsia="Times New Roman" w:hAnsi="Times New Roman"/>
          <w:sz w:val="20"/>
          <w:szCs w:val="20"/>
          <w:b w:val="1"/>
          <w:bCs w:val="1"/>
          <w:i w:val="1"/>
          <w:iCs w:val="1"/>
          <w:color w:val="auto"/>
        </w:rPr>
        <w:t>Unearned Units</w:t>
      </w:r>
      <w:r>
        <w:rPr>
          <w:rFonts w:ascii="Times New Roman" w:cs="Times New Roman" w:eastAsia="Times New Roman" w:hAnsi="Times New Roman"/>
          <w:sz w:val="20"/>
          <w:szCs w:val="20"/>
          <w:color w:val="auto"/>
        </w:rPr>
        <w:t>”) shall terminate and the Award, to the extent of the Unearned Units, shall cease to be outstanding.</w:t>
      </w:r>
    </w:p>
    <w:p>
      <w:pPr>
        <w:spacing w:after="0" w:line="144" w:lineRule="exact"/>
        <w:rPr>
          <w:sz w:val="20"/>
          <w:szCs w:val="20"/>
          <w:color w:val="auto"/>
        </w:rPr>
      </w:pPr>
    </w:p>
    <w:p>
      <w:pPr>
        <w:jc w:val="both"/>
        <w:ind w:right="20" w:firstLine="1952"/>
        <w:spacing w:after="0" w:line="223" w:lineRule="auto"/>
        <w:tabs>
          <w:tab w:leader="none" w:pos="25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Vested Units. </w:t>
      </w:r>
      <w:r>
        <w:rPr>
          <w:rFonts w:ascii="Times New Roman" w:cs="Times New Roman" w:eastAsia="Times New Roman" w:hAnsi="Times New Roman"/>
          <w:sz w:val="20"/>
          <w:szCs w:val="20"/>
          <w:color w:val="auto"/>
        </w:rPr>
        <w:t>As of the last day of the Adjusted Performance Period and provided that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 has not terminated prior to such date, all of the Earned Units determined in accordance with Section 9.2(a) shall become Vested Units (the “</w:t>
      </w:r>
      <w:r>
        <w:rPr>
          <w:rFonts w:ascii="Times New Roman" w:cs="Times New Roman" w:eastAsia="Times New Roman" w:hAnsi="Times New Roman"/>
          <w:sz w:val="20"/>
          <w:szCs w:val="20"/>
          <w:b w:val="1"/>
          <w:bCs w:val="1"/>
          <w:i w:val="1"/>
          <w:iCs w:val="1"/>
          <w:color w:val="auto"/>
        </w:rPr>
        <w:t>Accelerated Units</w:t>
      </w:r>
      <w:r>
        <w:rPr>
          <w:rFonts w:ascii="Times New Roman" w:cs="Times New Roman" w:eastAsia="Times New Roman" w:hAnsi="Times New Roman"/>
          <w:sz w:val="20"/>
          <w:szCs w:val="20"/>
          <w:color w:val="auto"/>
        </w:rPr>
        <w:t>”). The Accelerated Units shall be settled in accordance Section 5 immediately prior to the effective time of the Change in Control.</w:t>
      </w:r>
    </w:p>
    <w:p>
      <w:pPr>
        <w:spacing w:after="0" w:line="15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193"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The number of Units awarded pursuant to this Agreement is subject to adjustment as provided in Section 4.3 of the Plan. Upon the occurrence of an event described in Section 4.3 of the Plan, any and all new, substituted or additional securities or other property to which a</w:t>
      </w:r>
    </w:p>
    <w:p>
      <w:pPr>
        <w:spacing w:after="0" w:line="212" w:lineRule="auto"/>
        <w:rPr>
          <w:sz w:val="20"/>
          <w:szCs w:val="20"/>
          <w:color w:val="auto"/>
        </w:rPr>
      </w:pPr>
      <w:r>
        <w:rPr>
          <w:rFonts w:ascii="Times New Roman" w:cs="Times New Roman" w:eastAsia="Times New Roman" w:hAnsi="Times New Roman"/>
          <w:sz w:val="20"/>
          <w:szCs w:val="20"/>
          <w:color w:val="auto"/>
        </w:rPr>
        <w:t>holder of a Share issuable in settlement of the Award would be entitled shall be immediately subject to the Agreement and included within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meaning of the term “Shares” for all purposes of the Award. The Participant shall be notified of such adjustments and such adjustments shall be binding upon the Company and the Participant.</w:t>
      </w:r>
    </w:p>
    <w:p>
      <w:pPr>
        <w:spacing w:after="0" w:line="158" w:lineRule="exact"/>
        <w:rPr>
          <w:sz w:val="20"/>
          <w:szCs w:val="20"/>
          <w:color w:val="auto"/>
        </w:rPr>
      </w:pPr>
    </w:p>
    <w:p>
      <w:pPr>
        <w:ind w:left="1280" w:hanging="624"/>
        <w:spacing w:after="0"/>
        <w:tabs>
          <w:tab w:leader="none" w:pos="12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ENTITLEMENT OR CLAIMS FOR COMPENSATION OR EMPLOYMENT</w:t>
      </w:r>
      <w:r>
        <w:rPr>
          <w:rFonts w:ascii="Times New Roman" w:cs="Times New Roman" w:eastAsia="Times New Roman" w:hAnsi="Times New Roman"/>
          <w:sz w:val="20"/>
          <w:szCs w:val="20"/>
          <w:b w:val="1"/>
          <w:bCs w:val="1"/>
          <w:color w:val="auto"/>
        </w:rPr>
        <w:t>.</w:t>
      </w:r>
    </w:p>
    <w:p>
      <w:pPr>
        <w:spacing w:after="0" w:line="193"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11.1 The Participant’s rights, if any, in respect of or in connection with the Units are derived solely from the discretionary decision of the Company to permit the Participant to participate in the Plan and to benefit from a discretionary Award. By accepting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Units, the Participant expressly acknowledges that there is no obligation on the part of the Company to continue the Plan and/or grant any additional Units or other Awards to the Participant. The Units are not intended to be compensation of a continuing or recurring nature, or part</w:t>
      </w:r>
    </w:p>
    <w:p>
      <w:pPr>
        <w:spacing w:after="0" w:line="228" w:lineRule="auto"/>
        <w:rPr>
          <w:sz w:val="20"/>
          <w:szCs w:val="20"/>
          <w:color w:val="auto"/>
        </w:rPr>
      </w:pPr>
      <w:r>
        <w:rPr>
          <w:rFonts w:ascii="Times New Roman" w:cs="Times New Roman" w:eastAsia="Times New Roman" w:hAnsi="Times New Roman"/>
          <w:sz w:val="20"/>
          <w:szCs w:val="20"/>
          <w:color w:val="auto"/>
        </w:rPr>
        <w:t>of the Participant’s normal or expected compensation, and in no way represents any portion of the Participant’s salary, compensation, or other remuneration for purposes of pension benefits, severance, redundancy, resignation or any other purpose.</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11.2 Neither the Plan nor the Units shall be deemed to give the Participant a right to remain an Employee, Director or Consultant of the Company or any other Participating Company. The Participating Company Group reserves the right to terminate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Service of the Participant at any time, with or without cause, and for any reason, subject to applicable laws, the Company’s Certificate of Incorporation and Bylaws and a written employment agreement (if any), and the Participant shall be deemed irrevocably to have waived any</w:t>
      </w:r>
    </w:p>
    <w:p>
      <w:pPr>
        <w:ind w:right="20"/>
        <w:spacing w:after="0" w:line="228" w:lineRule="auto"/>
        <w:rPr>
          <w:sz w:val="20"/>
          <w:szCs w:val="20"/>
          <w:color w:val="auto"/>
        </w:rPr>
      </w:pPr>
      <w:r>
        <w:rPr>
          <w:rFonts w:ascii="Times New Roman" w:cs="Times New Roman" w:eastAsia="Times New Roman" w:hAnsi="Times New Roman"/>
          <w:sz w:val="20"/>
          <w:szCs w:val="20"/>
          <w:color w:val="auto"/>
        </w:rPr>
        <w:t>claim to damages or specific performance for breach of contract or dismissal, compensation for loss of office, tort or otherwise with respect to the Plan, the Units or any other outstanding Award that is forfeited and/or is terminated by its terms or to any future Award.</w:t>
      </w:r>
    </w:p>
    <w:p>
      <w:pPr>
        <w:spacing w:after="0" w:line="145"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A STOCKHOLDER</w:t>
      </w:r>
      <w:r>
        <w:rPr>
          <w:rFonts w:ascii="Times New Roman" w:cs="Times New Roman" w:eastAsia="Times New Roman" w:hAnsi="Times New Roman"/>
          <w:sz w:val="20"/>
          <w:szCs w:val="20"/>
          <w:b w:val="1"/>
          <w:bCs w:val="1"/>
          <w:color w:val="auto"/>
        </w:rPr>
        <w: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that may be issued in settlement of this</w:t>
      </w:r>
    </w:p>
    <w:p>
      <w:pPr>
        <w:spacing w:after="0" w:line="204" w:lineRule="auto"/>
        <w:rPr>
          <w:sz w:val="20"/>
          <w:szCs w:val="20"/>
          <w:color w:val="auto"/>
        </w:rPr>
      </w:pPr>
      <w:r>
        <w:rPr>
          <w:rFonts w:ascii="Times New Roman" w:cs="Times New Roman" w:eastAsia="Times New Roman" w:hAnsi="Times New Roman"/>
          <w:sz w:val="20"/>
          <w:szCs w:val="20"/>
          <w:color w:val="auto"/>
        </w:rPr>
        <w:t>Award until the date of the issuance of a certificate for such Shares (as evidenced by the appropriate entry on the books of the Company or of a duly authorized transfer agent of the Company). No adjustment shall be made for dividends, dividend equivalents, distributions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rights for which the record date is prior to the date such certificate is issued, except as provided in Section 10.</w:t>
      </w:r>
    </w:p>
    <w:p>
      <w:pPr>
        <w:spacing w:after="0" w:line="163"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REPAYMENT/FORFEITURE</w:t>
      </w:r>
      <w:r>
        <w:rPr>
          <w:rFonts w:ascii="Times New Roman" w:cs="Times New Roman" w:eastAsia="Times New Roman" w:hAnsi="Times New Roman"/>
          <w:sz w:val="20"/>
          <w:szCs w:val="20"/>
          <w:b w:val="1"/>
          <w:bCs w:val="1"/>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benefits a Participant may receive pursuant to this Award shall be subject to repayment or forfeiture as required to comply with</w:t>
      </w:r>
    </w:p>
    <w:p>
      <w:pPr>
        <w:spacing w:after="0" w:line="6" w:lineRule="exact"/>
        <w:rPr>
          <w:sz w:val="20"/>
          <w:szCs w:val="20"/>
          <w:color w:val="auto"/>
        </w:rPr>
      </w:pPr>
    </w:p>
    <w:p>
      <w:pPr>
        <w:ind w:right="60" w:firstLine="8"/>
        <w:spacing w:after="0" w:line="228" w:lineRule="auto"/>
        <w:tabs>
          <w:tab w:leader="none" w:pos="26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standards of a national securities exchange on which the Company’s securities are listed or as otherwise required by Section 954 of the Dodd-Frank Wall Street Reform and Consumer Protection Act (regarding recovery of erroneously awarded</w:t>
      </w:r>
    </w:p>
    <w:p>
      <w:pPr>
        <w:sectPr>
          <w:pgSz w:w="11900" w:h="16838" w:orient="portrait"/>
          <w:cols w:equalWidth="0" w:num="1">
            <w:col w:w="11240"/>
          </w:cols>
          <w:pgMar w:left="320" w:top="139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compensation) and any implementing rules and regulations of the U.S. Securities and Exchange Commission adopted thereunder, including</w:t>
      </w:r>
    </w:p>
    <w:p>
      <w:pPr>
        <w:ind w:right="100"/>
        <w:spacing w:after="0" w:line="215" w:lineRule="auto"/>
        <w:rPr>
          <w:sz w:val="20"/>
          <w:szCs w:val="20"/>
          <w:color w:val="auto"/>
        </w:rPr>
      </w:pPr>
      <w:r>
        <w:rPr>
          <w:rFonts w:ascii="Times New Roman" w:cs="Times New Roman" w:eastAsia="Times New Roman" w:hAnsi="Times New Roman"/>
          <w:sz w:val="19"/>
          <w:szCs w:val="19"/>
          <w:color w:val="auto"/>
        </w:rPr>
        <w:t>Rule 10D-1 of the Exchange Act, (b) other applicable U.S. laws, and the applicable laws of any other jurisdiction, (c) the Paylocity Holding Corporation Policy for Recovery of Erroneously Awarded Incentive Compensation, or (d) any other repayment or forfeiture policies adopted</w:t>
      </w:r>
    </w:p>
    <w:p>
      <w:pPr>
        <w:spacing w:after="0"/>
        <w:rPr>
          <w:sz w:val="20"/>
          <w:szCs w:val="20"/>
          <w:color w:val="auto"/>
        </w:rPr>
      </w:pPr>
      <w:r>
        <w:rPr>
          <w:rFonts w:ascii="Times New Roman" w:cs="Times New Roman" w:eastAsia="Times New Roman" w:hAnsi="Times New Roman"/>
          <w:sz w:val="20"/>
          <w:szCs w:val="20"/>
          <w:color w:val="auto"/>
        </w:rPr>
        <w:t>by the Company, each to the extent determined by the Company in its discretion to be applicable to Participant.</w:t>
      </w:r>
    </w:p>
    <w:p>
      <w:pPr>
        <w:spacing w:after="0" w:line="163"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7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The Committee shall have the power to interpret the Plan and this Agreement and to adopt such rules for the administration, interpretation and application of the Plan as are consistent therewith and to interpret, amend or revoke any such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rules. All actions taken and all interpretations and determinations made by the Committee in good faith shall be final and binding upon the Participant, the Company and all other interested persons. No member of the Committee or the Board shall be personally liable for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action, determination or interpretation made in good faith with respect to the Plan, this Agreement or the Units.</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xml:space="preserve"> The Committee may amend this Agreement at any time; provided, however, that no such amendment may adversely affect the Participant’s rights under this Agreement without the consent of the Participant, except to the extent such</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amendment is necessary to comply with applicable law, including, but not limited to, Code Section 409A. No amendment or addition to this Agreement shall be effective unless in writing.</w:t>
      </w:r>
    </w:p>
    <w:p>
      <w:pPr>
        <w:spacing w:after="0" w:line="14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color w:val="auto"/>
        </w:rPr>
        <w:t>Nontransferability of the Award.</w:t>
      </w:r>
      <w:r>
        <w:rPr>
          <w:rFonts w:ascii="Times New Roman" w:cs="Times New Roman" w:eastAsia="Times New Roman" w:hAnsi="Times New Roman"/>
          <w:sz w:val="20"/>
          <w:szCs w:val="20"/>
          <w:color w:val="auto"/>
        </w:rPr>
        <w:t xml:space="preserve"> Prior to the issuance of Shares on the applicable Settlement Date, no right or interest of the Participant in the Award nor any Shares issuable on settlement of the Award shall be in any manner pledged, encumbered, or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hypothecated to or in favor of any party other than the Company or shall become subject to any lien, obligation, or liability of such Participant to any other party other than the Company. Except as otherwise provided by the Committee, the Award shall not be assigned,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transferred or otherwise disposed of other than by will or the laws of descent and distribution. All rights with respect to the Award shall be exercisable during the Participant’s lifetime only by the Participant or the Participant’s guardian or legal representative.</w:t>
      </w:r>
    </w:p>
    <w:p>
      <w:pPr>
        <w:spacing w:after="0" w:line="158"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13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19"/>
          <w:szCs w:val="19"/>
          <w:b w:val="1"/>
          <w:bCs w:val="1"/>
          <w:color w:val="auto"/>
        </w:rPr>
        <w:t>Section 409A.</w:t>
      </w:r>
    </w:p>
    <w:p>
      <w:pPr>
        <w:spacing w:after="0" w:line="189" w:lineRule="exact"/>
        <w:rPr>
          <w:sz w:val="20"/>
          <w:szCs w:val="20"/>
          <w:color w:val="auto"/>
        </w:rPr>
      </w:pPr>
    </w:p>
    <w:p>
      <w:pPr>
        <w:jc w:val="both"/>
        <w:ind w:firstLine="1952"/>
        <w:spacing w:after="0" w:line="213" w:lineRule="auto"/>
        <w:tabs>
          <w:tab w:leader="none" w:pos="258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the Plan, this Agreement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Grant Notice, the Plan, this Agreement and the Grant Notice shall be interpreted in accordance with, and incorporate the terms and conditions required by, Code Section 409A (together with any Department of Treasury regulations and other interpretive guidance issued thereunder, including without limitation any such regulations or other guidance that may be issued after the date hereof). The vesting and settlement of Units awarded pursuant to this Agreement are intended to qualify for the “short-term deferral” exemption from Code Section 409A. The Company reserves the right, to the extent the Company deems necessary or advisable in its sole discretion, to unilaterally amend or modify the Plan and/or this Agreement to ensure that the Units qualify for exemption from or comply with Code Section 409A;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makes no representations that the Units will be exempt from Code Section 409A and makes no undertaking to preclude Code Section 409A from applying to the Units.</w:t>
      </w:r>
    </w:p>
    <w:p>
      <w:pPr>
        <w:spacing w:after="0" w:line="161" w:lineRule="exact"/>
        <w:rPr>
          <w:rFonts w:ascii="Times New Roman" w:cs="Times New Roman" w:eastAsia="Times New Roman" w:hAnsi="Times New Roman"/>
          <w:sz w:val="20"/>
          <w:szCs w:val="20"/>
          <w:color w:val="auto"/>
        </w:rPr>
      </w:pPr>
    </w:p>
    <w:p>
      <w:pPr>
        <w:jc w:val="both"/>
        <w:ind w:firstLine="1952"/>
        <w:spacing w:after="0" w:line="217" w:lineRule="auto"/>
        <w:tabs>
          <w:tab w:leader="none" w:pos="25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Required Delay in Payment to Specified Employee. </w:t>
      </w:r>
      <w:r>
        <w:rPr>
          <w:rFonts w:ascii="Times New Roman" w:cs="Times New Roman" w:eastAsia="Times New Roman" w:hAnsi="Times New Roman"/>
          <w:sz w:val="20"/>
          <w:szCs w:val="20"/>
          <w:color w:val="auto"/>
        </w:rPr>
        <w:t>Notwithstanding anything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to the contrary, no amount payable pursuant to this Agreement on account of the Participant’s termination of Service which constitutes a “deferral of compensation” within the meaning of Code Section 409A shall be paid unless and until the Participant has incurred a “separation from service” within the meaning of Code Section 409A. Furthermore, to the extent that the Participant is a “specified employee” within the meaning of Code Section 409A as of the date of the Participant’s separation from service, no amount that constitutes a deferral of compensation</w:t>
      </w:r>
    </w:p>
    <w:p>
      <w:pPr>
        <w:sectPr>
          <w:pgSz w:w="11900" w:h="16838" w:orient="portrait"/>
          <w:cols w:equalWidth="0" w:num="1">
            <w:col w:w="11240"/>
          </w:cols>
          <w:pgMar w:left="320" w:top="139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 xml:space="preserve">which is payable on account of the Participant’s separation from service shall paid to the Participant before the date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Delayed Payment</w:t>
      </w: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the first day of the seventh month after the date of the Participant’s separation from service or, if earlier, the date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death following such separation from service. All such amounts that would, but for this Section, become payable prior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Delayed Payment Date will be accumulated and paid on the Delayed Payment Date.</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b w:val="1"/>
          <w:bCs w:val="1"/>
          <w:color w:val="auto"/>
        </w:rPr>
        <w:t>Delivery of Documents and Notices.</w:t>
      </w:r>
      <w:r>
        <w:rPr>
          <w:rFonts w:ascii="Times New Roman" w:cs="Times New Roman" w:eastAsia="Times New Roman" w:hAnsi="Times New Roman"/>
          <w:sz w:val="20"/>
          <w:szCs w:val="20"/>
          <w:color w:val="auto"/>
        </w:rPr>
        <w:t xml:space="preserve"> Any document relating to participation in the Plan or any notice required or permitted hereunder shall be given in writing and shall be deemed effectively given (except to the extent that this Agreement provides for</w:t>
      </w:r>
    </w:p>
    <w:p>
      <w:pPr>
        <w:spacing w:after="0" w:line="213" w:lineRule="auto"/>
        <w:rPr>
          <w:sz w:val="20"/>
          <w:szCs w:val="20"/>
          <w:color w:val="auto"/>
        </w:rPr>
      </w:pPr>
      <w:r>
        <w:rPr>
          <w:rFonts w:ascii="Times New Roman" w:cs="Times New Roman" w:eastAsia="Times New Roman" w:hAnsi="Times New Roman"/>
          <w:sz w:val="20"/>
          <w:szCs w:val="20"/>
          <w:color w:val="auto"/>
        </w:rPr>
        <w:t>effectiveness only upon actual receipt of such notice) upon personal delivery, electronic delivery at the e-mail address, if any, provided for</w:t>
      </w:r>
    </w:p>
    <w:p>
      <w:pPr>
        <w:spacing w:after="0" w:line="204" w:lineRule="auto"/>
        <w:rPr>
          <w:sz w:val="20"/>
          <w:szCs w:val="20"/>
          <w:color w:val="auto"/>
        </w:rPr>
      </w:pPr>
      <w:r>
        <w:rPr>
          <w:rFonts w:ascii="Times New Roman" w:cs="Times New Roman" w:eastAsia="Times New Roman" w:hAnsi="Times New Roman"/>
          <w:sz w:val="20"/>
          <w:szCs w:val="20"/>
          <w:color w:val="auto"/>
        </w:rPr>
        <w:t>the Participant by a Participating Company, or upon deposit in the U.S. Post Office or foreign postal service, by registered or certified mail, or with a nationally recognized overnight courier service, with postage and fees prepaid, addressed to the other party at the address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 set forth in the Grant Notice or at such other address as such party may designate in writing from time to time to the other party.</w:t>
      </w:r>
    </w:p>
    <w:p>
      <w:pPr>
        <w:spacing w:after="0" w:line="163" w:lineRule="exact"/>
        <w:rPr>
          <w:sz w:val="20"/>
          <w:szCs w:val="20"/>
          <w:color w:val="auto"/>
        </w:rPr>
      </w:pPr>
    </w:p>
    <w:p>
      <w:pPr>
        <w:jc w:val="both"/>
        <w:ind w:firstLine="1952"/>
        <w:spacing w:after="0" w:line="216" w:lineRule="auto"/>
        <w:tabs>
          <w:tab w:leader="none" w:pos="258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Description of Electronic Delivery. </w:t>
      </w:r>
      <w:r>
        <w:rPr>
          <w:rFonts w:ascii="Times New Roman" w:cs="Times New Roman" w:eastAsia="Times New Roman" w:hAnsi="Times New Roman"/>
          <w:sz w:val="20"/>
          <w:szCs w:val="20"/>
          <w:color w:val="auto"/>
        </w:rPr>
        <w:t>The Plan documents, which may include but do not necessarily include: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44" w:lineRule="exact"/>
        <w:rPr>
          <w:rFonts w:ascii="Times New Roman" w:cs="Times New Roman" w:eastAsia="Times New Roman" w:hAnsi="Times New Roman"/>
          <w:sz w:val="20"/>
          <w:szCs w:val="20"/>
          <w:color w:val="auto"/>
        </w:rPr>
      </w:pPr>
    </w:p>
    <w:p>
      <w:pPr>
        <w:jc w:val="both"/>
        <w:ind w:firstLine="1952"/>
        <w:spacing w:after="0" w:line="213" w:lineRule="auto"/>
        <w:tabs>
          <w:tab w:leader="none" w:pos="25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Consent to Electronic Delivery. </w:t>
      </w:r>
      <w:r>
        <w:rPr>
          <w:rFonts w:ascii="Times New Roman" w:cs="Times New Roman" w:eastAsia="Times New Roman" w:hAnsi="Times New Roman"/>
          <w:sz w:val="20"/>
          <w:szCs w:val="20"/>
          <w:color w:val="auto"/>
        </w:rPr>
        <w:t>The Participant acknowledges that the Participant has read Section 14.6(a)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this Agreement and consents to the electronic delivery of the Plan documents and, if permitted by the Company, the delivery of the Grant Notice, as described in Section 14.6(a).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14.6(a)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14.6(a).</w:t>
      </w:r>
    </w:p>
    <w:p>
      <w:pPr>
        <w:spacing w:after="0" w:line="144"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b w:val="1"/>
          <w:bCs w:val="1"/>
          <w:color w:val="auto"/>
        </w:rPr>
        <w:t>Construction of Agreement.</w:t>
      </w:r>
      <w:r>
        <w:rPr>
          <w:rFonts w:ascii="Times New Roman" w:cs="Times New Roman" w:eastAsia="Times New Roman" w:hAnsi="Times New Roman"/>
          <w:sz w:val="20"/>
          <w:szCs w:val="20"/>
          <w:color w:val="auto"/>
        </w:rPr>
        <w:t xml:space="preserve"> The Grant Notice, this Agreement, and the Units evidenced hereby (i) are made and granted pursuant to the Plan and are in all respects limited by and subject to the terms of the Plan, and (ii) constitute the entire agreement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between the Participant and the Company on the subject matter hereof and supersede all proposals, written or oral, and all other communications between the parties related to the subject matter. All decisions of the Committee with respect to any question or issue arising</w:t>
      </w:r>
    </w:p>
    <w:p>
      <w:pPr>
        <w:spacing w:after="0"/>
        <w:rPr>
          <w:sz w:val="20"/>
          <w:szCs w:val="20"/>
          <w:color w:val="auto"/>
        </w:rPr>
      </w:pPr>
      <w:r>
        <w:rPr>
          <w:rFonts w:ascii="Times New Roman" w:cs="Times New Roman" w:eastAsia="Times New Roman" w:hAnsi="Times New Roman"/>
          <w:sz w:val="20"/>
          <w:szCs w:val="20"/>
          <w:color w:val="auto"/>
        </w:rPr>
        <w:t>under the Grant Notice, this Agreement or the Plan shall be conclusive and binding on all persons having an interest in the Units.</w:t>
      </w:r>
    </w:p>
    <w:p>
      <w:pPr>
        <w:spacing w:after="0" w:line="163"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9"/>
          <w:szCs w:val="19"/>
          <w:color w:val="auto"/>
        </w:rPr>
        <w:t xml:space="preserve">14.8 </w:t>
      </w:r>
      <w:r>
        <w:rPr>
          <w:rFonts w:ascii="Times New Roman" w:cs="Times New Roman" w:eastAsia="Times New Roman" w:hAnsi="Times New Roman"/>
          <w:sz w:val="19"/>
          <w:szCs w:val="19"/>
          <w:b w:val="1"/>
          <w:bCs w:val="1"/>
          <w:color w:val="auto"/>
        </w:rPr>
        <w:t>Binding Effect.</w:t>
      </w:r>
      <w:r>
        <w:rPr>
          <w:rFonts w:ascii="Times New Roman" w:cs="Times New Roman" w:eastAsia="Times New Roman" w:hAnsi="Times New Roman"/>
          <w:sz w:val="19"/>
          <w:szCs w:val="19"/>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assigns.</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14.9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for any reason, it shall be adjusted rather than voided, if possible, in order to achieve the intent of the parties to the extent possible. In any event, all other provisions of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shall be deemed valid and enforceable to the full extent possible.</w:t>
      </w:r>
    </w:p>
    <w:p>
      <w:pPr>
        <w:sectPr>
          <w:pgSz w:w="11900" w:h="16838" w:orient="portrait"/>
          <w:cols w:equalWidth="0" w:num="1">
            <w:col w:w="11240"/>
          </w:cols>
          <w:pgMar w:left="320" w:top="1394" w:right="339" w:bottom="1440" w:gutter="0" w:footer="0" w:header="0"/>
        </w:sectPr>
      </w:pPr>
    </w:p>
    <w:bookmarkStart w:id="87" w:name="page88"/>
    <w:bookmarkEnd w:id="87"/>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14.10</w:t>
      </w:r>
      <w:r>
        <w:rPr>
          <w:sz w:val="20"/>
          <w:szCs w:val="20"/>
          <w:color w:val="auto"/>
        </w:rPr>
        <w:tab/>
      </w:r>
      <w:r>
        <w:rPr>
          <w:rFonts w:ascii="Times New Roman" w:cs="Times New Roman" w:eastAsia="Times New Roman" w:hAnsi="Times New Roman"/>
          <w:sz w:val="20"/>
          <w:szCs w:val="20"/>
          <w:b w:val="1"/>
          <w:bCs w:val="1"/>
          <w:color w:val="auto"/>
        </w:rPr>
        <w:t xml:space="preserve">Applicable Law; Forum Selection. </w:t>
      </w:r>
      <w:r>
        <w:rPr>
          <w:rFonts w:ascii="Times New Roman" w:cs="Times New Roman" w:eastAsia="Times New Roman" w:hAnsi="Times New Roman"/>
          <w:sz w:val="20"/>
          <w:szCs w:val="20"/>
          <w:color w:val="auto"/>
        </w:rPr>
        <w:t>This Agreement shall be governed by the laws of the State of Illinois as such</w:t>
      </w:r>
    </w:p>
    <w:p>
      <w:pPr>
        <w:spacing w:after="0" w:line="215" w:lineRule="auto"/>
        <w:rPr>
          <w:sz w:val="20"/>
          <w:szCs w:val="20"/>
          <w:color w:val="auto"/>
        </w:rPr>
      </w:pPr>
      <w:r>
        <w:rPr>
          <w:rFonts w:ascii="Times New Roman" w:cs="Times New Roman" w:eastAsia="Times New Roman" w:hAnsi="Times New Roman"/>
          <w:sz w:val="19"/>
          <w:szCs w:val="19"/>
          <w:color w:val="auto"/>
        </w:rPr>
        <w:t>laws are applied to agreements between Illinois residents entered into and to be performed entirely within the State of Illinois, without regard to conflict-of-law rules. The parties agree that any suit, action, or other legal proceeding arising out of or relating to this Agreement will be</w:t>
      </w:r>
    </w:p>
    <w:p>
      <w:pPr>
        <w:spacing w:after="0" w:line="211" w:lineRule="auto"/>
        <w:rPr>
          <w:sz w:val="20"/>
          <w:szCs w:val="20"/>
          <w:color w:val="auto"/>
        </w:rPr>
      </w:pPr>
      <w:r>
        <w:rPr>
          <w:rFonts w:ascii="Times New Roman" w:cs="Times New Roman" w:eastAsia="Times New Roman" w:hAnsi="Times New Roman"/>
          <w:sz w:val="20"/>
          <w:szCs w:val="20"/>
          <w:color w:val="auto"/>
        </w:rPr>
        <w:t>brought exclusively in a court of competent jurisdiction located within Illinois and will not be commenced or maintained in any other court.</w:t>
      </w:r>
    </w:p>
    <w:p>
      <w:pPr>
        <w:spacing w:after="0" w:line="204" w:lineRule="auto"/>
        <w:rPr>
          <w:sz w:val="20"/>
          <w:szCs w:val="20"/>
          <w:color w:val="auto"/>
        </w:rPr>
      </w:pPr>
      <w:r>
        <w:rPr>
          <w:rFonts w:ascii="Times New Roman" w:cs="Times New Roman" w:eastAsia="Times New Roman" w:hAnsi="Times New Roman"/>
          <w:sz w:val="20"/>
          <w:szCs w:val="20"/>
          <w:color w:val="auto"/>
        </w:rPr>
        <w:t>The parties agree and consent to Illinois as the exclusive jurisdiction and venue of any such suit, action or proceeding. The parties agree and consent to service by mail of any paper initiating any suit, action, or proceeding at the address set forth herein. The Participant agrees to</w:t>
      </w:r>
    </w:p>
    <w:p>
      <w:pPr>
        <w:spacing w:after="0" w:line="211" w:lineRule="auto"/>
        <w:rPr>
          <w:sz w:val="20"/>
          <w:szCs w:val="20"/>
          <w:color w:val="auto"/>
        </w:rPr>
      </w:pPr>
      <w:r>
        <w:rPr>
          <w:rFonts w:ascii="Times New Roman" w:cs="Times New Roman" w:eastAsia="Times New Roman" w:hAnsi="Times New Roman"/>
          <w:sz w:val="20"/>
          <w:szCs w:val="20"/>
          <w:color w:val="auto"/>
        </w:rPr>
        <w:t>update the Participant’s address with the Company as soon as possible after a change in address occurs and acknowledges that it is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Participant’s responsibility to ensure that the Company has the Participant’s correct address on file. The Participant waives any objection to service by mail where the Company addresses service to the most recent address provided by the Participant.</w:t>
      </w:r>
    </w:p>
    <w:p>
      <w:pPr>
        <w:spacing w:after="0" w:line="158"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14.11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xml:space="preserve"> The Grant Notice may be executed in counterparts, each of which shall be deemed an original, but all of which together shall constitute one and the same instrument.</w:t>
      </w:r>
    </w:p>
    <w:p>
      <w:pPr>
        <w:sectPr>
          <w:pgSz w:w="11900" w:h="16838" w:orient="portrait"/>
          <w:cols w:equalWidth="0" w:num="1">
            <w:col w:w="11240"/>
          </w:cols>
          <w:pgMar w:left="320" w:top="139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ind w:left="4180"/>
        <w:spacing w:after="0" w:line="205" w:lineRule="auto"/>
        <w:rPr>
          <w:sz w:val="20"/>
          <w:szCs w:val="20"/>
          <w:color w:val="auto"/>
        </w:rPr>
      </w:pPr>
      <w:r>
        <w:rPr>
          <w:rFonts w:ascii="Times New Roman" w:cs="Times New Roman" w:eastAsia="Times New Roman" w:hAnsi="Times New Roman"/>
          <w:sz w:val="25"/>
          <w:szCs w:val="25"/>
          <w:b w:val="1"/>
          <w:bCs w:val="1"/>
          <w:color w:val="auto"/>
        </w:rPr>
        <w:t>MARKET STOCK UNITS</w:t>
      </w:r>
    </w:p>
    <w:p>
      <w:pPr>
        <w:jc w:val="center"/>
        <w:spacing w:after="0" w:line="220" w:lineRule="auto"/>
        <w:rPr>
          <w:sz w:val="20"/>
          <w:szCs w:val="20"/>
          <w:color w:val="auto"/>
        </w:rPr>
      </w:pPr>
      <w:r>
        <w:rPr>
          <w:rFonts w:ascii="Times New Roman" w:cs="Times New Roman" w:eastAsia="Times New Roman" w:hAnsi="Times New Roman"/>
          <w:sz w:val="25"/>
          <w:szCs w:val="25"/>
          <w:b w:val="1"/>
          <w:bCs w:val="1"/>
          <w:color w:val="auto"/>
        </w:rPr>
        <w:t>NOTICE OF GRANT AND AWARD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U.S. Participants/Contains a Non-Competition Covenant)</w:t>
      </w:r>
    </w:p>
    <w:p>
      <w:pPr>
        <w:spacing w:after="0" w:line="200" w:lineRule="exact"/>
        <w:rPr>
          <w:sz w:val="20"/>
          <w:szCs w:val="20"/>
          <w:color w:val="auto"/>
        </w:rPr>
      </w:pPr>
    </w:p>
    <w:p>
      <w:pPr>
        <w:spacing w:after="0" w:line="206" w:lineRule="exact"/>
        <w:rPr>
          <w:sz w:val="20"/>
          <w:szCs w:val="20"/>
          <w:color w:val="auto"/>
        </w:rPr>
      </w:pPr>
    </w:p>
    <w:p>
      <w:pPr>
        <w:ind w:right="420" w:firstLine="648"/>
        <w:spacing w:after="0" w:line="229" w:lineRule="auto"/>
        <w:rPr>
          <w:sz w:val="20"/>
          <w:szCs w:val="20"/>
          <w:color w:val="auto"/>
        </w:rPr>
      </w:pPr>
      <w:r>
        <w:rPr>
          <w:rFonts w:ascii="Times New Roman" w:cs="Times New Roman" w:eastAsia="Times New Roman" w:hAnsi="Times New Roman"/>
          <w:sz w:val="19"/>
          <w:szCs w:val="19"/>
          <w:color w:val="auto"/>
        </w:rPr>
        <w:t>Paylocity Holding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pursuant to its 2023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this Notice of Grant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and the attached Award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hereby grants to the holder listed below (the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an</w:t>
      </w:r>
    </w:p>
    <w:p>
      <w:pPr>
        <w:spacing w:after="0" w:line="1"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0"/>
          <w:szCs w:val="20"/>
          <w:color w:val="auto"/>
        </w:rPr>
        <w:t>award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of Market Stock Units (each a “</w:t>
      </w:r>
      <w:r>
        <w:rPr>
          <w:rFonts w:ascii="Times New Roman" w:cs="Times New Roman" w:eastAsia="Times New Roman" w:hAnsi="Times New Roman"/>
          <w:sz w:val="20"/>
          <w:szCs w:val="20"/>
          <w:b w:val="1"/>
          <w:bCs w:val="1"/>
          <w:i w:val="1"/>
          <w:iCs w:val="1"/>
          <w:color w:val="auto"/>
        </w:rPr>
        <w:t>Unit</w:t>
      </w:r>
      <w:r>
        <w:rPr>
          <w:rFonts w:ascii="Times New Roman" w:cs="Times New Roman" w:eastAsia="Times New Roman" w:hAnsi="Times New Roman"/>
          <w:sz w:val="20"/>
          <w:szCs w:val="20"/>
          <w:color w:val="auto"/>
        </w:rPr>
        <w:t>”), each of which represents the right to receive on the applicable Settlement Date one (1) share of Stock (each a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as follows:</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-140335</wp:posOffset>
            </wp:positionV>
            <wp:extent cx="43459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170" w:lineRule="exact"/>
        <w:rPr>
          <w:sz w:val="20"/>
          <w:szCs w:val="20"/>
          <w:color w:val="auto"/>
        </w:rPr>
      </w:pPr>
    </w:p>
    <w:tbl>
      <w:tblPr>
        <w:tblLayout w:type="fixed"/>
        <w:tblInd w:w="740" w:type="dxa"/>
        <w:tblCellMar>
          <w:top w:w="0" w:type="dxa"/>
          <w:left w:w="0" w:type="dxa"/>
          <w:bottom w:w="0" w:type="dxa"/>
          <w:right w:w="0" w:type="dxa"/>
        </w:tblCellMar>
      </w:tblP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Units:</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__________ subject to adjustment as provided by the Agreement.</w:t>
            </w:r>
          </w:p>
        </w:tc>
        <w:tc>
          <w:tcPr>
            <w:tcW w:w="0" w:type="dxa"/>
            <w:vAlign w:val="bottom"/>
          </w:tcPr>
          <w:p>
            <w:pPr>
              <w:spacing w:after="0"/>
              <w:rPr>
                <w:sz w:val="1"/>
                <w:szCs w:val="1"/>
                <w:color w:val="auto"/>
              </w:rPr>
            </w:pPr>
          </w:p>
        </w:tc>
      </w:tr>
      <w:tr>
        <w:trPr>
          <w:trHeight w:val="207"/>
        </w:trPr>
        <w:tc>
          <w:tcPr>
            <w:tcW w:w="30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Maximum Number of Units:</w:t>
            </w:r>
          </w:p>
        </w:tc>
        <w:tc>
          <w:tcPr>
            <w:tcW w:w="68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[___]% of the Target Number of Units, subject to adjustment as provided by the</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Allocation of Award to</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199" w:lineRule="exact"/>
              <w:rPr>
                <w:sz w:val="20"/>
                <w:szCs w:val="20"/>
                <w:color w:val="auto"/>
              </w:rPr>
            </w:pPr>
            <w:r>
              <w:rPr>
                <w:rFonts w:ascii="Times New Roman" w:cs="Times New Roman" w:eastAsia="Times New Roman" w:hAnsi="Times New Roman"/>
                <w:sz w:val="20"/>
                <w:szCs w:val="20"/>
                <w:color w:val="auto"/>
              </w:rPr>
              <w:t>[___]% of the Award is allocated to and eligible to be earned with respect of the</w:t>
            </w:r>
          </w:p>
        </w:tc>
        <w:tc>
          <w:tcPr>
            <w:tcW w:w="0" w:type="dxa"/>
            <w:vAlign w:val="bottom"/>
          </w:tcPr>
          <w:p>
            <w:pPr>
              <w:spacing w:after="0"/>
              <w:rPr>
                <w:sz w:val="1"/>
                <w:szCs w:val="1"/>
                <w:color w:val="auto"/>
              </w:rPr>
            </w:pPr>
          </w:p>
        </w:tc>
      </w:tr>
      <w:tr>
        <w:trPr>
          <w:trHeight w:val="207"/>
        </w:trPr>
        <w:tc>
          <w:tcPr>
            <w:tcW w:w="30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Performance Periods:</w:t>
            </w:r>
          </w:p>
        </w:tc>
        <w:tc>
          <w:tcPr>
            <w:tcW w:w="68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level performance attained during the [four] Performance Periods applicable to the</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Award. [[___] of the Award is eligible to vest in quarterly installments commencing</w:t>
            </w:r>
          </w:p>
        </w:tc>
        <w:tc>
          <w:tcPr>
            <w:tcW w:w="0" w:type="dxa"/>
            <w:vAlign w:val="bottom"/>
          </w:tcPr>
          <w:p>
            <w:pPr>
              <w:spacing w:after="0"/>
              <w:rPr>
                <w:sz w:val="1"/>
                <w:szCs w:val="1"/>
                <w:color w:val="auto"/>
              </w:rPr>
            </w:pPr>
          </w:p>
        </w:tc>
      </w:tr>
      <w:tr>
        <w:trPr>
          <w:trHeight w:val="247"/>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Performance Periods:</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 the third performance year as outlined in the Performance Periods.]</w:t>
            </w:r>
          </w:p>
        </w:tc>
        <w:tc>
          <w:tcPr>
            <w:tcW w:w="0" w:type="dxa"/>
            <w:vAlign w:val="bottom"/>
          </w:tcPr>
          <w:p>
            <w:pPr>
              <w:spacing w:after="0"/>
              <w:rPr>
                <w:sz w:val="1"/>
                <w:szCs w:val="1"/>
                <w:color w:val="auto"/>
              </w:rPr>
            </w:pPr>
          </w:p>
        </w:tc>
      </w:tr>
      <w:tr>
        <w:trPr>
          <w:trHeight w:val="202"/>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applicable Performance Periods are as follows (each a “Performance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xml:space="preserve">• The period beginning on </w:t>
            </w:r>
            <w:r>
              <w:rPr>
                <w:rFonts w:ascii="Times New Roman" w:cs="Times New Roman" w:eastAsia="Times New Roman" w:hAnsi="Times New Roman"/>
                <w:sz w:val="17"/>
                <w:szCs w:val="17"/>
                <w:color w:val="auto"/>
              </w:rPr>
              <w:t>[___]</w:t>
            </w:r>
            <w:r>
              <w:rPr>
                <w:rFonts w:ascii="Times New Roman" w:cs="Times New Roman" w:eastAsia="Times New Roman" w:hAnsi="Times New Roman"/>
                <w:sz w:val="20"/>
                <w:szCs w:val="20"/>
                <w:color w:val="auto"/>
              </w:rPr>
              <w:t xml:space="preserve"> and ending on </w:t>
            </w:r>
            <w:r>
              <w:rPr>
                <w:rFonts w:ascii="Times New Roman" w:cs="Times New Roman" w:eastAsia="Times New Roman" w:hAnsi="Times New Roman"/>
                <w:sz w:val="17"/>
                <w:szCs w:val="17"/>
                <w:color w:val="auto"/>
              </w:rPr>
              <w:t>[___]]</w:t>
            </w:r>
          </w:p>
        </w:tc>
        <w:tc>
          <w:tcPr>
            <w:tcW w:w="0" w:type="dxa"/>
            <w:vAlign w:val="bottom"/>
          </w:tcPr>
          <w:p>
            <w:pPr>
              <w:spacing w:after="0"/>
              <w:rPr>
                <w:sz w:val="1"/>
                <w:szCs w:val="1"/>
                <w:color w:val="auto"/>
              </w:rPr>
            </w:pPr>
          </w:p>
        </w:tc>
      </w:tr>
      <w:tr>
        <w:trPr>
          <w:trHeight w:val="683"/>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Relative TSR Percentile, as defined in Appendix A.</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3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080" w:type="dxa"/>
            <w:vAlign w:val="bottom"/>
            <w:vMerge w:val="continue"/>
          </w:tcPr>
          <w:p>
            <w:pPr>
              <w:spacing w:after="0"/>
              <w:rPr>
                <w:sz w:val="19"/>
                <w:szCs w:val="19"/>
                <w:color w:val="auto"/>
              </w:rPr>
            </w:pPr>
          </w:p>
        </w:tc>
        <w:tc>
          <w:tcPr>
            <w:tcW w:w="684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rPr>
              <w:t>Except as otherwise provided by the Agreement, the Vesting Date shall be the day</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color w:val="auto"/>
                <w:w w:val="99"/>
              </w:rPr>
              <w:t>following the end of the Performance Period on which the Committee determines the</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20"/>
                <w:szCs w:val="20"/>
                <w:color w:val="auto"/>
              </w:rPr>
              <w:t>extent to which the Performance Measure has been achieved, but in any event no</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later than 30 days following the end of such Performance Period.</w:t>
            </w:r>
          </w:p>
        </w:tc>
        <w:tc>
          <w:tcPr>
            <w:tcW w:w="0" w:type="dxa"/>
            <w:vAlign w:val="bottom"/>
          </w:tcPr>
          <w:p>
            <w:pPr>
              <w:spacing w:after="0"/>
              <w:rPr>
                <w:sz w:val="1"/>
                <w:szCs w:val="1"/>
                <w:color w:val="auto"/>
              </w:rPr>
            </w:pPr>
          </w:p>
        </w:tc>
      </w:tr>
      <w:tr>
        <w:trPr>
          <w:trHeight w:val="367"/>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Vested Units:</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Provided that the Participant’s Service has not terminated prior to the Vesting Date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for a Performance Period (except as otherwise provided by the Agreement), the</w:t>
            </w:r>
          </w:p>
        </w:tc>
        <w:tc>
          <w:tcPr>
            <w:tcW w:w="0" w:type="dxa"/>
            <w:vAlign w:val="bottom"/>
          </w:tcPr>
          <w:p>
            <w:pPr>
              <w:spacing w:after="0"/>
              <w:rPr>
                <w:sz w:val="1"/>
                <w:szCs w:val="1"/>
                <w:color w:val="auto"/>
              </w:rPr>
            </w:pPr>
          </w:p>
        </w:tc>
      </w:tr>
      <w:tr>
        <w:trPr>
          <w:trHeight w:val="243"/>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Settlement Date:</w:t>
            </w: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Earned Units, if any, shall become Vested Units on the Vesting Date.</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For each Vested Unit, except as otherwise provided by the Agreement, the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Settlement Date shall be the Vesting Date or as soon thereafter as practicable, but in</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684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20"/>
                <w:szCs w:val="20"/>
                <w:color w:val="auto"/>
                <w:w w:val="99"/>
              </w:rPr>
              <w:t>any event no later than the 15th day of the third calendar month following the end of</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684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20"/>
                <w:szCs w:val="20"/>
                <w:color w:val="auto"/>
                <w:w w:val="99"/>
              </w:rPr>
              <w:t>the Applicable Year in which the Vesting Date occurs. For this purpose, “Applicable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840" w:type="dxa"/>
            <w:vAlign w:val="bottom"/>
            <w:gridSpan w:val="3"/>
          </w:tcPr>
          <w:p>
            <w:pPr>
              <w:ind w:left="60"/>
              <w:spacing w:after="0" w:line="203" w:lineRule="exact"/>
              <w:rPr>
                <w:sz w:val="20"/>
                <w:szCs w:val="20"/>
                <w:color w:val="auto"/>
              </w:rPr>
            </w:pPr>
            <w:r>
              <w:rPr>
                <w:rFonts w:ascii="Times New Roman" w:cs="Times New Roman" w:eastAsia="Times New Roman" w:hAnsi="Times New Roman"/>
                <w:sz w:val="20"/>
                <w:szCs w:val="20"/>
                <w:color w:val="auto"/>
              </w:rPr>
              <w:t>Year” means the calendar year or the Company’s fiscal year, whichever year ends</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8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later.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89" w:name="page90"/>
    <w:bookmarkEnd w:id="89"/>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their signatures below or by electronic acceptance or authentication in a form authorized by the Company, the Company and the</w:t>
      </w:r>
    </w:p>
    <w:p>
      <w:pPr>
        <w:spacing w:after="0" w:line="204" w:lineRule="auto"/>
        <w:rPr>
          <w:sz w:val="20"/>
          <w:szCs w:val="20"/>
          <w:color w:val="auto"/>
        </w:rPr>
      </w:pPr>
      <w:r>
        <w:rPr>
          <w:rFonts w:ascii="Times New Roman" w:cs="Times New Roman" w:eastAsia="Times New Roman" w:hAnsi="Times New Roman"/>
          <w:sz w:val="20"/>
          <w:szCs w:val="20"/>
          <w:color w:val="auto"/>
        </w:rPr>
        <w:t>Participant agree that the Award is governed by this Grant Notice and by the provisions of the Plan and the Agreement, both of which are made part of this document. The Participant acknowledges that copies of the Plan, the Agreement and the prospectus for the Plan are</w:t>
      </w:r>
    </w:p>
    <w:p>
      <w:pPr>
        <w:spacing w:after="0" w:line="211" w:lineRule="auto"/>
        <w:rPr>
          <w:sz w:val="20"/>
          <w:szCs w:val="20"/>
          <w:color w:val="auto"/>
        </w:rPr>
      </w:pPr>
      <w:r>
        <w:rPr>
          <w:rFonts w:ascii="Times New Roman" w:cs="Times New Roman" w:eastAsia="Times New Roman" w:hAnsi="Times New Roman"/>
          <w:sz w:val="20"/>
          <w:szCs w:val="20"/>
          <w:color w:val="auto"/>
        </w:rPr>
        <w:t>available on the Company’s internal web site and may be viewed and printed by the Participant for attachment to the Participant’s copy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this Grant Notice. The Participant represents that the Participant has read and is familiar with the provisions of the Plan and the Agreement, and hereby accepts the Award subject to all of their terms and conditions.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0" w:type="dxa"/>
            <w:vAlign w:val="bottom"/>
          </w:tcPr>
          <w:p>
            <w:pPr>
              <w:spacing w:after="0"/>
              <w:rPr>
                <w:sz w:val="1"/>
                <w:szCs w:val="1"/>
                <w:color w:val="auto"/>
              </w:rPr>
            </w:pPr>
          </w:p>
        </w:tc>
      </w:tr>
      <w:tr>
        <w:trPr>
          <w:trHeight w:val="440"/>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Toby Williams</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7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Name: Toby Williams</w:t>
            </w: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20" w:type="dxa"/>
            <w:vAlign w:val="bottom"/>
            <w:gridSpan w:val="4"/>
            <w:vMerge w:val="continue"/>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Signature</w:t>
            </w:r>
          </w:p>
        </w:tc>
        <w:tc>
          <w:tcPr>
            <w:tcW w:w="0" w:type="dxa"/>
            <w:vAlign w:val="bottom"/>
          </w:tcPr>
          <w:p>
            <w:pPr>
              <w:spacing w:after="0"/>
              <w:rPr>
                <w:sz w:val="1"/>
                <w:szCs w:val="1"/>
                <w:color w:val="auto"/>
              </w:rPr>
            </w:pPr>
          </w:p>
        </w:tc>
      </w:tr>
      <w:tr>
        <w:trPr>
          <w:trHeight w:val="262"/>
        </w:trPr>
        <w:tc>
          <w:tcPr>
            <w:tcW w:w="5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5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4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1400 American Lane</w:t>
            </w:r>
          </w:p>
        </w:tc>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191"/>
        </w:trPr>
        <w:tc>
          <w:tcPr>
            <w:tcW w:w="1060" w:type="dxa"/>
            <w:vAlign w:val="bottom"/>
            <w:gridSpan w:val="2"/>
            <w:vMerge w:val="continue"/>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Schaumburg, Illinois, 60173</w:t>
            </w:r>
          </w:p>
        </w:tc>
        <w:tc>
          <w:tcPr>
            <w:tcW w:w="5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wp:posOffset>
            </wp:positionV>
            <wp:extent cx="3488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167640</wp:posOffset>
            </wp:positionV>
            <wp:extent cx="3488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3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Performance Measure and Performance Multiplier</w:t>
      </w:r>
    </w:p>
    <w:p>
      <w:pPr>
        <w:ind w:left="3420"/>
        <w:spacing w:after="0" w:line="211" w:lineRule="auto"/>
        <w:rPr>
          <w:sz w:val="20"/>
          <w:szCs w:val="20"/>
          <w:color w:val="auto"/>
        </w:rPr>
      </w:pPr>
      <w:r>
        <w:rPr>
          <w:rFonts w:ascii="Times New Roman" w:cs="Times New Roman" w:eastAsia="Times New Roman" w:hAnsi="Times New Roman"/>
          <w:sz w:val="20"/>
          <w:szCs w:val="20"/>
          <w:b w:val="1"/>
          <w:bCs w:val="1"/>
          <w:color w:val="auto"/>
        </w:rPr>
        <w:t>Applicable to Market Stock Unit Award Granted on</w:t>
      </w:r>
    </w:p>
    <w:p>
      <w:pPr>
        <w:ind w:left="5120"/>
        <w:spacing w:after="0"/>
        <w:rPr>
          <w:sz w:val="20"/>
          <w:szCs w:val="20"/>
          <w:color w:val="auto"/>
        </w:rPr>
      </w:pPr>
      <w:r>
        <w:rPr>
          <w:rFonts w:ascii="Times New Roman" w:cs="Times New Roman" w:eastAsia="Times New Roman" w:hAnsi="Times New Roman"/>
          <w:sz w:val="20"/>
          <w:szCs w:val="20"/>
          <w:b w:val="1"/>
          <w:bCs w:val="1"/>
          <w:color w:val="auto"/>
        </w:rPr>
        <w:t>[_________]</w:t>
      </w:r>
    </w:p>
    <w:p>
      <w:pPr>
        <w:spacing w:after="0" w:line="379" w:lineRule="exact"/>
        <w:rPr>
          <w:sz w:val="20"/>
          <w:szCs w:val="20"/>
          <w:color w:val="auto"/>
        </w:rPr>
      </w:pPr>
    </w:p>
    <w:p>
      <w:pPr>
        <w:ind w:right="20" w:firstLine="656"/>
        <w:spacing w:after="0" w:line="235" w:lineRule="auto"/>
        <w:tabs>
          <w:tab w:leader="none" w:pos="129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Relative TSR Percentile</w:t>
      </w:r>
      <w:r>
        <w:rPr>
          <w:rFonts w:ascii="Times New Roman" w:cs="Times New Roman" w:eastAsia="Times New Roman" w:hAnsi="Times New Roman"/>
          <w:sz w:val="20"/>
          <w:szCs w:val="20"/>
          <w:color w:val="auto"/>
        </w:rPr>
        <w:t>” means the percentile (rounded to the nearest whole percentile) of the Company’s TSR ranking relative to the TSRs of the Comparator Companies, determined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125095</wp:posOffset>
            </wp:positionV>
            <wp:extent cx="2648585" cy="300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6485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171" w:lineRule="exact"/>
        <w:rPr>
          <w:sz w:val="20"/>
          <w:szCs w:val="20"/>
          <w:color w:val="auto"/>
        </w:rPr>
      </w:pPr>
    </w:p>
    <w:p>
      <w:pPr>
        <w:ind w:left="196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20"/>
          <w:szCs w:val="20"/>
          <w:color w:val="auto"/>
        </w:rPr>
        <w:t>” is an integer equal to the Company’s ranking when the TSRs of the Company and the Comparator Companies are ranked from the highest to the lowest TSR, with the highest being one (1); and</w:t>
      </w:r>
    </w:p>
    <w:p>
      <w:pPr>
        <w:spacing w:after="0" w:line="1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20"/>
          <w:szCs w:val="20"/>
          <w:color w:val="auto"/>
        </w:rPr>
        <w:t>” is equal to the number of Comparator Companies plus the Company.</w:t>
      </w:r>
    </w:p>
    <w:p>
      <w:pPr>
        <w:spacing w:after="0" w:line="179"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0"/>
          <w:szCs w:val="20"/>
          <w:color w:val="auto"/>
        </w:rPr>
        <w:t>For example, if there are 2999 Comparator Companies and the Company’s TSR ranked 500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highest among the TSRs of a group of 3000 Index Companies (i.e., the Comparator Companies plus the Company), the Relative TSR Percentile of the Company would be 83%, which is the result of (1 – ((500 – 1)/(3000-1))) x 100% (rounded to the nearest whole percentile).</w:t>
      </w:r>
    </w:p>
    <w:p>
      <w:pPr>
        <w:spacing w:after="0" w:line="146" w:lineRule="exact"/>
        <w:rPr>
          <w:sz w:val="20"/>
          <w:szCs w:val="20"/>
          <w:color w:val="auto"/>
        </w:rPr>
      </w:pPr>
    </w:p>
    <w:p>
      <w:pPr>
        <w:jc w:val="both"/>
        <w:ind w:firstLine="656"/>
        <w:spacing w:after="0" w:line="223" w:lineRule="auto"/>
        <w:tabs>
          <w:tab w:leader="none" w:pos="12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or Total Stockholder Return means, for the Company and each Comparator Company, the growth rate for the applicable Performance Period, expressed as a percentage (rounded to the nearest 1/100 of 1%), in the value of one share of such company’s common stock during the Performance Period due to the appreciation in the price per share and dividends paid during such period with respect to such share, assuming dividends are reinvested,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125730</wp:posOffset>
            </wp:positionV>
            <wp:extent cx="263144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6314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“Ending Price</w:t>
      </w:r>
      <w:r>
        <w:rPr>
          <w:rFonts w:ascii="Times New Roman" w:cs="Times New Roman" w:eastAsia="Times New Roman" w:hAnsi="Times New Roman"/>
          <w:sz w:val="20"/>
          <w:szCs w:val="20"/>
          <w:color w:val="auto"/>
        </w:rPr>
        <w:t>” is the Ending Average Per Share Closing Price of such company;</w:t>
      </w:r>
    </w:p>
    <w:p>
      <w:pPr>
        <w:spacing w:after="0" w:line="189" w:lineRule="exact"/>
        <w:rPr>
          <w:sz w:val="20"/>
          <w:szCs w:val="20"/>
          <w:color w:val="auto"/>
        </w:rPr>
      </w:pPr>
    </w:p>
    <w:p>
      <w:pPr>
        <w:ind w:left="196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Dividends</w:t>
      </w:r>
      <w:r>
        <w:rPr>
          <w:rFonts w:ascii="Times New Roman" w:cs="Times New Roman" w:eastAsia="Times New Roman" w:hAnsi="Times New Roman"/>
          <w:sz w:val="20"/>
          <w:szCs w:val="20"/>
          <w:color w:val="auto"/>
        </w:rPr>
        <w:t>” are the aggregate values of all dividends paid to a stockholder of record of such company with respect to one share of common stock during the Performance Period; and</w:t>
      </w:r>
    </w:p>
    <w:p>
      <w:pPr>
        <w:spacing w:after="0" w:line="15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Beginning Price</w:t>
      </w:r>
      <w:r>
        <w:rPr>
          <w:rFonts w:ascii="Times New Roman" w:cs="Times New Roman" w:eastAsia="Times New Roman" w:hAnsi="Times New Roman"/>
          <w:sz w:val="20"/>
          <w:szCs w:val="20"/>
          <w:color w:val="auto"/>
        </w:rPr>
        <w:t>” is the Beginning Average Per Share Closing Price of such company.</w:t>
      </w:r>
    </w:p>
    <w:p>
      <w:pPr>
        <w:spacing w:after="0" w:line="189" w:lineRule="exact"/>
        <w:rPr>
          <w:sz w:val="20"/>
          <w:szCs w:val="20"/>
          <w:color w:val="auto"/>
        </w:rPr>
      </w:pPr>
    </w:p>
    <w:p>
      <w:pPr>
        <w:ind w:firstLine="656"/>
        <w:spacing w:after="0" w:line="235" w:lineRule="auto"/>
        <w:tabs>
          <w:tab w:leader="none" w:pos="129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Beginning Average Per Share Closing Price</w:t>
      </w:r>
      <w:r>
        <w:rPr>
          <w:rFonts w:ascii="Times New Roman" w:cs="Times New Roman" w:eastAsia="Times New Roman" w:hAnsi="Times New Roman"/>
          <w:sz w:val="20"/>
          <w:szCs w:val="20"/>
          <w:color w:val="auto"/>
        </w:rPr>
        <w:t>” means, for the Company and each Comparator Company, the Average Per Share Closing Price for the 30 calendar days ending with the calendar day immediately preceding the first day of the Performance Period.</w:t>
      </w:r>
    </w:p>
    <w:p>
      <w:pPr>
        <w:sectPr>
          <w:pgSz w:w="11900" w:h="16838" w:orient="portrait"/>
          <w:cols w:equalWidth="0" w:num="1">
            <w:col w:w="11240"/>
          </w:cols>
          <w:pgMar w:left="320" w:top="1440" w:right="339" w:bottom="1440" w:gutter="0" w:footer="0" w:header="0"/>
        </w:sectPr>
      </w:pPr>
    </w:p>
    <w:bookmarkStart w:id="91" w:name="page92"/>
    <w:bookmarkEnd w:id="91"/>
    <w:p>
      <w:pPr>
        <w:ind w:firstLine="656"/>
        <w:spacing w:after="0" w:line="245" w:lineRule="auto"/>
        <w:tabs>
          <w:tab w:leader="none" w:pos="12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“Comparator Companies” </w:t>
      </w:r>
      <w:r>
        <w:rPr>
          <w:rFonts w:ascii="Times New Roman" w:cs="Times New Roman" w:eastAsia="Times New Roman" w:hAnsi="Times New Roman"/>
          <w:sz w:val="20"/>
          <w:szCs w:val="20"/>
          <w:color w:val="auto"/>
        </w:rPr>
        <w:t>means each of the companies, other than the Company, included in the Russell 3000 Index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determined in accordance with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w:t>
      </w:r>
    </w:p>
    <w:p>
      <w:pPr>
        <w:spacing w:after="0" w:line="137" w:lineRule="exact"/>
        <w:rPr>
          <w:rFonts w:ascii="Times New Roman" w:cs="Times New Roman" w:eastAsia="Times New Roman" w:hAnsi="Times New Roman"/>
          <w:sz w:val="20"/>
          <w:szCs w:val="20"/>
          <w:color w:val="auto"/>
        </w:rPr>
      </w:pPr>
    </w:p>
    <w:p>
      <w:pPr>
        <w:jc w:val="both"/>
        <w:ind w:firstLine="656"/>
        <w:spacing w:after="0" w:line="235" w:lineRule="auto"/>
        <w:tabs>
          <w:tab w:leader="none" w:pos="129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“Earned Units” </w:t>
      </w:r>
      <w:r>
        <w:rPr>
          <w:rFonts w:ascii="Times New Roman" w:cs="Times New Roman" w:eastAsia="Times New Roman" w:hAnsi="Times New Roman"/>
          <w:sz w:val="19"/>
          <w:szCs w:val="19"/>
          <w:color w:val="auto"/>
        </w:rPr>
        <w:t>means, with respect to each Performance Period, the number of Units (rounded up to the nearest whole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Unit), if any (not to exceed the Maximum Number of Units for such Performance Period) shall be equal to the product of (i) the Target Number of Units for such Performance Period multiplied by (ii) the Relative TSR Multiplier; provided, however, that if the Company’s TSR for the Performance Period is a negative number, then the number of Earned Units shall not exceed 100% of the Target Number of Units.</w:t>
      </w:r>
    </w:p>
    <w:p>
      <w:pPr>
        <w:spacing w:after="0" w:line="156" w:lineRule="exact"/>
        <w:rPr>
          <w:rFonts w:ascii="Times New Roman" w:cs="Times New Roman" w:eastAsia="Times New Roman" w:hAnsi="Times New Roman"/>
          <w:sz w:val="19"/>
          <w:szCs w:val="19"/>
          <w:color w:val="auto"/>
        </w:rPr>
      </w:pPr>
    </w:p>
    <w:p>
      <w:pPr>
        <w:ind w:firstLine="656"/>
        <w:spacing w:after="0" w:line="245" w:lineRule="auto"/>
        <w:tabs>
          <w:tab w:leader="none" w:pos="12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Ending Average Per Share Closing Price</w:t>
      </w:r>
      <w:r>
        <w:rPr>
          <w:rFonts w:ascii="Times New Roman" w:cs="Times New Roman" w:eastAsia="Times New Roman" w:hAnsi="Times New Roman"/>
          <w:sz w:val="20"/>
          <w:szCs w:val="20"/>
          <w:color w:val="auto"/>
        </w:rPr>
        <w:t>” means, for the Company and each Comparator Company, the Average Per Share Closing Price for the 30 calendar days ending with the last calendar day of the applicable Performance Period.</w:t>
      </w:r>
    </w:p>
    <w:p>
      <w:pPr>
        <w:spacing w:after="0" w:line="137"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Average Per Share Closing Price</w:t>
      </w:r>
      <w:r>
        <w:rPr>
          <w:rFonts w:ascii="Times New Roman" w:cs="Times New Roman" w:eastAsia="Times New Roman" w:hAnsi="Times New Roman"/>
          <w:sz w:val="19"/>
          <w:szCs w:val="19"/>
          <w:color w:val="auto"/>
        </w:rPr>
        <w:t>” means, for the Company and each Comparator Company, the volume weighted average of the daily closing prices per share of common stock of such company as reported on the national or regional securities exchange or quotation system constituting the primary market for such common stock for all trading days falling within the applicable averaging period.</w:t>
      </w:r>
    </w:p>
    <w:p>
      <w:pPr>
        <w:spacing w:after="0" w:line="138"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Relative TSR Multiplier</w:t>
      </w:r>
      <w:r>
        <w:rPr>
          <w:rFonts w:ascii="Times New Roman" w:cs="Times New Roman" w:eastAsia="Times New Roman" w:hAnsi="Times New Roman"/>
          <w:sz w:val="20"/>
          <w:szCs w:val="20"/>
          <w:color w:val="auto"/>
        </w:rPr>
        <w:t xml:space="preserve">” means a ratio determined as set forth on </w:t>
      </w:r>
      <w:r>
        <w:rPr>
          <w:rFonts w:ascii="Times New Roman" w:cs="Times New Roman" w:eastAsia="Times New Roman" w:hAnsi="Times New Roman"/>
          <w:sz w:val="20"/>
          <w:szCs w:val="20"/>
          <w:u w:val="single" w:color="auto"/>
          <w:color w:val="auto"/>
        </w:rPr>
        <w:t>Appendix C</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Relative TSR Percentiles serve as cliffs. For example, if Relative TSR Percentile was 59%, the Relative TSR Multiplier would be 95%.</w:t>
      </w:r>
    </w:p>
    <w:p>
      <w:pPr>
        <w:spacing w:after="0" w:line="212" w:lineRule="exact"/>
        <w:rPr>
          <w:sz w:val="20"/>
          <w:szCs w:val="20"/>
          <w:color w:val="auto"/>
        </w:rPr>
      </w:pPr>
    </w:p>
    <w:p>
      <w:pPr>
        <w:jc w:val="both"/>
        <w:ind w:firstLine="656"/>
        <w:spacing w:after="0" w:line="227" w:lineRule="auto"/>
        <w:tabs>
          <w:tab w:leader="none" w:pos="129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Negative Company TSR</w:t>
      </w:r>
      <w:r>
        <w:rPr>
          <w:rFonts w:ascii="Times New Roman" w:cs="Times New Roman" w:eastAsia="Times New Roman" w:hAnsi="Times New Roman"/>
          <w:sz w:val="20"/>
          <w:szCs w:val="20"/>
          <w:color w:val="auto"/>
        </w:rPr>
        <w:t>. If the Company’s TSR for the Performance Period is a negative number, then the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Earned Units shall not exceed 100% of the Target Units (i.e., the Relative TSR Multiplier may not exceed 1.00), regardless of the Company’s Relative TSR Percentile for the Performance Period.</w:t>
      </w:r>
    </w:p>
    <w:p>
      <w:pPr>
        <w:sectPr>
          <w:pgSz w:w="11900" w:h="16838" w:orient="portrait"/>
          <w:cols w:equalWidth="0" w:num="1">
            <w:col w:w="11240"/>
          </w:cols>
          <w:pgMar w:left="320" w:top="1395" w:right="339" w:bottom="1440" w:gutter="0" w:footer="0" w:header="0"/>
        </w:sectPr>
      </w:pPr>
    </w:p>
    <w:bookmarkStart w:id="92" w:name="page93"/>
    <w:bookmarkEnd w:id="92"/>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COMPARATOR COMPANIES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Comparator Companies consist of the companies (other than the Company) included in the Russell 3000 Index as of the Grant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applicable during a Performane Period, a Comparator Company’s TSR shall be modified during the Performance Period as follows:</w:t>
      </w:r>
    </w:p>
    <w:p>
      <w:pPr>
        <w:spacing w:after="0" w:line="189" w:lineRule="exact"/>
        <w:rPr>
          <w:sz w:val="20"/>
          <w:szCs w:val="20"/>
          <w:color w:val="auto"/>
        </w:rPr>
      </w:pPr>
    </w:p>
    <w:p>
      <w:pPr>
        <w:ind w:left="1300" w:hanging="644"/>
        <w:spacing w:after="0" w:line="233" w:lineRule="auto"/>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becomes bankrupt during the Performance Period, then its TSR for the Performance Period will be deemed to equal negative 100%.</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ceases to be publicly traded for a reason other than bankruptcy during the Performance Period, then its TSR will be determined on the date immediately prior to its ceasing to be publicly traded.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merges during the Performance Period with another entity that is not a Comparator Company, then its TSR will be determined on the date immediately prior to the effective time of the merger.</w:t>
      </w:r>
    </w:p>
    <w:p>
      <w:pPr>
        <w:spacing w:after="0" w:line="161" w:lineRule="exact"/>
        <w:rPr>
          <w:rFonts w:ascii="Times New Roman" w:cs="Times New Roman" w:eastAsia="Times New Roman" w:hAnsi="Times New Roman"/>
          <w:sz w:val="20"/>
          <w:szCs w:val="20"/>
          <w:color w:val="auto"/>
        </w:rPr>
      </w:pPr>
    </w:p>
    <w:p>
      <w:pPr>
        <w:jc w:val="both"/>
        <w:ind w:left="1300" w:hanging="644"/>
        <w:spacing w:after="0" w:line="226" w:lineRule="auto"/>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two Comparator Companies merge during the Performance Period, then (a) with respect to the acquired company, its TSR will be determined on the date immediately prior the effective time of the merger and (b) with respect to the acquiring company, its TSR will be determined as if the merger did not occur.</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26" w:lineRule="auto"/>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Comparator Company distributes a portion of its business in a spin-off transaction during the Performance Period, then in determining its TSR for the Performance Period the market capitalization per share of the spun off entity will be treated as a dividend paid by the distributing company.</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APPENDIX 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RELATIVE TSR 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16510</wp:posOffset>
            </wp:positionV>
            <wp:extent cx="2880360" cy="1431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880360" cy="1431290"/>
                    </a:xfrm>
                    <a:prstGeom prst="rect">
                      <a:avLst/>
                    </a:prstGeom>
                    <a:noFill/>
                  </pic:spPr>
                </pic:pic>
              </a:graphicData>
            </a:graphic>
          </wp:anchor>
        </w:drawing>
      </w:r>
    </w:p>
    <w:tbl>
      <w:tblPr>
        <w:tblLayout w:type="fixed"/>
        <w:tblInd w:w="2240" w:type="dxa"/>
        <w:tblCellMar>
          <w:top w:w="0" w:type="dxa"/>
          <w:left w:w="0" w:type="dxa"/>
          <w:bottom w:w="0" w:type="dxa"/>
          <w:right w:w="0" w:type="dxa"/>
        </w:tblCellMar>
      </w:tblPr>
      <w:tr>
        <w:trPr>
          <w:trHeight w:val="229"/>
        </w:trPr>
        <w:tc>
          <w:tcPr>
            <w:tcW w:w="2600" w:type="dxa"/>
            <w:vAlign w:val="bottom"/>
            <w:vMerge w:val="restart"/>
            <w:shd w:val="clear" w:color="auto" w:fill="A5A5A5"/>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Relative TSR Multiplier</w:t>
            </w:r>
          </w:p>
        </w:tc>
        <w:tc>
          <w:tcPr>
            <w:tcW w:w="1940" w:type="dxa"/>
            <w:vAlign w:val="bottom"/>
            <w:shd w:val="clear" w:color="auto" w:fill="A5A5A5"/>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Relative TSR</w:t>
            </w:r>
          </w:p>
        </w:tc>
        <w:tc>
          <w:tcPr>
            <w:tcW w:w="0" w:type="dxa"/>
            <w:vAlign w:val="bottom"/>
          </w:tcPr>
          <w:p>
            <w:pPr>
              <w:spacing w:after="0"/>
              <w:rPr>
                <w:sz w:val="1"/>
                <w:szCs w:val="1"/>
                <w:color w:val="auto"/>
              </w:rPr>
            </w:pPr>
          </w:p>
        </w:tc>
      </w:tr>
      <w:tr>
        <w:trPr>
          <w:trHeight w:val="154"/>
        </w:trPr>
        <w:tc>
          <w:tcPr>
            <w:tcW w:w="2600" w:type="dxa"/>
            <w:vAlign w:val="bottom"/>
            <w:vMerge w:val="continue"/>
            <w:shd w:val="clear" w:color="auto" w:fill="A5A5A5"/>
          </w:tcPr>
          <w:p>
            <w:pPr>
              <w:spacing w:after="0"/>
              <w:rPr>
                <w:sz w:val="13"/>
                <w:szCs w:val="13"/>
                <w:color w:val="auto"/>
              </w:rPr>
            </w:pPr>
          </w:p>
        </w:tc>
        <w:tc>
          <w:tcPr>
            <w:tcW w:w="1940" w:type="dxa"/>
            <w:vAlign w:val="bottom"/>
            <w:vMerge w:val="restart"/>
            <w:shd w:val="clear" w:color="auto" w:fill="A5A5A5"/>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Percentile</w:t>
            </w:r>
          </w:p>
        </w:tc>
        <w:tc>
          <w:tcPr>
            <w:tcW w:w="0" w:type="dxa"/>
            <w:vAlign w:val="bottom"/>
          </w:tcPr>
          <w:p>
            <w:pPr>
              <w:spacing w:after="0"/>
              <w:rPr>
                <w:sz w:val="1"/>
                <w:szCs w:val="1"/>
                <w:color w:val="auto"/>
              </w:rPr>
            </w:pPr>
          </w:p>
        </w:tc>
      </w:tr>
      <w:tr>
        <w:trPr>
          <w:trHeight w:val="109"/>
        </w:trPr>
        <w:tc>
          <w:tcPr>
            <w:tcW w:w="2600" w:type="dxa"/>
            <w:vAlign w:val="bottom"/>
            <w:tcBorders>
              <w:bottom w:val="single" w:sz="8" w:color="A5A5A5"/>
            </w:tcBorders>
            <w:shd w:val="clear" w:color="auto" w:fill="A5A5A5"/>
          </w:tcPr>
          <w:p>
            <w:pPr>
              <w:spacing w:after="0"/>
              <w:rPr>
                <w:sz w:val="9"/>
                <w:szCs w:val="9"/>
                <w:color w:val="auto"/>
              </w:rPr>
            </w:pPr>
          </w:p>
        </w:tc>
        <w:tc>
          <w:tcPr>
            <w:tcW w:w="1940" w:type="dxa"/>
            <w:vAlign w:val="bottom"/>
            <w:tcBorders>
              <w:bottom w:val="single" w:sz="8" w:color="A5A5A5"/>
            </w:tcBorders>
            <w:vMerge w:val="continue"/>
            <w:shd w:val="clear" w:color="auto" w:fill="A5A5A5"/>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600" w:type="dxa"/>
            <w:vAlign w:val="bottom"/>
            <w:shd w:val="clear" w:color="auto" w:fill="E1E1E1"/>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E1E1E1"/>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F0F0F0"/>
            </w:tcBorders>
            <w:shd w:val="clear" w:color="auto" w:fill="F0F0F0"/>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tcBorders>
              <w:bottom w:val="single" w:sz="8" w:color="F0F0F0"/>
            </w:tcBorders>
            <w:shd w:val="clear" w:color="auto" w:fill="F0F0F0"/>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83"/>
        </w:trPr>
        <w:tc>
          <w:tcPr>
            <w:tcW w:w="2600" w:type="dxa"/>
            <w:vAlign w:val="bottom"/>
            <w:shd w:val="clear" w:color="auto" w:fill="E1E1E1"/>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E1E1E1"/>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F0F0F0"/>
            </w:tcBorders>
            <w:shd w:val="clear" w:color="auto" w:fill="F0F0F0"/>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tcBorders>
              <w:bottom w:val="single" w:sz="8" w:color="F0F0F0"/>
            </w:tcBorders>
            <w:shd w:val="clear" w:color="auto" w:fill="F0F0F0"/>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83"/>
        </w:trPr>
        <w:tc>
          <w:tcPr>
            <w:tcW w:w="2600" w:type="dxa"/>
            <w:vAlign w:val="bottom"/>
            <w:shd w:val="clear" w:color="auto" w:fill="E1E1E1"/>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E1E1E1"/>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263"/>
        </w:trPr>
        <w:tc>
          <w:tcPr>
            <w:tcW w:w="2600" w:type="dxa"/>
            <w:vAlign w:val="bottom"/>
            <w:shd w:val="clear" w:color="auto" w:fill="F0F0F0"/>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1940" w:type="dxa"/>
            <w:vAlign w:val="bottom"/>
            <w:shd w:val="clear" w:color="auto" w:fill="F0F0F0"/>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 %]</w:t>
            </w:r>
          </w:p>
        </w:tc>
        <w:tc>
          <w:tcPr>
            <w:tcW w:w="0" w:type="dxa"/>
            <w:vAlign w:val="bottom"/>
          </w:tcPr>
          <w:p>
            <w:pPr>
              <w:spacing w:after="0"/>
              <w:rPr>
                <w:sz w:val="1"/>
                <w:szCs w:val="1"/>
                <w:color w:val="auto"/>
              </w:rPr>
            </w:pPr>
          </w:p>
        </w:tc>
      </w:tr>
      <w:tr>
        <w:trPr>
          <w:trHeight w:val="35"/>
        </w:trPr>
        <w:tc>
          <w:tcPr>
            <w:tcW w:w="2600" w:type="dxa"/>
            <w:vAlign w:val="bottom"/>
            <w:shd w:val="clear" w:color="auto" w:fill="F0F0F0"/>
          </w:tcPr>
          <w:p>
            <w:pPr>
              <w:spacing w:after="0"/>
              <w:rPr>
                <w:sz w:val="3"/>
                <w:szCs w:val="3"/>
                <w:color w:val="auto"/>
              </w:rPr>
            </w:pPr>
          </w:p>
        </w:tc>
        <w:tc>
          <w:tcPr>
            <w:tcW w:w="1940" w:type="dxa"/>
            <w:vAlign w:val="bottom"/>
            <w:shd w:val="clear" w:color="auto" w:fill="F0F0F0"/>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440"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MARKET STOCK UNITS</w:t>
      </w: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(for California Participants)</w:t>
      </w:r>
    </w:p>
    <w:p>
      <w:pPr>
        <w:spacing w:after="0" w:line="20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Paylocity Holding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to which this Agreement is attached an Award consisting of Market Stock Units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xml:space="preserve">”) subject to the terms and conditions set forth in the Grant Notice and this Agreement. The Award has been granted pursuant to the Paylocity Holding Corporation 2023 Equity Incentive Plan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 amended to the Grant Date, the provisions of which are incorporated herein by reference. This Award is intended to constitute an Award of Performance Shares described in Section 10 of the Plan. Notwithstanding anything in the Plan to the contrary, the determination of the number of Units which vest and/or are to be settled in Shares shall be determined based on the provisions contained in the Grant Notice and this Agreement, and the provisions set forth in Section 10.7(a) of the Plan (relating to certain Terminations of Service) shall not apply.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defined herein or in the Grant Notice, capitalized terms shall have the meanings assigned by the Plan.</w:t>
      </w:r>
    </w:p>
    <w:p>
      <w:pPr>
        <w:spacing w:after="0" w:line="225"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THE AWARD</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The Company has granted to the Participant the Award set forth in the Grant Notice, which, depending on the extent to which the Performance Measure is attained during the Performance Period, may result in the Participant earning as little as zero (0) Units or as many as the Maximum Number of Units. Subject to the terms of this Agreement and the Plan, each Unit, to the extent it is earned and becomes a Vested Unit, represents a right to receive on the Settlement Date one (1) Share. Unless and until a Unit has been determined to be an Earned Unit and has vested and become a Vested Unit as set forth in the Grant Notice, the Participant will have no right to settlement of such Units. Prior to settlement of Vested Units, such Units will represent an unfunded and unsecured obligation of the Company.</w:t>
      </w:r>
    </w:p>
    <w:p>
      <w:pPr>
        <w:spacing w:after="0" w:line="199"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COMMITTEE DETERMINATION OF EARNED UNITS</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color w:val="auto"/>
        </w:rPr>
        <w:t>Level of Performance Measure Attained.</w:t>
      </w:r>
      <w:r>
        <w:rPr>
          <w:rFonts w:ascii="Times New Roman" w:cs="Times New Roman" w:eastAsia="Times New Roman" w:hAnsi="Times New Roman"/>
          <w:sz w:val="20"/>
          <w:szCs w:val="20"/>
          <w:color w:val="auto"/>
        </w:rPr>
        <w:t xml:space="preserve"> As soon as practicable following completion of the Performance Period, but in any event no later than the Vesting Date, the Committee shall determine the level of attainment of the Performance Measure during the Performance Period, the resulting Relative TSR Multiplier and the number of Units which have become Earned Units.</w:t>
      </w:r>
    </w:p>
    <w:p>
      <w:pPr>
        <w:spacing w:after="0" w:line="189"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color w:val="auto"/>
        </w:rPr>
        <w:t>Adjustment for Leave of Absence or Part-Time Work.</w:t>
      </w:r>
      <w:r>
        <w:rPr>
          <w:rFonts w:ascii="Times New Roman" w:cs="Times New Roman" w:eastAsia="Times New Roman" w:hAnsi="Times New Roman"/>
          <w:sz w:val="20"/>
          <w:szCs w:val="20"/>
          <w:color w:val="auto"/>
        </w:rPr>
        <w:t xml:space="preserve"> Unless otherwise required by law or Company policy, if the Participant takes one or more unpaid leaves of absence, the Committee may, in its discretion, make such modifications to the Award as it deems appropriate. Unless otherwise required by law or Company policy, if the Participant commences working on a part-time basis during the Performance Period, the Committee may, in its discretion, make such modifications to the Award as it deems appropriate.</w:t>
      </w:r>
    </w:p>
    <w:p>
      <w:pPr>
        <w:spacing w:after="0" w:line="210"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EARNED UNITS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20" w:firstLine="1296"/>
        <w:spacing w:after="0" w:line="27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Normal Vesting.</w:t>
      </w:r>
      <w:r>
        <w:rPr>
          <w:rFonts w:ascii="Times New Roman" w:cs="Times New Roman" w:eastAsia="Times New Roman" w:hAnsi="Times New Roman"/>
          <w:sz w:val="20"/>
          <w:szCs w:val="20"/>
          <w:color w:val="auto"/>
        </w:rPr>
        <w:t xml:space="preserve"> Except as otherwise provided by this Agreement, Earned Units shall vest and become Vested Units as provided in the Grant Notice.</w:t>
      </w:r>
    </w:p>
    <w:p>
      <w:pPr>
        <w:spacing w:after="0" w:line="165" w:lineRule="exact"/>
        <w:rPr>
          <w:sz w:val="20"/>
          <w:szCs w:val="20"/>
          <w:color w:val="auto"/>
        </w:rPr>
      </w:pPr>
    </w:p>
    <w:p>
      <w:pPr>
        <w:ind w:right="580" w:firstLine="1296"/>
        <w:spacing w:after="0" w:line="27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Vesting Upon a Change in Control.</w:t>
      </w:r>
      <w:r>
        <w:rPr>
          <w:rFonts w:ascii="Times New Roman" w:cs="Times New Roman" w:eastAsia="Times New Roman" w:hAnsi="Times New Roman"/>
          <w:sz w:val="20"/>
          <w:szCs w:val="20"/>
          <w:color w:val="auto"/>
        </w:rPr>
        <w:t xml:space="preserve"> In the event of a Change in Control, the vesting of Earned Units shall be determined in accordance with Section 9.</w:t>
      </w:r>
    </w:p>
    <w:p>
      <w:pPr>
        <w:sectPr>
          <w:pgSz w:w="11900" w:h="16838" w:orient="portrait"/>
          <w:cols w:equalWidth="0" w:num="1">
            <w:col w:w="11240"/>
          </w:cols>
          <w:pgMar w:left="320" w:top="1328" w:right="339" w:bottom="1440" w:gutter="0" w:footer="0" w:header="0"/>
        </w:sectPr>
      </w:pPr>
    </w:p>
    <w:bookmarkStart w:id="95" w:name="page96"/>
    <w:bookmarkEnd w:id="95"/>
    <w:p>
      <w:pPr>
        <w:ind w:left="1300" w:hanging="644"/>
        <w:spacing w:after="0"/>
        <w:tabs>
          <w:tab w:leader="none" w:pos="13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SERVICE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Death or Disability.</w:t>
      </w:r>
      <w:r>
        <w:rPr>
          <w:rFonts w:ascii="Times New Roman" w:cs="Times New Roman" w:eastAsia="Times New Roman" w:hAnsi="Times New Roman"/>
          <w:sz w:val="20"/>
          <w:szCs w:val="20"/>
          <w:color w:val="auto"/>
        </w:rPr>
        <w:t xml:space="preserve"> If the Participant’s Service terminates by reason of the death or Disability of the Participant either (a) before completion of the Performance Period or (b) after completion of the Performance Period but before the Vesting Date, the Participant shall not forfeit the Award. Instead, unless the Committee determines that Section 9 is applicable, the number of Earned Units and Vested Units shall be determined as follows:</w:t>
      </w:r>
    </w:p>
    <w:p>
      <w:pPr>
        <w:spacing w:after="0" w:line="195" w:lineRule="exact"/>
        <w:rPr>
          <w:sz w:val="20"/>
          <w:szCs w:val="20"/>
          <w:color w:val="auto"/>
        </w:rPr>
      </w:pPr>
    </w:p>
    <w:p>
      <w:pPr>
        <w:jc w:val="both"/>
        <w:ind w:firstLine="1952"/>
        <w:spacing w:after="0" w:line="249" w:lineRule="auto"/>
        <w:tabs>
          <w:tab w:leader="none" w:pos="2413"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termination of Service occurs before completion of the Performance Period, then a number of Earned Units shall be determined for a special Performance Period ending on the day of such termination of Service (the “</w:t>
      </w:r>
      <w:r>
        <w:rPr>
          <w:rFonts w:ascii="Times New Roman" w:cs="Times New Roman" w:eastAsia="Times New Roman" w:hAnsi="Times New Roman"/>
          <w:sz w:val="19"/>
          <w:szCs w:val="19"/>
          <w:b w:val="1"/>
          <w:bCs w:val="1"/>
          <w:i w:val="1"/>
          <w:iCs w:val="1"/>
          <w:color w:val="auto"/>
        </w:rPr>
        <w:t>Special 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Period</w:t>
      </w:r>
      <w:r>
        <w:rPr>
          <w:rFonts w:ascii="Times New Roman" w:cs="Times New Roman" w:eastAsia="Times New Roman" w:hAnsi="Times New Roman"/>
          <w:sz w:val="19"/>
          <w:szCs w:val="19"/>
          <w:color w:val="auto"/>
        </w:rPr>
        <w:t>”). The TSR for the Company and each Comparator Company for the Special Performance Period shall be determined as provided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except that the Ending Average Per Share Closing Price shall be determined for the 30 calendar days ending with the last day of the Special Performance Period. The number of Vested Units shall be determined by multiplying such number of Earned Units by the ratio of the number of days of the Participant’s Service during the Special Performance Period to the number of days contained in the original Performance Period. The number of Vested Units so determined shall be settled in accordance with Section 5. The Participant shall forfeit all Units not determined to be Vested Units in accordance with this Section, and the Participant shall not be entitled to any payment therefor.</w:t>
      </w:r>
    </w:p>
    <w:p>
      <w:pPr>
        <w:spacing w:after="0" w:line="198" w:lineRule="exact"/>
        <w:rPr>
          <w:rFonts w:ascii="Times New Roman" w:cs="Times New Roman" w:eastAsia="Times New Roman" w:hAnsi="Times New Roman"/>
          <w:sz w:val="19"/>
          <w:szCs w:val="19"/>
          <w:color w:val="auto"/>
        </w:rPr>
      </w:pPr>
    </w:p>
    <w:p>
      <w:pPr>
        <w:jc w:val="both"/>
        <w:ind w:firstLine="1952"/>
        <w:spacing w:after="0" w:line="244" w:lineRule="auto"/>
        <w:tabs>
          <w:tab w:leader="none" w:pos="240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of Service occurs after completion of the Performance Period but before the Vesting Date, then the number of Earned Units shall be determined for the Performance Period in accordance with Section 2, and all such Earned Units be deemed Vested Units upon such determination by the Committee and settled in accordance with Section 5 as if the Participant’s Service had continued through the Vesting Date.</w:t>
      </w:r>
    </w:p>
    <w:p>
      <w:pPr>
        <w:spacing w:after="0" w:line="195"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Other Termination of Service.</w:t>
      </w:r>
      <w:r>
        <w:rPr>
          <w:rFonts w:ascii="Times New Roman" w:cs="Times New Roman" w:eastAsia="Times New Roman" w:hAnsi="Times New Roman"/>
          <w:sz w:val="20"/>
          <w:szCs w:val="20"/>
          <w:color w:val="auto"/>
        </w:rPr>
        <w:t xml:space="preserve"> In the event that the Participant’s Service terminates for any reason, with or without cause, other than by reason of the death or Disability of the Participant, the Participant shall forfeit and the Company shall automatically reacquire all Units which are not, as of the time of such termination, Vested Units, and the Participant shall not be entitled to any payment therefor.</w:t>
      </w:r>
    </w:p>
    <w:p>
      <w:pPr>
        <w:spacing w:after="0" w:line="210"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THE AWARD</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5.3 and Section 6 below, the Company shall issue to the Participant on the Settlement Date with respect to each Vested Unit to be settled on such date one (1) Share. Shares issued in settlement of Vested Units shall not be subject to any restriction on transfer other than any such restriction as may be required pursuant to Section 5.3.</w:t>
      </w:r>
    </w:p>
    <w:p>
      <w:pPr>
        <w:spacing w:after="0" w:line="20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Beneficial Ownership of Shares; Certificate Registration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9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Restrictions on Grant of the Award and Issuance of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grant of the Award and issuance of Shares upon</w:t>
      </w:r>
    </w:p>
    <w:p>
      <w:pPr>
        <w:spacing w:after="0" w:line="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settlement of the Award shall be subject to compliance with all applicable requirements of U.S. federal, state or foreign law with respect to such securities. No Shares may be issued hereunder if the issuance of such Shares would constitute a violation of any applicable U.S. federal, state or foreign securities laws or other laws or regulations or the requirements of any stock</w:t>
      </w:r>
    </w:p>
    <w:p>
      <w:pPr>
        <w:sectPr>
          <w:pgSz w:w="11900" w:h="16838" w:orient="portrait"/>
          <w:cols w:equalWidth="0" w:num="1">
            <w:col w:w="11240"/>
          </w:cols>
          <w:pgMar w:left="320" w:top="1409" w:right="339" w:bottom="1440" w:gutter="0" w:footer="0" w:header="0"/>
        </w:sectPr>
      </w:pPr>
    </w:p>
    <w:bookmarkStart w:id="96" w:name="page97"/>
    <w:bookmarkEnd w:id="96"/>
    <w:p>
      <w:pPr>
        <w:jc w:val="both"/>
        <w:spacing w:after="0" w:line="234" w:lineRule="auto"/>
        <w:rPr>
          <w:sz w:val="20"/>
          <w:szCs w:val="20"/>
          <w:color w:val="auto"/>
        </w:rPr>
      </w:pPr>
      <w:r>
        <w:rPr>
          <w:rFonts w:ascii="Times New Roman" w:cs="Times New Roman" w:eastAsia="Times New Roman" w:hAnsi="Times New Roman"/>
          <w:sz w:val="20"/>
          <w:szCs w:val="20"/>
          <w:color w:val="auto"/>
        </w:rPr>
        <w:t>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Further, regardless of whether the transfer or issuance of the Shares to be issued pursuant to the Units has been registered under the Securities Act or has been registered or qualified under the securities laws of any State, the Company may impose additional restrictions upon the sale, pledge, or other transfer of the Shares (including the placement of appropriate legends on share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Fractional Shares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not be required to issue fractional Shares upon the settlement of the Award.</w:t>
      </w:r>
    </w:p>
    <w:p>
      <w:pPr>
        <w:spacing w:after="0" w:line="229"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 AND ADVICE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In General.</w:t>
      </w:r>
      <w:r>
        <w:rPr>
          <w:rFonts w:ascii="Times New Roman" w:cs="Times New Roman" w:eastAsia="Times New Roman" w:hAnsi="Times New Roman"/>
          <w:sz w:val="20"/>
          <w:szCs w:val="20"/>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U.S. federal, state, local and foreign tax (including any social insurance) withholding obligations of the Participating Company, if any, which arise in connection with the Award, the vesting of Units or the issuance of Shares in settlement thereof. The Company shall have no obligation to deliver Shares until the tax withholding obligations of the Participating Company have been satisfied by the Participant.</w:t>
      </w:r>
    </w:p>
    <w:p>
      <w:pPr>
        <w:spacing w:after="0" w:line="20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Assignment of Sale Proceeds.</w:t>
      </w:r>
      <w:r>
        <w:rPr>
          <w:rFonts w:ascii="Times New Roman" w:cs="Times New Roman" w:eastAsia="Times New Roman" w:hAnsi="Times New Roman"/>
          <w:sz w:val="20"/>
          <w:szCs w:val="20"/>
          <w:color w:val="auto"/>
        </w:rPr>
        <w:t xml:space="preserve"> 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20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color w:val="auto"/>
        </w:rPr>
        <w:t>Withholding in Shares.</w:t>
      </w:r>
      <w:r>
        <w:rPr>
          <w:rFonts w:ascii="Times New Roman" w:cs="Times New Roman" w:eastAsia="Times New Roman" w:hAnsi="Times New Roman"/>
          <w:sz w:val="20"/>
          <w:szCs w:val="20"/>
          <w:color w:val="auto"/>
        </w:rPr>
        <w:t xml:space="preserve"> The Company shall have the right, but not the obligation, to require the Participant to satisfy all or any portion of a Participating Company’s tax withholding obligations by deducting from the Shares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statutory withholding rates.</w:t>
      </w:r>
    </w:p>
    <w:p>
      <w:pPr>
        <w:spacing w:after="0" w:line="20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The Participant represents, warrants and acknowledges that the Company has made no warranties or representations to the Participant with respect to the income tax consequences of the transactions contemplated by this Agreement, and the Participant is in no manner relying on the Company or the Company’s representatives for an assessment of such tax consequences. THE PARTICIPANT UNDERSTANDS THAT THE TAX LAWS AND REGULATIONS ARE SUBJECT TO CHANGE. THE PARTICIPANT SHOULD CONSULT HIS OR HER OWN TAX ADVISOR REGARDING THE UNITS. NOTHING STATED HEREIN IS INTENDED OR WRITTEN TO BE USED, AND CANNOT BE USED, FOR THE PURPOSE OF AVOIDING TAXPAYER PENALTIES.</w:t>
      </w:r>
    </w:p>
    <w:p>
      <w:pPr>
        <w:sectPr>
          <w:pgSz w:w="11900" w:h="16838" w:orient="portrait"/>
          <w:cols w:equalWidth="0" w:num="1">
            <w:col w:w="11240"/>
          </w:cols>
          <w:pgMar w:left="320" w:top="1170" w:right="339" w:bottom="1440" w:gutter="0" w:footer="0" w:header="0"/>
        </w:sectPr>
      </w:pPr>
    </w:p>
    <w:bookmarkStart w:id="97" w:name="page98"/>
    <w:bookmarkEnd w:id="97"/>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 COVENANTS.</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Covenant Not to Disclose.</w:t>
      </w:r>
      <w:r>
        <w:rPr>
          <w:rFonts w:ascii="Times New Roman" w:cs="Times New Roman" w:eastAsia="Times New Roman" w:hAnsi="Times New Roman"/>
          <w:sz w:val="20"/>
          <w:szCs w:val="20"/>
          <w:color w:val="auto"/>
        </w:rPr>
        <w:t xml:space="preserve"> The Participant acknowledges that as a result of the Participant’s employment with Paylocity Corporation, an Illinois corporation (“</w:t>
      </w:r>
      <w:r>
        <w:rPr>
          <w:rFonts w:ascii="Times New Roman" w:cs="Times New Roman" w:eastAsia="Times New Roman" w:hAnsi="Times New Roman"/>
          <w:sz w:val="20"/>
          <w:szCs w:val="20"/>
          <w:b w:val="1"/>
          <w:bCs w:val="1"/>
          <w:i w:val="1"/>
          <w:iCs w:val="1"/>
          <w:color w:val="auto"/>
        </w:rPr>
        <w:t>Paylocity</w:t>
      </w:r>
      <w:r>
        <w:rPr>
          <w:rFonts w:ascii="Times New Roman" w:cs="Times New Roman" w:eastAsia="Times New Roman" w:hAnsi="Times New Roman"/>
          <w:sz w:val="20"/>
          <w:szCs w:val="20"/>
          <w:color w:val="auto"/>
        </w:rPr>
        <w:t>”), the Participant has gained access to Paylocity’s Confidential Information (defined below). During the Participant’s employment and thereafter, the Participant will not use, disclose, or reveal to any person any Confidential Information except when acting within the scope of the Participant’s duties or with prior written authorization from Paylocity’s Chief Human Resources Officer.</w:t>
      </w:r>
    </w:p>
    <w:p>
      <w:pPr>
        <w:spacing w:after="0" w:line="214" w:lineRule="exact"/>
        <w:rPr>
          <w:sz w:val="20"/>
          <w:szCs w:val="20"/>
          <w:color w:val="auto"/>
        </w:rPr>
      </w:pPr>
    </w:p>
    <w:p>
      <w:pPr>
        <w:jc w:val="both"/>
        <w:ind w:firstLine="1952"/>
        <w:spacing w:after="0" w:line="234" w:lineRule="auto"/>
        <w:tabs>
          <w:tab w:leader="none" w:pos="241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all information belonging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relating to the business of Paylocity (including information received in confidence by Paylocity from its customers or suppliers or other third parties),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formulae and processes,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pacing w:after="0" w:line="211" w:lineRule="exact"/>
        <w:rPr>
          <w:rFonts w:ascii="Times New Roman" w:cs="Times New Roman" w:eastAsia="Times New Roman" w:hAnsi="Times New Roman"/>
          <w:sz w:val="20"/>
          <w:szCs w:val="20"/>
          <w:color w:val="auto"/>
        </w:rPr>
      </w:pPr>
    </w:p>
    <w:p>
      <w:pPr>
        <w:jc w:val="both"/>
        <w:ind w:firstLine="1952"/>
        <w:spacing w:after="0" w:line="235" w:lineRule="auto"/>
        <w:tabs>
          <w:tab w:leader="none" w:pos="240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Scope of Non-Disclosure; Return of Company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Nothing in this Section shall be deemed to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Covenants Not to Solicit.</w:t>
      </w:r>
    </w:p>
    <w:p>
      <w:pPr>
        <w:spacing w:after="0" w:line="243" w:lineRule="exact"/>
        <w:rPr>
          <w:sz w:val="20"/>
          <w:szCs w:val="20"/>
          <w:color w:val="auto"/>
        </w:rPr>
      </w:pPr>
    </w:p>
    <w:p>
      <w:pPr>
        <w:jc w:val="both"/>
        <w:ind w:firstLine="1952"/>
        <w:spacing w:after="0" w:line="241" w:lineRule="auto"/>
        <w:tabs>
          <w:tab w:leader="none" w:pos="251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Customer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accept business from any of Paylocity’s customers, prospective customers, brokers, brokerage firms, business partners, business associates, or end users for the purpose of selling or soliciting products or services that are in competition with the products or services of Paylocity.</w:t>
      </w:r>
    </w:p>
    <w:p>
      <w:pPr>
        <w:spacing w:after="0" w:line="210"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1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Employee Non-Solicitation. </w:t>
      </w:r>
      <w:r>
        <w:rPr>
          <w:rFonts w:ascii="Times New Roman" w:cs="Times New Roman" w:eastAsia="Times New Roman" w:hAnsi="Times New Roman"/>
          <w:sz w:val="20"/>
          <w:szCs w:val="20"/>
          <w:color w:val="auto"/>
        </w:rPr>
        <w:t>During employment with Paylocity, the Participant agrees not to directly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indirectly contact, solicit or recruit any employees or exclusive independent contractors of Paylocity for the purpose of causing, inviting or encouraging any such employee to (i) terminate his or her employment or business relationship with Paylocity; and/or (ii) become employed or engaged by a person or entity that sells Competing Products (as defined below).</w:t>
      </w:r>
    </w:p>
    <w:p>
      <w:pPr>
        <w:sectPr>
          <w:pgSz w:w="11900" w:h="16838" w:orient="portrait"/>
          <w:cols w:equalWidth="0" w:num="1">
            <w:col w:w="11240"/>
          </w:cols>
          <w:pgMar w:left="320" w:top="1409" w:right="339" w:bottom="1440" w:gutter="0" w:footer="0" w:header="0"/>
        </w:sectPr>
      </w:pPr>
    </w:p>
    <w:bookmarkStart w:id="98" w:name="page99"/>
    <w:bookmarkEnd w:id="98"/>
    <w:p>
      <w:pPr>
        <w:jc w:val="both"/>
        <w:ind w:firstLine="1296"/>
        <w:spacing w:after="0" w:line="23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Covenant Not to Compete.</w:t>
      </w:r>
      <w:r>
        <w:rPr>
          <w:rFonts w:ascii="Times New Roman" w:cs="Times New Roman" w:eastAsia="Times New Roman" w:hAnsi="Times New Roman"/>
          <w:sz w:val="20"/>
          <w:szCs w:val="20"/>
          <w:color w:val="auto"/>
        </w:rPr>
        <w:t xml:space="preserve"> During employment with Paylocity, the Participant agrees not to directly or indirectly, on behalf of Participant or in conjunction with any other person or entity: (i) own any business (other than less than 3% ownership in a publicly traded company) that sells Competing Products in the Restricted Territory; or (ii) work (whether as an employee, independent contractor, consultant, or otherwise) for any person or entity that sells Competing Products, in any role: (y) that is similar to the Participant’s then-current position or to any position the Participant held with the Company during the previous twenty-four (24) months, or (z) in which it would be beneficial for the Participant to use or rely upon Paylocity’s Confidential Information. The term “</w:t>
      </w:r>
      <w:r>
        <w:rPr>
          <w:rFonts w:ascii="Times New Roman" w:cs="Times New Roman" w:eastAsia="Times New Roman" w:hAnsi="Times New Roman"/>
          <w:sz w:val="20"/>
          <w:szCs w:val="20"/>
          <w:b w:val="1"/>
          <w:bCs w:val="1"/>
          <w:i w:val="1"/>
          <w:iCs w:val="1"/>
          <w:color w:val="auto"/>
        </w:rPr>
        <w:t>Competing Products</w:t>
      </w:r>
      <w:r>
        <w:rPr>
          <w:rFonts w:ascii="Times New Roman" w:cs="Times New Roman" w:eastAsia="Times New Roman" w:hAnsi="Times New Roman"/>
          <w:sz w:val="20"/>
          <w:szCs w:val="20"/>
          <w:color w:val="auto"/>
        </w:rPr>
        <w:t>” shall mean products or services sold by Paylocity, or any prospective product or service Paylocity has taken steps to develop, including, without limitation, any products or services related to software solutions for payroll, human capital management, human resources, benefits, time and labor, and talent management.</w:t>
      </w:r>
    </w:p>
    <w:p>
      <w:pPr>
        <w:spacing w:after="0" w:line="21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color w:val="auto"/>
        </w:rPr>
        <w:t>Acknowledgments.</w:t>
      </w:r>
      <w:r>
        <w:rPr>
          <w:rFonts w:ascii="Times New Roman" w:cs="Times New Roman" w:eastAsia="Times New Roman" w:hAnsi="Times New Roman"/>
          <w:sz w:val="20"/>
          <w:szCs w:val="20"/>
          <w:color w:val="auto"/>
        </w:rPr>
        <w:t xml:space="preserve"> The Participant acknowledges that: (i) the covenants of this Section 7 are supported by sufficient consideration, including access to Paylocity’s Legitimate Business Interests (defined below), and the Units awarded under this Agreement; (ii) Paylocity has invested substantial resources into the development, protection and retention of its Confidential Information, employees, customers, and business (collectively, “</w:t>
      </w:r>
      <w:r>
        <w:rPr>
          <w:rFonts w:ascii="Times New Roman" w:cs="Times New Roman" w:eastAsia="Times New Roman" w:hAnsi="Times New Roman"/>
          <w:sz w:val="20"/>
          <w:szCs w:val="20"/>
          <w:b w:val="1"/>
          <w:bCs w:val="1"/>
          <w:i w:val="1"/>
          <w:iCs w:val="1"/>
          <w:color w:val="auto"/>
        </w:rPr>
        <w:t>Legitimate Business Interests</w:t>
      </w:r>
      <w:r>
        <w:rPr>
          <w:rFonts w:ascii="Times New Roman" w:cs="Times New Roman" w:eastAsia="Times New Roman" w:hAnsi="Times New Roman"/>
          <w:sz w:val="20"/>
          <w:szCs w:val="20"/>
          <w:color w:val="auto"/>
        </w:rPr>
        <w:t>”); (iii) the Legitimate Business Interests have significant intrinsic value and are not readily achieved or duplicated; (iv) solely as a result of the Participant’s employment with Paylocity, the Participant has gained access to and familiarity with the Legitimate Business Interests; (v) the covenants of this Section 7 are therefore reasonable and necessary to protect the Legitimate Business Interests, and they are enforceable; and (vi) the provisions of this Section 7 do not restrain competition, limit the Participant’s ability to obtain employment of the Participant’s choosing or affect the Participant’s wages.</w:t>
      </w:r>
    </w:p>
    <w:p>
      <w:pPr>
        <w:spacing w:after="0" w:line="20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color w:val="auto"/>
        </w:rPr>
        <w:t>Remedies and Relief.</w:t>
      </w:r>
      <w:r>
        <w:rPr>
          <w:rFonts w:ascii="Times New Roman" w:cs="Times New Roman" w:eastAsia="Times New Roman" w:hAnsi="Times New Roman"/>
          <w:sz w:val="20"/>
          <w:szCs w:val="20"/>
          <w:color w:val="auto"/>
        </w:rPr>
        <w:t xml:space="preserve"> In the event of any breach by the Participant of the provisions of this Section 7: (i) the Company shall have the right to require the Participant to deliver to the Company: (a) all Units granted to the Participant in the three (3) years preceding said breach; and (b) to the extent the Participant has disposed of any Units so granted or shares of Stock issued in settlement of such Units, the net proceeds from all such dispositions; and (ii) any unvested Units shall be immediately forfeited (collectively, the “</w:t>
      </w:r>
      <w:r>
        <w:rPr>
          <w:rFonts w:ascii="Times New Roman" w:cs="Times New Roman" w:eastAsia="Times New Roman" w:hAnsi="Times New Roman"/>
          <w:sz w:val="20"/>
          <w:szCs w:val="20"/>
          <w:b w:val="1"/>
          <w:bCs w:val="1"/>
          <w:i w:val="1"/>
          <w:iCs w:val="1"/>
          <w:color w:val="auto"/>
        </w:rPr>
        <w:t>Repayment Obligation</w:t>
      </w:r>
      <w:r>
        <w:rPr>
          <w:rFonts w:ascii="Times New Roman" w:cs="Times New Roman" w:eastAsia="Times New Roman" w:hAnsi="Times New Roman"/>
          <w:sz w:val="20"/>
          <w:szCs w:val="20"/>
          <w:color w:val="auto"/>
        </w:rPr>
        <w:t>”). The determination of whether the Participant has engaged in a breach of Section 7 shall be determined by the Committee in its sole discretion. Any repayment obligations under this Section 7 shall be effected by the Participant within thirty (30) days of receipt of the Company’s written demand for repayment. The Company may provide for an offset to any future payments owed by the Participating Company Group to the Participant, if necessary, to satisfy the Repayment Obligation. The Participant agrees to execute such documents as may be necessary to effect the repayment obligations referred to in this Section. Nothing in this Section 7 shall limit Paylocity from pursuing any other remedies otherwise available in law or in equity, including a temporary retaining order, a preliminary injunction, and a permanent injunction enjoining Participant’s breach or threatened breach of any of the provisions of this Agreement or from seeking enforcement of any other restrictions by which the Participant is bound under other agreements or applicable law.</w:t>
      </w:r>
    </w:p>
    <w:p>
      <w:pPr>
        <w:spacing w:after="0" w:line="20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such provision will be distinct and severable from the other provisions of this Agreement, and such unenforceability will not affect the validity and enforceability of the remaining provisions. If a court holds that the duration, scope, geographic range or any other restriction stated in any provision of this Agreement is unreasonable under circumstances then existing, the parties agree that the maximum duration, scope, geographic range or other restriction that the court deems reasonable under such circumstances will be substituted and that the court will have the power to revise any of those restrictions to cover the maximum period, scope, geographic range and/or other restriction permitted by law. It is the intent of the parties that the court, in establishing any such substitute restriction, recognize that the parties’ desire is that the stated restrictions upon which the parties have agreed be honored to the maximum lawful extent.</w:t>
      </w:r>
    </w:p>
    <w:p>
      <w:pPr>
        <w:spacing w:after="0" w:line="216" w:lineRule="exact"/>
        <w:rPr>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AUTHORIZATION TO RELEASE NECESSARY PERSONAL INFORMATION</w:t>
      </w:r>
      <w:r>
        <w:rPr>
          <w:rFonts w:ascii="Times New Roman" w:cs="Times New Roman" w:eastAsia="Times New Roman" w:hAnsi="Times New Roman"/>
          <w:sz w:val="20"/>
          <w:szCs w:val="20"/>
          <w:b w:val="1"/>
          <w:bCs w:val="1"/>
          <w:color w:val="auto"/>
        </w:rPr>
        <w:t>.</w:t>
      </w:r>
    </w:p>
    <w:p>
      <w:pPr>
        <w:sectPr>
          <w:pgSz w:w="11900" w:h="16838" w:orient="portrait"/>
          <w:cols w:equalWidth="0" w:num="1">
            <w:col w:w="11240"/>
          </w:cols>
          <w:pgMar w:left="320" w:top="1166" w:right="339" w:bottom="1440" w:gutter="0" w:footer="0" w:header="0"/>
        </w:sectPr>
      </w:pPr>
    </w:p>
    <w:bookmarkStart w:id="99" w:name="page100"/>
    <w:bookmarkEnd w:id="99"/>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The Participant hereby authorizes and directs the Participant’s employer to collect, use and transfer in electronic or other form, any personal information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regarding the Participant’s Service, the nature and amount of the Participant’s compensation and the fact and conditions of the Participant’s participation in the Plan (including, but not limited to, the Participant’s name, home address, telephone number, email address, date of birth, social security number (or any other social or national identification number), salary, nationality, job title, employment or Service location, number of Shares held and the details of all Units or any other entitlement to Shares awarded, cancelled, exercised, vested, unvested or outstanding in the Participant’s favor, any other information necessary to process tax withholding and reporting, and, where applicable, the Participant’s Service termination date and reason for termination, for the purpose of implementing, administering and managing the Participant’s participation in the Plan. The Participant understands that the Data may be transferred to the Company or any other Participating Company, or to any third parties assisting in the implementation, administration and management of the Plan, including any requisite transfer to a brokerage firm or other third party assisting with administration of the Award or with whom Shares acquired upon settlement of this Award or cash from the sale of such Shares may be deposited. The Participant acknowledges that recipients of the Data may be located in different countries, and those countries may have data privacy laws and protections different from those in the country of the Participant’s residence. Furthermore, the Participant acknowledges and understands that the transfer of the Data to the Company or any of other Participating Company, or to any third parties is necessary for Participant’s participation in the Plan. The Participant may at any time withdraw the consents herein, by contacting the Company’s share administration department in writing. The Participant further acknowledges that withdrawal of consent may affect the Participant’s ability to realize benefits from the Award, and the Participant’s ability to participate in the Plan. If the Participant is or becomes during the term of this Award a resident of the State of California, the Participant is hereby notified of the foregoing in accordance with the California Consumer Privacy Act.</w:t>
      </w:r>
    </w:p>
    <w:p>
      <w:pPr>
        <w:spacing w:after="0" w:line="209"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b w:val="1"/>
          <w:bCs w:val="1"/>
          <w:i w:val="1"/>
          <w:iCs w:val="1"/>
          <w:color w:val="auto"/>
        </w:rPr>
        <w:t>.</w:t>
      </w:r>
    </w:p>
    <w:p>
      <w:pPr>
        <w:spacing w:after="0" w:line="233"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In the event of a Change in Control, this Section 9 shall determine the treatment of the Units which have not otherwise become Vested Units.</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b w:val="1"/>
          <w:bCs w:val="1"/>
          <w:color w:val="auto"/>
        </w:rPr>
        <w:t xml:space="preserve">Effect of Change in Control Following End of Performance Period. </w:t>
      </w:r>
      <w:r>
        <w:rPr>
          <w:rFonts w:ascii="Times New Roman" w:cs="Times New Roman" w:eastAsia="Times New Roman" w:hAnsi="Times New Roman"/>
          <w:sz w:val="20"/>
          <w:szCs w:val="20"/>
          <w:color w:val="auto"/>
        </w:rPr>
        <w:t>In the event of a Change in Control upon or</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after the end of the Performance Period but before the Vesting Date, the number of Earned Units shall, if not previously determined by the Committee in accordance with Section 3.1 and settled in accordance with Section 5, be determined by the Committee in accordance with Section 3.1, become Vested Units and be settled in accordance with Section 5 prior to the effective time of the Change in Control, provided that the Participant’s Service has not terminated prior to such effective time.</w:t>
      </w:r>
    </w:p>
    <w:p>
      <w:pPr>
        <w:spacing w:after="0" w:line="19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b w:val="1"/>
          <w:bCs w:val="1"/>
          <w:color w:val="auto"/>
        </w:rPr>
        <w:t>Effect of a Change in Control Prior to End of Performance Period</w:t>
      </w:r>
      <w:r>
        <w:rPr>
          <w:rFonts w:ascii="Times New Roman" w:cs="Times New Roman" w:eastAsia="Times New Roman" w:hAnsi="Times New Roman"/>
          <w:sz w:val="20"/>
          <w:szCs w:val="20"/>
          <w:color w:val="auto"/>
        </w:rPr>
        <w:t>. In the event of a Change in Control before</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end of the Performance Period, the Performance Period shall be deemed to end on the day immediately preceding the Change in Control (the “</w:t>
      </w:r>
      <w:r>
        <w:rPr>
          <w:rFonts w:ascii="Times New Roman" w:cs="Times New Roman" w:eastAsia="Times New Roman" w:hAnsi="Times New Roman"/>
          <w:sz w:val="20"/>
          <w:szCs w:val="20"/>
          <w:b w:val="1"/>
          <w:bCs w:val="1"/>
          <w:i w:val="1"/>
          <w:iCs w:val="1"/>
          <w:color w:val="auto"/>
        </w:rPr>
        <w:t>Adjusted Performance Period</w:t>
      </w:r>
      <w:r>
        <w:rPr>
          <w:rFonts w:ascii="Times New Roman" w:cs="Times New Roman" w:eastAsia="Times New Roman" w:hAnsi="Times New Roman"/>
          <w:sz w:val="20"/>
          <w:szCs w:val="20"/>
          <w:color w:val="auto"/>
        </w:rPr>
        <w:t>”), and the number of Earned Units and the vesting thereof shall be determined for the Adjusted Performance Period in accordance with the following:</w:t>
      </w:r>
    </w:p>
    <w:p>
      <w:pPr>
        <w:spacing w:after="0" w:line="197" w:lineRule="exact"/>
        <w:rPr>
          <w:sz w:val="20"/>
          <w:szCs w:val="20"/>
          <w:color w:val="auto"/>
        </w:rPr>
      </w:pPr>
    </w:p>
    <w:p>
      <w:pPr>
        <w:jc w:val="both"/>
        <w:ind w:firstLine="1952"/>
        <w:spacing w:after="0" w:line="249" w:lineRule="auto"/>
        <w:tabs>
          <w:tab w:leader="none" w:pos="245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Earned Units. </w:t>
      </w:r>
      <w:r>
        <w:rPr>
          <w:rFonts w:ascii="Times New Roman" w:cs="Times New Roman" w:eastAsia="Times New Roman" w:hAnsi="Times New Roman"/>
          <w:sz w:val="20"/>
          <w:szCs w:val="20"/>
          <w:color w:val="auto"/>
        </w:rPr>
        <w:t>The Committee shall determine no later than the day immediately preceding the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the number of Earned Units for the Adjusted Performance Period, taking into account the following modifications to the components of the Relative TSR Percentile:</w:t>
      </w:r>
    </w:p>
    <w:p>
      <w:pPr>
        <w:spacing w:after="0" w:line="192" w:lineRule="exact"/>
        <w:rPr>
          <w:rFonts w:ascii="Times New Roman" w:cs="Times New Roman" w:eastAsia="Times New Roman" w:hAnsi="Times New Roman"/>
          <w:sz w:val="20"/>
          <w:szCs w:val="20"/>
          <w:color w:val="auto"/>
        </w:rPr>
      </w:pPr>
    </w:p>
    <w:p>
      <w:pPr>
        <w:jc w:val="both"/>
        <w:ind w:firstLine="2600"/>
        <w:spacing w:after="0" w:line="239" w:lineRule="auto"/>
        <w:tabs>
          <w:tab w:leader="none" w:pos="309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TSR shall be determined as provided by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except that the Company’s Ending Average Per Share Closing Price shall be replaced with the fair market value of cash and other property to be received per share of Stock by the holder thereof in accordance with the definitive agreement governing the transaction constituting the Change in Control (or, in the absence of such agreement, the closing price per share of Stock on the last trading day of the Adjusted Performance Period as reported on the securities exchange constituting the primary market for the</w:t>
      </w:r>
    </w:p>
    <w:p>
      <w:pPr>
        <w:sectPr>
          <w:pgSz w:w="11900" w:h="16838" w:orient="portrait"/>
          <w:cols w:equalWidth="0" w:num="1">
            <w:col w:w="11240"/>
          </w:cols>
          <w:pgMar w:left="320" w:top="1170" w:right="339" w:bottom="1440" w:gutter="0" w:footer="0" w:header="0"/>
        </w:sectPr>
      </w:pPr>
    </w:p>
    <w:bookmarkStart w:id="100" w:name="page101"/>
    <w:bookmarkEnd w:id="100"/>
    <w:p>
      <w:pPr>
        <w:jc w:val="both"/>
        <w:spacing w:after="0" w:line="247" w:lineRule="auto"/>
        <w:rPr>
          <w:sz w:val="20"/>
          <w:szCs w:val="20"/>
          <w:color w:val="auto"/>
        </w:rPr>
      </w:pPr>
      <w:r>
        <w:rPr>
          <w:rFonts w:ascii="Times New Roman" w:cs="Times New Roman" w:eastAsia="Times New Roman" w:hAnsi="Times New Roman"/>
          <w:sz w:val="20"/>
          <w:szCs w:val="20"/>
          <w:color w:val="auto"/>
        </w:rPr>
        <w:t>Stock), adjusted to reflect an assumed reinvestment, as of the applicable ex-dividend date, of all cash dividends and other cash distributions (excluding cash distributions resulting from share repurchases or redemptions by the Company) paid to stockholders during the Adjusted Performance Period.</w:t>
      </w:r>
    </w:p>
    <w:p>
      <w:pPr>
        <w:spacing w:after="0" w:line="194" w:lineRule="exact"/>
        <w:rPr>
          <w:sz w:val="20"/>
          <w:szCs w:val="20"/>
          <w:color w:val="auto"/>
        </w:rPr>
      </w:pPr>
    </w:p>
    <w:p>
      <w:pPr>
        <w:jc w:val="both"/>
        <w:ind w:firstLine="2600"/>
        <w:spacing w:after="0" w:line="247" w:lineRule="auto"/>
        <w:tabs>
          <w:tab w:leader="none" w:pos="306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TSR for each Comparator Company shall be determined as provided by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except that the Ending Average Per Share Closing Price shall be determined for the 30 calendar days ending with the last day of the Adjusted Performance Period.</w:t>
      </w: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Immediately following the Committee’s determination pursuant to this Section 9.2(a), all Units subject to the Award which are not Earned Units (the “</w:t>
      </w:r>
      <w:r>
        <w:rPr>
          <w:rFonts w:ascii="Times New Roman" w:cs="Times New Roman" w:eastAsia="Times New Roman" w:hAnsi="Times New Roman"/>
          <w:sz w:val="20"/>
          <w:szCs w:val="20"/>
          <w:b w:val="1"/>
          <w:bCs w:val="1"/>
          <w:i w:val="1"/>
          <w:iCs w:val="1"/>
          <w:color w:val="auto"/>
        </w:rPr>
        <w:t>Unearned Units</w:t>
      </w:r>
      <w:r>
        <w:rPr>
          <w:rFonts w:ascii="Times New Roman" w:cs="Times New Roman" w:eastAsia="Times New Roman" w:hAnsi="Times New Roman"/>
          <w:sz w:val="20"/>
          <w:szCs w:val="20"/>
          <w:color w:val="auto"/>
        </w:rPr>
        <w:t>”) shall terminate and the Award, to the extent of the Unearned Units, shall cease to be outstanding.</w:t>
      </w:r>
    </w:p>
    <w:p>
      <w:pPr>
        <w:spacing w:after="0" w:line="182" w:lineRule="exact"/>
        <w:rPr>
          <w:sz w:val="20"/>
          <w:szCs w:val="20"/>
          <w:color w:val="auto"/>
        </w:rPr>
      </w:pPr>
    </w:p>
    <w:p>
      <w:pPr>
        <w:jc w:val="both"/>
        <w:ind w:right="20" w:firstLine="1952"/>
        <w:spacing w:after="0" w:line="246" w:lineRule="auto"/>
        <w:tabs>
          <w:tab w:leader="none" w:pos="2369"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Vested Units. </w:t>
      </w:r>
      <w:r>
        <w:rPr>
          <w:rFonts w:ascii="Times New Roman" w:cs="Times New Roman" w:eastAsia="Times New Roman" w:hAnsi="Times New Roman"/>
          <w:sz w:val="20"/>
          <w:szCs w:val="20"/>
          <w:color w:val="auto"/>
        </w:rPr>
        <w:t>As of the last day of the Adjusted Performance Period and provided that the Participant’s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not terminated prior to such date, all of the Earned Units determined in accordance with Section 9.2(a) shall become Vested Units (the “</w:t>
      </w:r>
      <w:r>
        <w:rPr>
          <w:rFonts w:ascii="Times New Roman" w:cs="Times New Roman" w:eastAsia="Times New Roman" w:hAnsi="Times New Roman"/>
          <w:sz w:val="20"/>
          <w:szCs w:val="20"/>
          <w:b w:val="1"/>
          <w:bCs w:val="1"/>
          <w:i w:val="1"/>
          <w:iCs w:val="1"/>
          <w:color w:val="auto"/>
        </w:rPr>
        <w:t>Accelerated Units</w:t>
      </w:r>
      <w:r>
        <w:rPr>
          <w:rFonts w:ascii="Times New Roman" w:cs="Times New Roman" w:eastAsia="Times New Roman" w:hAnsi="Times New Roman"/>
          <w:sz w:val="20"/>
          <w:szCs w:val="20"/>
          <w:color w:val="auto"/>
        </w:rPr>
        <w:t>”). The Accelerated Units shall be settled in accordance Section 5 immediately prior to the effective time of the Change in Control.</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ADJUSTMENTS FOR CHANGES IN CAPITAL STRUCTURE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The number of Units awarded pursuant to this Agreement is subject to adjustment as provided in Section 4.3 of the Plan. Upon the occurrence of an event described in Section 4.3 of the Plan, any and all new, substituted or additional securities or other property to which a holder of a Share issuable in settlement of the Award would be entitled shall be immediately subject to the Agreement and included within the meaning of the term “Shares” for all purposes of the Award. The Participant shall be notified of such adjustments and such adjustments shall be binding upon the Company and the Participant.</w:t>
      </w:r>
    </w:p>
    <w:p>
      <w:pPr>
        <w:spacing w:after="0" w:line="214" w:lineRule="exact"/>
        <w:rPr>
          <w:sz w:val="20"/>
          <w:szCs w:val="20"/>
          <w:color w:val="auto"/>
        </w:rPr>
      </w:pPr>
    </w:p>
    <w:p>
      <w:pPr>
        <w:ind w:left="1280" w:hanging="624"/>
        <w:spacing w:after="0"/>
        <w:tabs>
          <w:tab w:leader="none" w:pos="12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ENTITLEMENT OR CLAIMS FOR COMPENSATION OR EMPLOYMENT</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11.1 The Participant’s rights, if any, in respect of or in connection with the Units are derived solely from the discretionary decision of the Company to permit the Participant to participate in the Plan and to benefit from a discretionary Award. By accepting the Units, the Participant expressly acknowledges that there is no obligation on the part of the Company to continue the Plan and/or grant any additional Units or other Awards to the Participant. The Units are not intended to be compensation of a continuing or recurring nature, or part of the Participant’s normal or expected compensation, and in no way represents any portion of the Participant’s salary, compensation, or other remuneration for purposes of pension benefits, severance, redundancy, resignation or any other purpose.</w:t>
      </w:r>
    </w:p>
    <w:p>
      <w:pPr>
        <w:spacing w:after="0" w:line="217"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11.2 Neither the Plan nor the Units shall be deemed to give the Participant a right to remain an Employee, Director or Consultant of the Company or any other Participating Company. The Participating Company Group reserves the right to terminate the Service of the Participant at any time, with or without cause, and for any reason, subject to applicable laws, the Company’s Certificate of Incorporation and Bylaws and a written employment agreement (if any), and the Participant shall be deemed irrevocably to have waived any claim to damages or specific performance for breach of contract or dismissal, compensation for loss of office, tort or otherwise with respect to the Plan, the Units or any other outstanding Award that is forfeited and/or is terminated by its terms or to any future Award.</w:t>
      </w:r>
    </w:p>
    <w:p>
      <w:pPr>
        <w:spacing w:after="0" w:line="199"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A STOCKHOLDER</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The Participant shall have no rights as a stockholder with respect to any Shares that may be issued in settlement of this Award until the date of the issuance of a certificate for such Shares (as evidenced by the appropriate entry on the books of the Company or of a duly authorized transfer agent of the Company). No adjustment shall be made for dividends, dividend equivalents, distributions or other</w:t>
      </w:r>
    </w:p>
    <w:p>
      <w:pPr>
        <w:sectPr>
          <w:pgSz w:w="11900" w:h="16838" w:orient="portrait"/>
          <w:cols w:equalWidth="0" w:num="1">
            <w:col w:w="11240"/>
          </w:cols>
          <w:pgMar w:left="320" w:top="117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rights for which the record date is prior to the date such certificate is issued, except as provided in Section 10.</w:t>
      </w:r>
    </w:p>
    <w:p>
      <w:pPr>
        <w:spacing w:after="0" w:line="8"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REPAYMENT/FORFEITURE.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benefits a Participant may receive pursuant to this Award shall be subject to repayment or forfeiture as required to comply with</w:t>
      </w:r>
    </w:p>
    <w:p>
      <w:pPr>
        <w:spacing w:after="0" w:line="20" w:lineRule="exact"/>
        <w:rPr>
          <w:sz w:val="20"/>
          <w:szCs w:val="20"/>
          <w:color w:val="auto"/>
        </w:rPr>
      </w:pPr>
    </w:p>
    <w:p>
      <w:pPr>
        <w:ind w:right="40" w:firstLine="8"/>
        <w:spacing w:after="0" w:line="233" w:lineRule="auto"/>
        <w:tabs>
          <w:tab w:leader="none" w:pos="26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Paylocity Holding Corporation Policy for Recovery of Erroneously Awarded Incentive Compensation, or (d) any other repayment or forfeiture policies adopted by the Company, each to the extent determined by the Company in its discretion to be applicable to Participant.</w:t>
      </w:r>
    </w:p>
    <w:p>
      <w:pPr>
        <w:spacing w:after="0" w:line="21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Units.</w:t>
      </w:r>
    </w:p>
    <w:p>
      <w:pPr>
        <w:spacing w:after="0" w:line="20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xml:space="preserve"> The Committee may amend this Agreement at any time; provided, however, that no such amendment may adversely affect the Participant’s rights under this Agreement without the consent of the Participant, except to the extent such amendment is necessary to comply with applicable law, including, but not limited to, Code Section 409A. No amendment or addition to this Agreement shall be effective unless in writing.</w:t>
      </w:r>
    </w:p>
    <w:p>
      <w:pPr>
        <w:spacing w:after="0" w:line="19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color w:val="auto"/>
        </w:rPr>
        <w:t>Nontransferability of the Award.</w:t>
      </w:r>
      <w:r>
        <w:rPr>
          <w:rFonts w:ascii="Times New Roman" w:cs="Times New Roman" w:eastAsia="Times New Roman" w:hAnsi="Times New Roman"/>
          <w:sz w:val="20"/>
          <w:szCs w:val="20"/>
          <w:color w:val="auto"/>
        </w:rPr>
        <w:t xml:space="preserve"> Prior to the issuance of Shares on the applicable Settlement Date, no right or interest of the Participant in the Award nor any Shares issuable on settlement of the Award shall be in any manner pledged, encumbered, or hypothecated to or in favor of any party other than the Company or shall become subject to any lien, obligation, or liability of such Participant to any other party other than the Company. Except as otherwise provided by the Committee, the Award shall not be assigned, transferred or otherwise disposed of other than by will or the laws of descent and distribution. All rights with respect to the Award shall be exercisable during the Participant’s lifetime only by the Participant or the Participant’s guardian or legal representative.</w:t>
      </w:r>
    </w:p>
    <w:p>
      <w:pPr>
        <w:spacing w:after="0" w:line="21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color w:val="auto"/>
        </w:rPr>
        <w:t>Further Instruments.</w:t>
      </w:r>
      <w:r>
        <w:rPr>
          <w:rFonts w:ascii="Times New Roman" w:cs="Times New Roman" w:eastAsia="Times New Roman" w:hAnsi="Times New Roman"/>
          <w:sz w:val="20"/>
          <w:szCs w:val="20"/>
          <w:color w:val="auto"/>
        </w:rPr>
        <w:t xml:space="preserve"> The parties hereto agree to execute such further instruments and to take such further action as may reasonably be necessary to carry out the intent of this Agreement.</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19"/>
          <w:szCs w:val="19"/>
          <w:b w:val="1"/>
          <w:bCs w:val="1"/>
          <w:color w:val="auto"/>
        </w:rPr>
        <w:t>Section 409A.</w:t>
      </w:r>
    </w:p>
    <w:p>
      <w:pPr>
        <w:spacing w:after="0" w:line="26" w:lineRule="exact"/>
        <w:rPr>
          <w:sz w:val="20"/>
          <w:szCs w:val="20"/>
          <w:color w:val="auto"/>
        </w:rPr>
      </w:pPr>
    </w:p>
    <w:p>
      <w:pPr>
        <w:jc w:val="both"/>
        <w:ind w:firstLine="1952"/>
        <w:spacing w:after="0" w:line="233" w:lineRule="auto"/>
        <w:tabs>
          <w:tab w:leader="none" w:pos="236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the Plan, this Agreement or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Notice, the Plan, this Agreement and the Grant Notice shall be interpreted in accordance with, and incorporate the terms and conditions required by, Code Section 409A (together with any Department of Treasury regulations and other interpretive guidance issued thereunder, including without limitation any such regulations or other guidance that may be issued after the date hereof). The vesting and settlement of Units awarded pursuant to this Agreement are intended to qualify for the “short-term deferral” exemption from Code Section 409A. The Company reserves the right, to the extent the Company deems necessary or advisable in its sole discretion, to unilaterally amend or modify the Plan and/or this Agreement to ensure that the Units qualify for exemption from or comply with Code Section 409A;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makes no representations that the Units will be exempt</w:t>
      </w:r>
    </w:p>
    <w:p>
      <w:pPr>
        <w:sectPr>
          <w:pgSz w:w="11900" w:h="16838" w:orient="portrait"/>
          <w:cols w:equalWidth="0" w:num="1">
            <w:col w:w="11240"/>
          </w:cols>
          <w:pgMar w:left="320" w:top="117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from Code Section 409A and makes no undertaking to preclude Code Section 409A from applying to the Units.</w:t>
      </w:r>
    </w:p>
    <w:p>
      <w:pPr>
        <w:spacing w:after="0" w:line="225" w:lineRule="exact"/>
        <w:rPr>
          <w:sz w:val="20"/>
          <w:szCs w:val="20"/>
          <w:color w:val="auto"/>
        </w:rPr>
      </w:pPr>
    </w:p>
    <w:p>
      <w:pPr>
        <w:jc w:val="both"/>
        <w:ind w:firstLine="1952"/>
        <w:spacing w:after="0" w:line="237" w:lineRule="auto"/>
        <w:tabs>
          <w:tab w:leader="none" w:pos="237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Required Delay in Payment to Specified Employee. </w:t>
      </w:r>
      <w:r>
        <w:rPr>
          <w:rFonts w:ascii="Times New Roman" w:cs="Times New Roman" w:eastAsia="Times New Roman" w:hAnsi="Times New Roman"/>
          <w:sz w:val="20"/>
          <w:szCs w:val="20"/>
          <w:color w:val="auto"/>
        </w:rPr>
        <w:t>Notwithstanding anything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herein to the contrary, no amount payable pursuant to this Agreement on account of the Participant’s termination of Service which constitutes a “deferral of compensation” within the meaning of Code Section 409A shall be paid unless and until the Participant has incurred a “separation from service” within the meaning of Code Section 409A. Furthermore, to the extent that the Participant is a “specified employee” within the meaning of Code Section 409A as of the date of the Participant’s separation from service, no amount that constitutes a deferral of compensation which is payable on account of the Participant’s separation from service shall paid to the Participant before the date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9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b w:val="1"/>
          <w:bCs w:val="1"/>
          <w:color w:val="auto"/>
        </w:rPr>
        <w:t>Delivery of Documents and Notices.</w:t>
      </w:r>
      <w:r>
        <w:rPr>
          <w:rFonts w:ascii="Times New Roman" w:cs="Times New Roman" w:eastAsia="Times New Roman" w:hAnsi="Times New Roman"/>
          <w:sz w:val="20"/>
          <w:szCs w:val="20"/>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211" w:lineRule="exact"/>
        <w:rPr>
          <w:sz w:val="20"/>
          <w:szCs w:val="20"/>
          <w:color w:val="auto"/>
        </w:rPr>
      </w:pPr>
    </w:p>
    <w:p>
      <w:pPr>
        <w:jc w:val="both"/>
        <w:ind w:firstLine="1952"/>
        <w:spacing w:after="0" w:line="236" w:lineRule="auto"/>
        <w:tabs>
          <w:tab w:leader="none" w:pos="236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Description of Electronic Delivery. </w:t>
      </w:r>
      <w:r>
        <w:rPr>
          <w:rFonts w:ascii="Times New Roman" w:cs="Times New Roman" w:eastAsia="Times New Roman" w:hAnsi="Times New Roman"/>
          <w:sz w:val="20"/>
          <w:szCs w:val="20"/>
          <w:color w:val="auto"/>
        </w:rPr>
        <w:t>The Plan documents, which may include but do not necessarily include: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212" w:lineRule="exact"/>
        <w:rPr>
          <w:rFonts w:ascii="Times New Roman" w:cs="Times New Roman" w:eastAsia="Times New Roman" w:hAnsi="Times New Roman"/>
          <w:sz w:val="20"/>
          <w:szCs w:val="20"/>
          <w:color w:val="auto"/>
        </w:rPr>
      </w:pPr>
    </w:p>
    <w:p>
      <w:pPr>
        <w:jc w:val="both"/>
        <w:ind w:firstLine="1952"/>
        <w:spacing w:after="0" w:line="234" w:lineRule="auto"/>
        <w:tabs>
          <w:tab w:leader="none" w:pos="240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Consent to Electronic Delivery. </w:t>
      </w:r>
      <w:r>
        <w:rPr>
          <w:rFonts w:ascii="Times New Roman" w:cs="Times New Roman" w:eastAsia="Times New Roman" w:hAnsi="Times New Roman"/>
          <w:sz w:val="20"/>
          <w:szCs w:val="20"/>
          <w:color w:val="auto"/>
        </w:rPr>
        <w:t>The Participant acknowledges that the Participant has read Section 14.6(a)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and consents to the electronic delivery of the Plan documents and, if permitted by the Company, the delivery of the Grant Notice, as described in Section 14.6(a).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14.6(a)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14.6(a).</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b w:val="1"/>
          <w:bCs w:val="1"/>
          <w:color w:val="auto"/>
        </w:rPr>
        <w:t>Construction of Agreement.</w:t>
      </w:r>
      <w:r>
        <w:rPr>
          <w:rFonts w:ascii="Times New Roman" w:cs="Times New Roman" w:eastAsia="Times New Roman" w:hAnsi="Times New Roman"/>
          <w:sz w:val="20"/>
          <w:szCs w:val="20"/>
          <w:color w:val="auto"/>
        </w:rPr>
        <w:t xml:space="preserve"> The Grant Notice, this Agreement, and the Units evidenced hereby (i) are made and granted pursuant to the Plan and are in all respects limited by and subject to the terms of the Plan, and (ii) constitute the entire agreement between the Participant and the Company on the subject matter hereof and supersede all proposals, written or oral, and all other communications</w:t>
      </w:r>
    </w:p>
    <w:p>
      <w:pPr>
        <w:sectPr>
          <w:pgSz w:w="11900" w:h="16838" w:orient="portrait"/>
          <w:cols w:equalWidth="0" w:num="1">
            <w:col w:w="11240"/>
          </w:cols>
          <w:pgMar w:left="320" w:top="1170" w:right="339" w:bottom="1440" w:gutter="0" w:footer="0" w:header="0"/>
        </w:sectPr>
      </w:pPr>
    </w:p>
    <w:bookmarkStart w:id="103" w:name="page104"/>
    <w:bookmarkEnd w:id="103"/>
    <w:p>
      <w:pPr>
        <w:jc w:val="both"/>
        <w:spacing w:after="0" w:line="255" w:lineRule="auto"/>
        <w:rPr>
          <w:sz w:val="20"/>
          <w:szCs w:val="20"/>
          <w:color w:val="auto"/>
        </w:rPr>
      </w:pPr>
      <w:r>
        <w:rPr>
          <w:rFonts w:ascii="Times New Roman" w:cs="Times New Roman" w:eastAsia="Times New Roman" w:hAnsi="Times New Roman"/>
          <w:sz w:val="20"/>
          <w:szCs w:val="20"/>
          <w:color w:val="auto"/>
        </w:rPr>
        <w:t>between the parties related to the subject matter. All decisions of the Committee with respect to any question or issue arising under the Grant Notice, this Agreement or the Plan shall be conclusive and binding on all persons having an interest in the Units.</w:t>
      </w:r>
    </w:p>
    <w:p>
      <w:pPr>
        <w:spacing w:after="0" w:line="19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14.8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14.9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8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14.10 </w:t>
      </w:r>
      <w:r>
        <w:rPr>
          <w:rFonts w:ascii="Times New Roman" w:cs="Times New Roman" w:eastAsia="Times New Roman" w:hAnsi="Times New Roman"/>
          <w:sz w:val="20"/>
          <w:szCs w:val="20"/>
          <w:b w:val="1"/>
          <w:bCs w:val="1"/>
          <w:color w:val="auto"/>
        </w:rPr>
        <w:t>Applicable Law; Forum Selection.</w:t>
      </w:r>
      <w:r>
        <w:rPr>
          <w:rFonts w:ascii="Times New Roman" w:cs="Times New Roman" w:eastAsia="Times New Roman" w:hAnsi="Times New Roman"/>
          <w:sz w:val="20"/>
          <w:szCs w:val="20"/>
          <w:color w:val="auto"/>
        </w:rPr>
        <w:t xml:space="preserve"> This Agreement shall be governed by the laws of the State of California. The parties agree that any suit, action, or other legal proceeding arising out of or relating to this Agreement may be brought in a court of competent jurisdiction located within California. The parties agree and consent to service by mail of any paper initiating any suit, action, or proceeding at the address set forth herein. The Participant agrees to update the Participant’s address with the Company as soon as possible after a change in address occurs and acknowledges that it is the Participant’s responsibility to ensure that the Company has the Participant’s correct address on file. The Participant waives any objection to service by mail where the Company addresses service to the most recent address provided by the Participant.</w:t>
      </w:r>
    </w:p>
    <w:p>
      <w:pPr>
        <w:spacing w:after="0" w:line="19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14.11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xml:space="preserve"> The Grant Notice may be executed in counterparts, each of which shall be deemed an original, but all of which together shall constitute one and the same instrument.</w:t>
      </w:r>
    </w:p>
    <w:p>
      <w:pPr>
        <w:sectPr>
          <w:pgSz w:w="11900" w:h="16838" w:orient="portrait"/>
          <w:cols w:equalWidth="0" w:num="1">
            <w:col w:w="11240"/>
          </w:cols>
          <w:pgMar w:left="320" w:top="1170" w:right="339" w:bottom="1440" w:gutter="0" w:footer="0" w:header="0"/>
        </w:sectPr>
      </w:pPr>
    </w:p>
    <w:bookmarkStart w:id="104" w:name="page105"/>
    <w:bookmarkEnd w:id="104"/>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EXECUTIVE EMPLOYMENT AGREEMENT</w:t>
      </w:r>
    </w:p>
    <w:p>
      <w:pPr>
        <w:spacing w:after="0" w:line="218" w:lineRule="exact"/>
        <w:rPr>
          <w:sz w:val="20"/>
          <w:szCs w:val="20"/>
          <w:color w:val="auto"/>
        </w:rPr>
      </w:pPr>
    </w:p>
    <w:p>
      <w:pPr>
        <w:ind w:hanging="13"/>
        <w:spacing w:after="0" w:line="225" w:lineRule="auto"/>
        <w:rPr>
          <w:sz w:val="20"/>
          <w:szCs w:val="20"/>
          <w:color w:val="auto"/>
        </w:rPr>
      </w:pPr>
      <w:r>
        <w:rPr>
          <w:rFonts w:ascii="Times New Roman" w:cs="Times New Roman" w:eastAsia="Times New Roman" w:hAnsi="Times New Roman"/>
          <w:sz w:val="22"/>
          <w:szCs w:val="22"/>
          <w:color w:val="auto"/>
        </w:rPr>
        <w:t>This Second Amendment to Executive Employment Agreement (this “</w:t>
      </w:r>
      <w:r>
        <w:rPr>
          <w:rFonts w:ascii="Times New Roman" w:cs="Times New Roman" w:eastAsia="Times New Roman" w:hAnsi="Times New Roman"/>
          <w:sz w:val="22"/>
          <w:szCs w:val="22"/>
          <w:b w:val="1"/>
          <w:bCs w:val="1"/>
          <w:i w:val="1"/>
          <w:iCs w:val="1"/>
          <w:color w:val="auto"/>
        </w:rPr>
        <w:t>Amended Agreement</w:t>
      </w:r>
      <w:r>
        <w:rPr>
          <w:rFonts w:ascii="Times New Roman" w:cs="Times New Roman" w:eastAsia="Times New Roman" w:hAnsi="Times New Roman"/>
          <w:sz w:val="22"/>
          <w:szCs w:val="22"/>
          <w:color w:val="auto"/>
        </w:rPr>
        <w:t>”), which shall amend certain provisions of that Executive Employment Agreement by and between Paylocity Corporation, an Illinois corporation</w:t>
      </w:r>
    </w:p>
    <w:p>
      <w:pPr>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Paylocity Holdings Corporation, a</w:t>
      </w:r>
    </w:p>
    <w:p>
      <w:pPr>
        <w:spacing w:after="0" w:line="228" w:lineRule="auto"/>
        <w:rPr>
          <w:sz w:val="20"/>
          <w:szCs w:val="20"/>
          <w:color w:val="auto"/>
        </w:rPr>
      </w:pPr>
      <w:r>
        <w:rPr>
          <w:rFonts w:ascii="Times New Roman" w:cs="Times New Roman" w:eastAsia="Times New Roman" w:hAnsi="Times New Roman"/>
          <w:sz w:val="21"/>
          <w:szCs w:val="21"/>
          <w:color w:val="auto"/>
        </w:rPr>
        <w:t>Delaware corporation (“</w:t>
      </w:r>
      <w:r>
        <w:rPr>
          <w:rFonts w:ascii="Times New Roman" w:cs="Times New Roman" w:eastAsia="Times New Roman" w:hAnsi="Times New Roman"/>
          <w:sz w:val="21"/>
          <w:szCs w:val="21"/>
          <w:b w:val="1"/>
          <w:bCs w:val="1"/>
          <w:i w:val="1"/>
          <w:iCs w:val="1"/>
          <w:color w:val="auto"/>
        </w:rPr>
        <w:t>Parent</w:t>
      </w:r>
      <w:r>
        <w:rPr>
          <w:rFonts w:ascii="Times New Roman" w:cs="Times New Roman" w:eastAsia="Times New Roman" w:hAnsi="Times New Roman"/>
          <w:sz w:val="21"/>
          <w:szCs w:val="21"/>
          <w:color w:val="auto"/>
        </w:rPr>
        <w:t>”) and Toby J. Williams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 dated as of September 18, 2017 (“</w:t>
      </w:r>
      <w:r>
        <w:rPr>
          <w:rFonts w:ascii="Times New Roman" w:cs="Times New Roman" w:eastAsia="Times New Roman" w:hAnsi="Times New Roman"/>
          <w:sz w:val="21"/>
          <w:szCs w:val="21"/>
          <w:b w:val="1"/>
          <w:bCs w:val="1"/>
          <w:i w:val="1"/>
          <w:iCs w:val="1"/>
          <w:color w:val="auto"/>
        </w:rPr>
        <w:t>Original Agreement</w:t>
      </w:r>
      <w:r>
        <w:rPr>
          <w:rFonts w:ascii="Times New Roman" w:cs="Times New Roman" w:eastAsia="Times New Roman" w:hAnsi="Times New Roman"/>
          <w:sz w:val="21"/>
          <w:szCs w:val="21"/>
          <w:color w:val="auto"/>
        </w:rPr>
        <w:t>”),</w:t>
      </w:r>
    </w:p>
    <w:p>
      <w:pPr>
        <w:spacing w:after="0" w:line="211" w:lineRule="auto"/>
        <w:rPr>
          <w:sz w:val="20"/>
          <w:szCs w:val="20"/>
          <w:color w:val="auto"/>
        </w:rPr>
      </w:pPr>
      <w:r>
        <w:rPr>
          <w:rFonts w:ascii="Times New Roman" w:cs="Times New Roman" w:eastAsia="Times New Roman" w:hAnsi="Times New Roman"/>
          <w:sz w:val="22"/>
          <w:szCs w:val="22"/>
          <w:color w:val="auto"/>
        </w:rPr>
        <w:t>as previously amended in the Amendment to Executive Employment Agreement dated March 11, 2022, is made and entered into by the Company and Executive effective as of August 5, 2024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Each of the Company and Executive is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they are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firstLine="634"/>
        <w:spacing w:after="0" w:line="245" w:lineRule="auto"/>
        <w:rPr>
          <w:sz w:val="20"/>
          <w:szCs w:val="20"/>
          <w:color w:val="auto"/>
        </w:rPr>
      </w:pPr>
      <w:r>
        <w:rPr>
          <w:rFonts w:ascii="Times New Roman" w:cs="Times New Roman" w:eastAsia="Times New Roman" w:hAnsi="Times New Roman"/>
          <w:sz w:val="22"/>
          <w:szCs w:val="22"/>
          <w:color w:val="auto"/>
        </w:rPr>
        <w:t>WHEREAS, Section 2.1 of the Original Agreement provides that the Company reserves the right to modify Executive’s position and duties at any time in its sole and absolute discretion; and</w:t>
      </w:r>
    </w:p>
    <w:p>
      <w:pPr>
        <w:spacing w:after="0" w:line="172" w:lineRule="exact"/>
        <w:rPr>
          <w:sz w:val="20"/>
          <w:szCs w:val="20"/>
          <w:color w:val="auto"/>
        </w:rPr>
      </w:pPr>
    </w:p>
    <w:p>
      <w:pPr>
        <w:ind w:right="20" w:firstLine="634"/>
        <w:spacing w:after="0" w:line="245" w:lineRule="auto"/>
        <w:rPr>
          <w:sz w:val="20"/>
          <w:szCs w:val="20"/>
          <w:color w:val="auto"/>
        </w:rPr>
      </w:pPr>
      <w:r>
        <w:rPr>
          <w:rFonts w:ascii="Times New Roman" w:cs="Times New Roman" w:eastAsia="Times New Roman" w:hAnsi="Times New Roman"/>
          <w:sz w:val="22"/>
          <w:szCs w:val="22"/>
          <w:color w:val="auto"/>
        </w:rPr>
        <w:t>WHEREAS, Section 18 of the Original Agreement further provides that the Original Agreement may be modified in a writing signed by Executive and the Board of Directors of the Company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and</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WHEREAS, the Board has determined, and the undersigned Parties hereto agree, that it is in the best interest of the</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Company and its stockholders to amend certain provisions of the Original Agreement, as set forth herein, commencing on the Effective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in consideration of the mutual promises and agreements contained in this Amended Agreement and</w:t>
      </w:r>
    </w:p>
    <w:p>
      <w:pPr>
        <w:spacing w:after="0" w:line="1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other good and valuable consideration, the receipt and sufficiency of which are hereby acknowledged, the Parties hereby agree as follows:</w:t>
      </w:r>
    </w:p>
    <w:p>
      <w:pPr>
        <w:spacing w:after="0" w:line="190"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Section 2.1 of the Original Agreement is hereby amended and restated as follows:</w:t>
      </w:r>
    </w:p>
    <w:p>
      <w:pPr>
        <w:spacing w:after="0" w:line="206" w:lineRule="exact"/>
        <w:rPr>
          <w:rFonts w:ascii="Times New Roman" w:cs="Times New Roman" w:eastAsia="Times New Roman" w:hAnsi="Times New Roman"/>
          <w:sz w:val="22"/>
          <w:szCs w:val="22"/>
          <w:color w:val="auto"/>
        </w:rPr>
      </w:pPr>
    </w:p>
    <w:p>
      <w:pPr>
        <w:jc w:val="both"/>
        <w:ind w:left="1300"/>
        <w:spacing w:after="0" w:line="22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employed as President and Chief Executive Officer of the Company. Executive shall report to the Paylocity Holdings Corporation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Board of Directors (“</w:t>
      </w:r>
      <w:r>
        <w:rPr>
          <w:rFonts w:ascii="Times New Roman" w:cs="Times New Roman" w:eastAsia="Times New Roman" w:hAnsi="Times New Roman"/>
          <w:sz w:val="22"/>
          <w:szCs w:val="22"/>
          <w:b w:val="1"/>
          <w:bCs w:val="1"/>
          <w:i w:val="1"/>
          <w:iCs w:val="1"/>
          <w:color w:val="auto"/>
        </w:rPr>
        <w:t>Parent Board</w:t>
      </w:r>
      <w:r>
        <w:rPr>
          <w:rFonts w:ascii="Times New Roman" w:cs="Times New Roman" w:eastAsia="Times New Roman" w:hAnsi="Times New Roman"/>
          <w:sz w:val="22"/>
          <w:szCs w:val="22"/>
          <w:color w:val="auto"/>
        </w:rPr>
        <w:t>”) and shall have the duties and responsibilities assigned by the Board. Executive shall perform faithfully and diligently all duties assigned to Executive. The Company reserves the right to modify Executive’s position and duties at any time in its sole and absolute discretion.</w:t>
      </w:r>
    </w:p>
    <w:p>
      <w:pPr>
        <w:spacing w:after="0" w:line="193" w:lineRule="exact"/>
        <w:rPr>
          <w:rFonts w:ascii="Times New Roman" w:cs="Times New Roman" w:eastAsia="Times New Roman" w:hAnsi="Times New Roman"/>
          <w:sz w:val="22"/>
          <w:szCs w:val="22"/>
          <w:color w:val="auto"/>
        </w:rPr>
      </w:pPr>
    </w:p>
    <w:p>
      <w:pPr>
        <w:ind w:left="1300" w:right="2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serving as President and Chief Executive Officer of the Company, Executive shall also serve as a member of the Parent Board, subject to stockholder approval.</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Changes</w:t>
      </w:r>
      <w:r>
        <w:rPr>
          <w:rFonts w:ascii="Times New Roman" w:cs="Times New Roman" w:eastAsia="Times New Roman" w:hAnsi="Times New Roman"/>
          <w:sz w:val="22"/>
          <w:szCs w:val="22"/>
          <w:color w:val="auto"/>
        </w:rPr>
        <w:t>. The remainder of the Original Agreement, as amended, shall remain in full force and effect.</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27"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Amended Agreement shall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Amended Agreement.</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30"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Amended Agreement constitutes the entire agreement between the Parties relating to this subject matter and supersedes all prior or simultaneous representations, discussions, negotiations, and agreements, whether</w:t>
      </w:r>
    </w:p>
    <w:p>
      <w:pPr>
        <w:sectPr>
          <w:pgSz w:w="11900" w:h="16838" w:orient="portrait"/>
          <w:cols w:equalWidth="0" w:num="1">
            <w:col w:w="11240"/>
          </w:cols>
          <w:pgMar w:left="320" w:top="347" w:right="339" w:bottom="1440" w:gutter="0" w:footer="0" w:header="0"/>
        </w:sectPr>
      </w:pPr>
    </w:p>
    <w:bookmarkStart w:id="105" w:name="page106"/>
    <w:bookmarkEnd w:id="105"/>
    <w:p>
      <w:pPr>
        <w:ind w:left="180"/>
        <w:spacing w:after="0" w:line="222" w:lineRule="auto"/>
        <w:rPr>
          <w:sz w:val="20"/>
          <w:szCs w:val="20"/>
          <w:color w:val="auto"/>
        </w:rPr>
      </w:pPr>
      <w:r>
        <w:rPr>
          <w:rFonts w:ascii="Times New Roman" w:cs="Times New Roman" w:eastAsia="Times New Roman" w:hAnsi="Times New Roman"/>
          <w:sz w:val="22"/>
          <w:szCs w:val="22"/>
          <w:color w:val="auto"/>
        </w:rPr>
        <w:t>written or oral. This Amended Agreement may be amended or modified only with the written consent of Executive and the Board. No oral waiver, amendment or modification will be effective under any circumstances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whatsoever.</w:t>
      </w:r>
    </w:p>
    <w:p>
      <w:pPr>
        <w:sectPr>
          <w:pgSz w:w="11900" w:h="16838" w:orient="portrait"/>
          <w:cols w:equalWidth="0" w:num="1">
            <w:col w:w="10120"/>
          </w:cols>
          <w:pgMar w:left="1440" w:top="1395" w:right="339" w:bottom="1440" w:gutter="0" w:footer="0" w:header="0"/>
        </w:sectPr>
      </w:pPr>
    </w:p>
    <w:bookmarkStart w:id="106" w:name="page107"/>
    <w:bookmarkEnd w:id="106"/>
    <w:p>
      <w:pPr>
        <w:jc w:val="both"/>
        <w:ind w:hanging="13"/>
        <w:spacing w:after="0" w:line="230" w:lineRule="auto"/>
        <w:rPr>
          <w:sz w:val="20"/>
          <w:szCs w:val="20"/>
          <w:color w:val="auto"/>
        </w:rPr>
      </w:pPr>
      <w:r>
        <w:rPr>
          <w:rFonts w:ascii="Times New Roman" w:cs="Times New Roman" w:eastAsia="Times New Roman" w:hAnsi="Times New Roman"/>
          <w:sz w:val="20"/>
          <w:szCs w:val="20"/>
          <w:color w:val="auto"/>
        </w:rPr>
        <w:t>THE PARTIES TO THIS AMENDED AGREEMENT HAVE READ THE FOREGOING RESTATED AGREEMENT AND FULLY UNDERSTAND EACH AND EVERY PROVISION CONTAINED HEREIN. WHEREFORE, THE PARTIES HAVE EXECUTED THIS AMENDED AGREEMENT ON THE DATES SHOWN BELOW.</w:t>
      </w:r>
    </w:p>
    <w:p>
      <w:pPr>
        <w:spacing w:after="0" w:line="24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0"/>
          <w:szCs w:val="20"/>
          <w:color w:val="auto"/>
        </w:rPr>
        <w:t>Toby J. Williams</w:t>
      </w:r>
    </w:p>
    <w:p>
      <w:pPr>
        <w:spacing w:after="0" w:line="297" w:lineRule="exact"/>
        <w:rPr>
          <w:sz w:val="20"/>
          <w:szCs w:val="20"/>
          <w:color w:val="auto"/>
        </w:rPr>
      </w:pPr>
    </w:p>
    <w:p>
      <w:pPr>
        <w:ind w:left="20"/>
        <w:spacing w:after="0"/>
        <w:tabs>
          <w:tab w:leader="none" w:pos="680" w:val="left"/>
          <w:tab w:leader="none" w:pos="6620" w:val="left"/>
        </w:tabs>
        <w:rPr>
          <w:sz w:val="20"/>
          <w:szCs w:val="20"/>
          <w:color w:val="auto"/>
        </w:rPr>
      </w:pPr>
      <w:r>
        <w:rPr>
          <w:rFonts w:ascii="Times New Roman" w:cs="Times New Roman" w:eastAsia="Times New Roman" w:hAnsi="Times New Roman"/>
          <w:sz w:val="20"/>
          <w:szCs w:val="20"/>
          <w:color w:val="auto"/>
        </w:rPr>
        <w:t>Date:</w:t>
        <w:tab/>
        <w:t>7/26/2024</w:t>
      </w:r>
      <w:r>
        <w:rPr>
          <w:sz w:val="20"/>
          <w:szCs w:val="20"/>
          <w:color w:val="auto"/>
        </w:rPr>
        <w:tab/>
      </w:r>
      <w:r>
        <w:rPr>
          <w:rFonts w:ascii="Times New Roman" w:cs="Times New Roman" w:eastAsia="Times New Roman" w:hAnsi="Times New Roman"/>
          <w:sz w:val="19"/>
          <w:szCs w:val="19"/>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22860</wp:posOffset>
            </wp:positionV>
            <wp:extent cx="24085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0"/>
          <w:szCs w:val="20"/>
          <w:color w:val="auto"/>
        </w:rPr>
        <w:t>Paylocity Corporation</w:t>
      </w:r>
    </w:p>
    <w:p>
      <w:pPr>
        <w:spacing w:after="0" w:line="391" w:lineRule="exact"/>
        <w:rPr>
          <w:sz w:val="20"/>
          <w:szCs w:val="20"/>
          <w:color w:val="auto"/>
        </w:rPr>
      </w:pPr>
    </w:p>
    <w:p>
      <w:pPr>
        <w:ind w:left="20"/>
        <w:spacing w:after="0"/>
        <w:tabs>
          <w:tab w:leader="none" w:pos="680" w:val="left"/>
          <w:tab w:leader="none" w:pos="6620" w:val="left"/>
        </w:tabs>
        <w:rPr>
          <w:sz w:val="20"/>
          <w:szCs w:val="20"/>
          <w:color w:val="auto"/>
        </w:rPr>
      </w:pPr>
      <w:r>
        <w:rPr>
          <w:rFonts w:ascii="Times New Roman" w:cs="Times New Roman" w:eastAsia="Times New Roman" w:hAnsi="Times New Roman"/>
          <w:sz w:val="20"/>
          <w:szCs w:val="20"/>
          <w:color w:val="auto"/>
        </w:rPr>
        <w:t>Date:</w:t>
        <w:tab/>
        <w:t>7/26/2024</w:t>
      </w:r>
      <w:r>
        <w:rPr>
          <w:sz w:val="20"/>
          <w:szCs w:val="20"/>
          <w:color w:val="auto"/>
        </w:rPr>
        <w:tab/>
      </w:r>
      <w:r>
        <w:rPr>
          <w:rFonts w:ascii="Times New Roman" w:cs="Times New Roman" w:eastAsia="Times New Roman" w:hAnsi="Times New Roman"/>
          <w:sz w:val="19"/>
          <w:szCs w:val="19"/>
          <w:color w:val="auto"/>
        </w:rPr>
        <w:t>/s/ Ryan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22860</wp:posOffset>
            </wp:positionV>
            <wp:extent cx="24085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0"/>
          <w:szCs w:val="20"/>
          <w:color w:val="auto"/>
        </w:rPr>
        <w:t>Ryan Glenn, Board Member</w:t>
      </w:r>
    </w:p>
    <w:p>
      <w:pPr>
        <w:spacing w:after="0" w:line="200" w:lineRule="exact"/>
        <w:rPr>
          <w:sz w:val="20"/>
          <w:szCs w:val="20"/>
          <w:color w:val="auto"/>
        </w:rPr>
      </w:pPr>
    </w:p>
    <w:p>
      <w:pPr>
        <w:spacing w:after="0" w:line="31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0"/>
          <w:szCs w:val="20"/>
          <w:color w:val="auto"/>
        </w:rPr>
        <w:t>Paylocity Holdings Corporation</w:t>
      </w:r>
    </w:p>
    <w:p>
      <w:pPr>
        <w:spacing w:after="0" w:line="391" w:lineRule="exact"/>
        <w:rPr>
          <w:sz w:val="20"/>
          <w:szCs w:val="20"/>
          <w:color w:val="auto"/>
        </w:rPr>
      </w:pPr>
    </w:p>
    <w:p>
      <w:pPr>
        <w:ind w:left="20"/>
        <w:spacing w:after="0"/>
        <w:tabs>
          <w:tab w:leader="none" w:pos="680" w:val="left"/>
          <w:tab w:leader="none" w:pos="6620" w:val="left"/>
        </w:tabs>
        <w:rPr>
          <w:sz w:val="20"/>
          <w:szCs w:val="20"/>
          <w:color w:val="auto"/>
        </w:rPr>
      </w:pPr>
      <w:r>
        <w:rPr>
          <w:rFonts w:ascii="Times New Roman" w:cs="Times New Roman" w:eastAsia="Times New Roman" w:hAnsi="Times New Roman"/>
          <w:sz w:val="20"/>
          <w:szCs w:val="20"/>
          <w:color w:val="auto"/>
        </w:rPr>
        <w:t>Date:</w:t>
        <w:tab/>
        <w:t>7/26/2024</w:t>
      </w:r>
      <w:r>
        <w:rPr>
          <w:sz w:val="20"/>
          <w:szCs w:val="20"/>
          <w:color w:val="auto"/>
        </w:rPr>
        <w:tab/>
      </w:r>
      <w:r>
        <w:rPr>
          <w:rFonts w:ascii="Times New Roman" w:cs="Times New Roman" w:eastAsia="Times New Roman" w:hAnsi="Times New Roman"/>
          <w:sz w:val="19"/>
          <w:szCs w:val="19"/>
          <w:color w:val="auto"/>
        </w:rPr>
        <w:t>/s/ Robin Pederson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22860</wp:posOffset>
            </wp:positionV>
            <wp:extent cx="24085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0"/>
          <w:szCs w:val="20"/>
          <w:color w:val="auto"/>
        </w:rPr>
        <w:t>Robin Pederson, Board Member</w:t>
      </w:r>
    </w:p>
    <w:p>
      <w:pPr>
        <w:sectPr>
          <w:pgSz w:w="11900" w:h="16838" w:orient="portrait"/>
          <w:cols w:equalWidth="0" w:num="1">
            <w:col w:w="11240"/>
          </w:cols>
          <w:pgMar w:left="320" w:top="1399"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EXECUTIVE EMPLOYMENT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Amendment to Executive Employment Agreement (this “</w:t>
      </w:r>
      <w:r>
        <w:rPr>
          <w:rFonts w:ascii="Times New Roman" w:cs="Times New Roman" w:eastAsia="Times New Roman" w:hAnsi="Times New Roman"/>
          <w:sz w:val="20"/>
          <w:szCs w:val="20"/>
          <w:b w:val="1"/>
          <w:bCs w:val="1"/>
          <w:i w:val="1"/>
          <w:iCs w:val="1"/>
          <w:color w:val="auto"/>
        </w:rPr>
        <w:t>Amended Agreement</w:t>
      </w:r>
      <w:r>
        <w:rPr>
          <w:rFonts w:ascii="Times New Roman" w:cs="Times New Roman" w:eastAsia="Times New Roman" w:hAnsi="Times New Roman"/>
          <w:sz w:val="20"/>
          <w:szCs w:val="20"/>
          <w:color w:val="auto"/>
        </w:rPr>
        <w:t>”), which shall amend certain provisions of that Third</w:t>
      </w:r>
    </w:p>
    <w:p>
      <w:pPr>
        <w:spacing w:after="0" w:line="1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Amended and Restated Executive Employment Agreement by and between Paylocity Corporation, an Illinois corporation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Paylocity Holdings Corporation, a Delaware corporation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and Steven R. Beauchamp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dated as of February 7, 2014 (“</w:t>
      </w:r>
      <w:r>
        <w:rPr>
          <w:rFonts w:ascii="Times New Roman" w:cs="Times New Roman" w:eastAsia="Times New Roman" w:hAnsi="Times New Roman"/>
          <w:sz w:val="20"/>
          <w:szCs w:val="20"/>
          <w:b w:val="1"/>
          <w:bCs w:val="1"/>
          <w:i w:val="1"/>
          <w:iCs w:val="1"/>
          <w:color w:val="auto"/>
        </w:rPr>
        <w:t>Original Agreement</w:t>
      </w:r>
      <w:r>
        <w:rPr>
          <w:rFonts w:ascii="Times New Roman" w:cs="Times New Roman" w:eastAsia="Times New Roman" w:hAnsi="Times New Roman"/>
          <w:sz w:val="20"/>
          <w:szCs w:val="20"/>
          <w:color w:val="auto"/>
        </w:rPr>
        <w:t>”), is made and entered into by the Company and Executive effective as of August 5,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Each of the Company and Executive is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they are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right="20" w:firstLine="634"/>
        <w:spacing w:after="0"/>
        <w:rPr>
          <w:sz w:val="20"/>
          <w:szCs w:val="20"/>
          <w:color w:val="auto"/>
        </w:rPr>
      </w:pPr>
      <w:r>
        <w:rPr>
          <w:rFonts w:ascii="Times New Roman" w:cs="Times New Roman" w:eastAsia="Times New Roman" w:hAnsi="Times New Roman"/>
          <w:sz w:val="20"/>
          <w:szCs w:val="20"/>
          <w:color w:val="auto"/>
        </w:rPr>
        <w:t>WHEREAS, Section 2.1 of the Original Agreement provides that the Company reserves the right to modify Executive’s position and duties at any time in its sole and absolute discretion; and</w:t>
      </w:r>
    </w:p>
    <w:p>
      <w:pPr>
        <w:spacing w:after="0" w:line="18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WHEREAS, Section 16 of the Original Agreement further provides that the Original Agreement may be modified in a writing signed by Executive and the Company’s Board of Directors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and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the Parties desire to amend certain provisions of the Original Agreement, as set forth herein.</w:t>
      </w:r>
    </w:p>
    <w:p>
      <w:pPr>
        <w:spacing w:after="0" w:line="216" w:lineRule="exact"/>
        <w:rPr>
          <w:sz w:val="20"/>
          <w:szCs w:val="20"/>
          <w:color w:val="auto"/>
        </w:rPr>
      </w:pPr>
    </w:p>
    <w:p>
      <w:pPr>
        <w:jc w:val="both"/>
        <w:ind w:right="20" w:firstLine="634"/>
        <w:spacing w:after="0"/>
        <w:rPr>
          <w:sz w:val="20"/>
          <w:szCs w:val="20"/>
          <w:color w:val="auto"/>
        </w:rPr>
      </w:pPr>
      <w:r>
        <w:rPr>
          <w:rFonts w:ascii="Times New Roman" w:cs="Times New Roman" w:eastAsia="Times New Roman" w:hAnsi="Times New Roman"/>
          <w:sz w:val="20"/>
          <w:szCs w:val="20"/>
          <w:color w:val="auto"/>
        </w:rPr>
        <w:t>NOW, THEREFORE, in consideration of the mutual promises and agreements contained in this Amended Agreement and other good and valuable consideration, the receipt and sufficiency of which are hereby acknowledged, the Parties hereby agree as follows:</w:t>
      </w:r>
    </w:p>
    <w:p>
      <w:pPr>
        <w:spacing w:after="0" w:line="202"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w:t>
      </w:r>
      <w:r>
        <w:rPr>
          <w:rFonts w:ascii="Times New Roman" w:cs="Times New Roman" w:eastAsia="Times New Roman" w:hAnsi="Times New Roman"/>
          <w:sz w:val="20"/>
          <w:szCs w:val="20"/>
          <w:color w:val="auto"/>
        </w:rPr>
        <w:t>. Section 2.1 of the Original Agreement is hereby amended and restated as follows:</w:t>
      </w:r>
    </w:p>
    <w:p>
      <w:pPr>
        <w:spacing w:after="0" w:line="211" w:lineRule="exact"/>
        <w:rPr>
          <w:rFonts w:ascii="Times New Roman" w:cs="Times New Roman" w:eastAsia="Times New Roman" w:hAnsi="Times New Roman"/>
          <w:sz w:val="20"/>
          <w:szCs w:val="20"/>
          <w:color w:val="auto"/>
        </w:rPr>
      </w:pPr>
    </w:p>
    <w:p>
      <w:pPr>
        <w:jc w:val="both"/>
        <w:ind w:left="1300"/>
        <w:spacing w:after="0" w:line="22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employed as Executive Chairman of the Board of Directors (“</w:t>
      </w:r>
      <w:r>
        <w:rPr>
          <w:rFonts w:ascii="Times New Roman" w:cs="Times New Roman" w:eastAsia="Times New Roman" w:hAnsi="Times New Roman"/>
          <w:sz w:val="20"/>
          <w:szCs w:val="20"/>
          <w:b w:val="1"/>
          <w:bCs w:val="1"/>
          <w:i w:val="1"/>
          <w:iCs w:val="1"/>
          <w:color w:val="auto"/>
        </w:rPr>
        <w:t>Parent Board</w:t>
      </w:r>
      <w:r>
        <w:rPr>
          <w:rFonts w:ascii="Times New Roman" w:cs="Times New Roman" w:eastAsia="Times New Roman" w:hAnsi="Times New Roman"/>
          <w:sz w:val="20"/>
          <w:szCs w:val="20"/>
          <w:color w:val="auto"/>
        </w:rPr>
        <w:t>”) of Paylocity Holdings Corporation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and shall have the duties and responsibilities assigned by the Parent Board. Executive shall perform faithfully and diligently all duties assigned to Executive. Executive shall no longer serve as President or Chief Executive Officer of the Company as of the Effective Date. The Company reserves the right to modify Executive’s position and duties at any time in its sole and absolute discretion.</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Sections 4.1 and 4.2 of the Original Agreement are hereby amended and restated, and a new Section 4.4 is added, as follows:</w:t>
      </w:r>
    </w:p>
    <w:p>
      <w:pPr>
        <w:spacing w:after="0" w:line="188" w:lineRule="exact"/>
        <w:rPr>
          <w:rFonts w:ascii="Times New Roman" w:cs="Times New Roman" w:eastAsia="Times New Roman" w:hAnsi="Times New Roman"/>
          <w:sz w:val="20"/>
          <w:szCs w:val="20"/>
          <w:color w:val="auto"/>
        </w:rPr>
      </w:pPr>
    </w:p>
    <w:p>
      <w:pPr>
        <w:jc w:val="both"/>
        <w:ind w:left="1300"/>
        <w:spacing w:after="0" w:line="22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As compensation for Executive’s performance of Executive’s duties hereunder, the Company shall pay to Executive an annual base salary of $322,903, less required deductions for state and federal withholding tax, social security and all other employment taxes and payroll deductions, payable in accordance with the normal payroll practices of Company. Company shall conduct a review of Executive’s base salary with a targeted increase of no less than three percent (3%) annually based on agreed upon financial objectives for each fiscal year. The salary increase will be evaluated after each fiscal year and implemented by September of each year contingent upon accomplishing specific annual objectives to be agreed upon by Employer and Employee. In the event Executive’s employment under this Restated Agreement is terminated by either Party, for any reason, Executive will earn the base salary prorated to the date of termination.</w:t>
      </w:r>
    </w:p>
    <w:p>
      <w:pPr>
        <w:spacing w:after="0" w:line="189" w:lineRule="exact"/>
        <w:rPr>
          <w:rFonts w:ascii="Times New Roman" w:cs="Times New Roman" w:eastAsia="Times New Roman" w:hAnsi="Times New Roman"/>
          <w:sz w:val="20"/>
          <w:szCs w:val="20"/>
          <w:color w:val="auto"/>
        </w:rPr>
      </w:pPr>
    </w:p>
    <w:p>
      <w:pPr>
        <w:jc w:val="both"/>
        <w:ind w:left="1300"/>
        <w:spacing w:after="0" w:line="23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Incentive Compensation</w:t>
      </w:r>
      <w:r>
        <w:rPr>
          <w:rFonts w:ascii="Times New Roman" w:cs="Times New Roman" w:eastAsia="Times New Roman" w:hAnsi="Times New Roman"/>
          <w:sz w:val="19"/>
          <w:szCs w:val="19"/>
          <w:color w:val="auto"/>
        </w:rPr>
        <w:t>. Executive shall be eligible to earn an annual performance bonus, the target amount of which is 100% of Executive’s base salary (“</w:t>
      </w:r>
      <w:r>
        <w:rPr>
          <w:rFonts w:ascii="Times New Roman" w:cs="Times New Roman" w:eastAsia="Times New Roman" w:hAnsi="Times New Roman"/>
          <w:sz w:val="19"/>
          <w:szCs w:val="19"/>
          <w:b w:val="1"/>
          <w:bCs w:val="1"/>
          <w:i w:val="1"/>
          <w:iCs w:val="1"/>
          <w:color w:val="auto"/>
        </w:rPr>
        <w:t>Annual Bonus</w:t>
      </w:r>
      <w:r>
        <w:rPr>
          <w:rFonts w:ascii="Times New Roman" w:cs="Times New Roman" w:eastAsia="Times New Roman" w:hAnsi="Times New Roman"/>
          <w:sz w:val="19"/>
          <w:szCs w:val="19"/>
          <w:color w:val="auto"/>
        </w:rPr>
        <w:t>”). The Annual Bonus will be based on Executive’s achievement of Company’s annual business plan objectives, which shall be established by Company’s Compensation Committee and communicated to Executive within 60 days of the beginning of each fiscal year. Executive’s achievement of the business plan objectives will be determined by the Compensation Committee in its sole discretion. The Annual Bonus shall be less all required taxes and withholdings and will be paid out within 60 days following the end of the fiscal year in which it is earned.</w:t>
      </w:r>
    </w:p>
    <w:p>
      <w:pPr>
        <w:sectPr>
          <w:pgSz w:w="11900" w:h="16838" w:orient="portrait"/>
          <w:cols w:equalWidth="0" w:num="1">
            <w:col w:w="11240"/>
          </w:cols>
          <w:pgMar w:left="320" w:top="347" w:right="339" w:bottom="1440" w:gutter="0" w:footer="0" w:header="0"/>
        </w:sectPr>
      </w:pPr>
    </w:p>
    <w:bookmarkStart w:id="108" w:name="page109"/>
    <w:bookmarkEnd w:id="108"/>
    <w:p>
      <w:pPr>
        <w:ind w:left="644" w:hanging="644"/>
        <w:spacing w:after="0"/>
        <w:tabs>
          <w:tab w:leader="none" w:pos="6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Changes</w:t>
      </w:r>
      <w:r>
        <w:rPr>
          <w:rFonts w:ascii="Times New Roman" w:cs="Times New Roman" w:eastAsia="Times New Roman" w:hAnsi="Times New Roman"/>
          <w:sz w:val="20"/>
          <w:szCs w:val="20"/>
          <w:color w:val="auto"/>
        </w:rPr>
        <w:t>. The remainder of the Original Agreement shall remain in full force and effect.</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30" w:lineRule="auto"/>
        <w:tabs>
          <w:tab w:leader="none" w:pos="6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Amended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Amended Agreement.</w:t>
      </w:r>
    </w:p>
    <w:p>
      <w:pPr>
        <w:spacing w:after="0" w:line="189" w:lineRule="exact"/>
        <w:rPr>
          <w:rFonts w:ascii="Times New Roman" w:cs="Times New Roman" w:eastAsia="Times New Roman" w:hAnsi="Times New Roman"/>
          <w:sz w:val="20"/>
          <w:szCs w:val="20"/>
          <w:color w:val="auto"/>
        </w:rPr>
      </w:pPr>
    </w:p>
    <w:p>
      <w:pPr>
        <w:jc w:val="both"/>
        <w:ind w:left="644" w:hanging="644"/>
        <w:spacing w:after="0" w:line="229" w:lineRule="auto"/>
        <w:tabs>
          <w:tab w:leader="none" w:pos="6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Amended Agreement constitutes the entire agreement between the Parties relating to this subject matter and supersedes all prior or simultaneous representations, discussions, negotiations, and agreements, whether written or oral. This Amended Agreement may be amended or modified only with the written consent of Executive and the Board. No oral waiver, amendment or modification will be effective under any circumstances whatsoever.</w:t>
      </w:r>
    </w:p>
    <w:p>
      <w:pPr>
        <w:sectPr>
          <w:pgSz w:w="11900" w:h="16838" w:orient="portrait"/>
          <w:cols w:equalWidth="0" w:num="1">
            <w:col w:w="10584"/>
          </w:cols>
          <w:pgMar w:left="976" w:top="1399" w:right="339" w:bottom="1440" w:gutter="0" w:footer="0" w:header="0"/>
        </w:sectPr>
      </w:pPr>
    </w:p>
    <w:bookmarkStart w:id="109" w:name="page110"/>
    <w:bookmarkEnd w:id="109"/>
    <w:p>
      <w:pPr>
        <w:jc w:val="both"/>
        <w:ind w:hanging="13"/>
        <w:spacing w:after="0" w:line="230" w:lineRule="auto"/>
        <w:rPr>
          <w:sz w:val="20"/>
          <w:szCs w:val="20"/>
          <w:color w:val="auto"/>
        </w:rPr>
      </w:pPr>
      <w:r>
        <w:rPr>
          <w:rFonts w:ascii="Times New Roman" w:cs="Times New Roman" w:eastAsia="Times New Roman" w:hAnsi="Times New Roman"/>
          <w:sz w:val="20"/>
          <w:szCs w:val="20"/>
          <w:color w:val="auto"/>
        </w:rPr>
        <w:t>THE PARTIES TO THIS AMENDED AGREEMENT HAVE READ THE FOREGOING AMENDED AGREEMENT AND FULLY UNDERSTAND EACH AND EVERY PROVISION CONTAINED HEREIN. WHEREFORE, THE PARTIES HAVE EXECUTED THIS AMENDED AGREEMENT ON THE DATES SHOWN BELOW.</w:t>
      </w:r>
    </w:p>
    <w:p>
      <w:pPr>
        <w:spacing w:after="0" w:line="24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0"/>
          <w:szCs w:val="20"/>
          <w:color w:val="auto"/>
        </w:rPr>
        <w:t>Steven R. Beauchamp</w:t>
      </w:r>
    </w:p>
    <w:p>
      <w:pPr>
        <w:spacing w:after="0" w:line="297" w:lineRule="exact"/>
        <w:rPr>
          <w:sz w:val="20"/>
          <w:szCs w:val="20"/>
          <w:color w:val="auto"/>
        </w:rPr>
      </w:pPr>
    </w:p>
    <w:p>
      <w:pPr>
        <w:ind w:left="20"/>
        <w:spacing w:after="0"/>
        <w:tabs>
          <w:tab w:leader="none" w:pos="660" w:val="left"/>
          <w:tab w:leader="none" w:pos="6480" w:val="left"/>
        </w:tabs>
        <w:rPr>
          <w:sz w:val="20"/>
          <w:szCs w:val="20"/>
          <w:color w:val="auto"/>
        </w:rPr>
      </w:pPr>
      <w:r>
        <w:rPr>
          <w:rFonts w:ascii="Times New Roman" w:cs="Times New Roman" w:eastAsia="Times New Roman" w:hAnsi="Times New Roman"/>
          <w:sz w:val="20"/>
          <w:szCs w:val="20"/>
          <w:color w:val="auto"/>
        </w:rPr>
        <w:t>Date:</w:t>
        <w:tab/>
        <w:t>7/26/2024</w:t>
      </w:r>
      <w:r>
        <w:rPr>
          <w:sz w:val="20"/>
          <w:szCs w:val="20"/>
          <w:color w:val="auto"/>
        </w:rPr>
        <w:tab/>
      </w:r>
      <w:r>
        <w:rPr>
          <w:rFonts w:ascii="Times New Roman" w:cs="Times New Roman" w:eastAsia="Times New Roman" w:hAnsi="Times New Roman"/>
          <w:sz w:val="19"/>
          <w:szCs w:val="19"/>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22860</wp:posOffset>
            </wp:positionV>
            <wp:extent cx="2366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0"/>
          <w:szCs w:val="20"/>
          <w:color w:val="auto"/>
        </w:rPr>
        <w:t>Paylocity Corporation</w:t>
      </w:r>
    </w:p>
    <w:p>
      <w:pPr>
        <w:spacing w:after="0" w:line="391" w:lineRule="exact"/>
        <w:rPr>
          <w:sz w:val="20"/>
          <w:szCs w:val="20"/>
          <w:color w:val="auto"/>
        </w:rPr>
      </w:pPr>
    </w:p>
    <w:p>
      <w:pPr>
        <w:ind w:left="20"/>
        <w:spacing w:after="0"/>
        <w:tabs>
          <w:tab w:leader="none" w:pos="660" w:val="left"/>
          <w:tab w:leader="none" w:pos="6480" w:val="left"/>
        </w:tabs>
        <w:rPr>
          <w:sz w:val="20"/>
          <w:szCs w:val="20"/>
          <w:color w:val="auto"/>
        </w:rPr>
      </w:pPr>
      <w:r>
        <w:rPr>
          <w:rFonts w:ascii="Times New Roman" w:cs="Times New Roman" w:eastAsia="Times New Roman" w:hAnsi="Times New Roman"/>
          <w:sz w:val="20"/>
          <w:szCs w:val="20"/>
          <w:color w:val="auto"/>
        </w:rPr>
        <w:t>Date:</w:t>
        <w:tab/>
        <w:t>7/26/2024</w:t>
      </w:r>
      <w:r>
        <w:rPr>
          <w:sz w:val="20"/>
          <w:szCs w:val="20"/>
          <w:color w:val="auto"/>
        </w:rPr>
        <w:tab/>
      </w:r>
      <w:r>
        <w:rPr>
          <w:rFonts w:ascii="Times New Roman" w:cs="Times New Roman" w:eastAsia="Times New Roman" w:hAnsi="Times New Roman"/>
          <w:sz w:val="19"/>
          <w:szCs w:val="19"/>
          <w:color w:val="auto"/>
        </w:rPr>
        <w:t>/s/ Ryan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22860</wp:posOffset>
            </wp:positionV>
            <wp:extent cx="23660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0"/>
          <w:szCs w:val="20"/>
          <w:color w:val="auto"/>
        </w:rPr>
        <w:t>Ryan Glenn, Board Member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0"/>
          <w:szCs w:val="20"/>
          <w:color w:val="auto"/>
        </w:rPr>
        <w:t>Paylocity Holdings Corporation</w:t>
      </w:r>
    </w:p>
    <w:p>
      <w:pPr>
        <w:spacing w:after="0" w:line="391" w:lineRule="exact"/>
        <w:rPr>
          <w:sz w:val="20"/>
          <w:szCs w:val="20"/>
          <w:color w:val="auto"/>
        </w:rPr>
      </w:pPr>
    </w:p>
    <w:p>
      <w:pPr>
        <w:ind w:left="20"/>
        <w:spacing w:after="0"/>
        <w:tabs>
          <w:tab w:leader="none" w:pos="660" w:val="left"/>
          <w:tab w:leader="none" w:pos="6480" w:val="left"/>
        </w:tabs>
        <w:rPr>
          <w:sz w:val="20"/>
          <w:szCs w:val="20"/>
          <w:color w:val="auto"/>
        </w:rPr>
      </w:pPr>
      <w:r>
        <w:rPr>
          <w:rFonts w:ascii="Times New Roman" w:cs="Times New Roman" w:eastAsia="Times New Roman" w:hAnsi="Times New Roman"/>
          <w:sz w:val="20"/>
          <w:szCs w:val="20"/>
          <w:color w:val="auto"/>
        </w:rPr>
        <w:t>Date:</w:t>
        <w:tab/>
        <w:t>7/26/2024</w:t>
      </w:r>
      <w:r>
        <w:rPr>
          <w:sz w:val="20"/>
          <w:szCs w:val="20"/>
          <w:color w:val="auto"/>
        </w:rPr>
        <w:tab/>
      </w:r>
      <w:r>
        <w:rPr>
          <w:rFonts w:ascii="Times New Roman" w:cs="Times New Roman" w:eastAsia="Times New Roman" w:hAnsi="Times New Roman"/>
          <w:sz w:val="19"/>
          <w:szCs w:val="19"/>
          <w:color w:val="auto"/>
        </w:rPr>
        <w:t>/s/ Robin Pederson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22860</wp:posOffset>
            </wp:positionV>
            <wp:extent cx="23660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0"/>
          <w:szCs w:val="20"/>
          <w:color w:val="auto"/>
        </w:rPr>
        <w:t>Robin Pederson, Board Member</w:t>
      </w:r>
    </w:p>
    <w:p>
      <w:pPr>
        <w:sectPr>
          <w:pgSz w:w="11900" w:h="16838" w:orient="portrait"/>
          <w:cols w:equalWidth="0" w:num="1">
            <w:col w:w="11240"/>
          </w:cols>
          <w:pgMar w:left="320" w:top="139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36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ectPr>
          <w:pgSz w:w="11900" w:h="16838" w:orient="portrait"/>
          <w:cols w:equalWidth="0" w:num="1">
            <w:col w:w="11240"/>
          </w:cols>
          <w:pgMar w:left="320" w:top="36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September 30, 2024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x"/>
      <w:numFmt w:val="bullet"/>
      <w:start w:val="1"/>
    </w:lvl>
  </w:abstractNum>
  <w:abstractNum w:abstractNumId="1">
    <w:nsid w:val="100F8FCA"/>
    <w:multiLevelType w:val="hybridMultilevel"/>
    <w:lvl w:ilvl="0">
      <w:lvlJc w:val="left"/>
      <w:lvlText w:val="o"/>
      <w:numFmt w:val="bullet"/>
      <w:start w:val="1"/>
    </w:lvl>
  </w:abstractNum>
  <w:abstractNum w:abstractNumId="2">
    <w:nsid w:val="6590700B"/>
    <w:multiLevelType w:val="hybridMultilevel"/>
    <w:lvl w:ilvl="0">
      <w:lvlJc w:val="left"/>
      <w:lvlText w:val="(%1)"/>
      <w:numFmt w:val="lowerLetter"/>
      <w:start w:val="1"/>
    </w:lvl>
  </w:abstractNum>
  <w:abstractNum w:abstractNumId="3">
    <w:nsid w:val="15014ACB"/>
    <w:multiLevelType w:val="hybridMultilevel"/>
    <w:lvl w:ilvl="0">
      <w:lvlJc w:val="left"/>
      <w:lvlText w:val="(%1)"/>
      <w:numFmt w:val="lowerLetter"/>
      <w:start w:val="2"/>
    </w:lvl>
  </w:abstractNum>
  <w:abstractNum w:abstractNumId="4">
    <w:nsid w:val="5F5E7FD0"/>
    <w:multiLevelType w:val="hybridMultilevel"/>
    <w:lvl w:ilvl="0">
      <w:lvlJc w:val="left"/>
      <w:lvlText w:val="(%1)"/>
      <w:numFmt w:val="lowerLetter"/>
      <w:start w:val="3"/>
    </w:lvl>
  </w:abstractNum>
  <w:abstractNum w:abstractNumId="5">
    <w:nsid w:val="98A3148"/>
    <w:multiLevelType w:val="hybridMultilevel"/>
    <w:lvl w:ilvl="0">
      <w:lvlJc w:val="left"/>
      <w:lvlText w:val="(%1)"/>
      <w:numFmt w:val="lowerLetter"/>
      <w:start w:val="4"/>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1)"/>
      <w:numFmt w:val="decimal"/>
      <w:start w:val="1"/>
    </w:lvl>
  </w:abstractNum>
  <w:abstractNum w:abstractNumId="10">
    <w:nsid w:val="1EBA5D23"/>
    <w:multiLevelType w:val="hybridMultilevel"/>
    <w:lvl w:ilvl="0">
      <w:lvlJc w:val="left"/>
      <w:lvlText w:val="(%1)"/>
      <w:numFmt w:val="decimal"/>
      <w:start w:val="2"/>
    </w:lvl>
  </w:abstractNum>
  <w:abstractNum w:abstractNumId="11">
    <w:nsid w:val="661E3F1E"/>
    <w:multiLevelType w:val="hybridMultilevel"/>
    <w:lvl w:ilvl="0">
      <w:lvlJc w:val="left"/>
      <w:lvlText w:val="(%1)"/>
      <w:numFmt w:val="decimal"/>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1"/>
      <w:numFmt w:val="bullet"/>
      <w:start w:val="1"/>
    </w:lvl>
  </w:abstractNum>
  <w:abstractNum w:abstractNumId="15">
    <w:nsid w:val="51D9C564"/>
    <w:multiLevelType w:val="hybridMultilevel"/>
    <w:lvl w:ilvl="0">
      <w:lvlJc w:val="left"/>
      <w:lvlText w:val="2"/>
      <w:numFmt w:val="bullet"/>
      <w:start w:val="1"/>
    </w:lvl>
  </w:abstractNum>
  <w:abstractNum w:abstractNumId="16">
    <w:nsid w:val="613EFDC5"/>
    <w:multiLevelType w:val="hybridMultilevel"/>
    <w:lvl w:ilvl="0">
      <w:lvlJc w:val="left"/>
      <w:lvlText w:val="3"/>
      <w:numFmt w:val="bullet"/>
      <w:start w:val="1"/>
    </w:lvl>
  </w:abstractNum>
  <w:abstractNum w:abstractNumId="17">
    <w:nsid w:val="BF72B14"/>
    <w:multiLevelType w:val="hybridMultilevel"/>
    <w:lvl w:ilvl="0">
      <w:lvlJc w:val="left"/>
      <w:lvlText w:val="4"/>
      <w:numFmt w:val="bullet"/>
      <w:start w:val="1"/>
    </w:lvl>
  </w:abstractNum>
  <w:abstractNum w:abstractNumId="18">
    <w:nsid w:val="11447B73"/>
    <w:multiLevelType w:val="hybridMultilevel"/>
    <w:lvl w:ilvl="0">
      <w:lvlJc w:val="left"/>
      <w:lvlText w:val="5"/>
      <w:numFmt w:val="bullet"/>
      <w:start w:val="1"/>
    </w:lvl>
  </w:abstractNum>
  <w:abstractNum w:abstractNumId="19">
    <w:nsid w:val="42963E5A"/>
    <w:multiLevelType w:val="hybridMultilevel"/>
    <w:lvl w:ilvl="0">
      <w:lvlJc w:val="left"/>
      <w:lvlText w:val="6"/>
      <w:numFmt w:val="bullet"/>
      <w:start w:val="1"/>
    </w:lvl>
  </w:abstractNum>
  <w:abstractNum w:abstractNumId="20">
    <w:nsid w:val="A0382C5"/>
    <w:multiLevelType w:val="hybridMultilevel"/>
    <w:lvl w:ilvl="0">
      <w:lvlJc w:val="left"/>
      <w:lvlText w:val="7"/>
      <w:numFmt w:val="bullet"/>
      <w:start w:val="1"/>
    </w:lvl>
  </w:abstractNum>
  <w:abstractNum w:abstractNumId="21">
    <w:nsid w:val="8F2B15E"/>
    <w:multiLevelType w:val="hybridMultilevel"/>
    <w:lvl w:ilvl="0">
      <w:lvlJc w:val="left"/>
      <w:lvlText w:val="(%1)"/>
      <w:numFmt w:val="lowerLetter"/>
      <w:start w:val="1"/>
    </w:lvl>
  </w:abstractNum>
  <w:abstractNum w:abstractNumId="22">
    <w:nsid w:val="1A32234B"/>
    <w:multiLevelType w:val="hybridMultilevel"/>
    <w:lvl w:ilvl="0">
      <w:lvlJc w:val="left"/>
      <w:lvlText w:val="(%1)"/>
      <w:numFmt w:val="lowerLetter"/>
      <w:start w:val="2"/>
    </w:lvl>
  </w:abstractNum>
  <w:abstractNum w:abstractNumId="23">
    <w:nsid w:val="3B0FD379"/>
    <w:multiLevelType w:val="hybridMultilevel"/>
    <w:lvl w:ilvl="0">
      <w:lvlJc w:val="left"/>
      <w:lvlText w:val="(%1)"/>
      <w:numFmt w:val="lowerLetter"/>
      <w:start w:val="1"/>
    </w:lvl>
  </w:abstractNum>
  <w:abstractNum w:abstractNumId="24">
    <w:nsid w:val="68EB2F63"/>
    <w:multiLevelType w:val="hybridMultilevel"/>
    <w:lvl w:ilvl="0">
      <w:lvlJc w:val="left"/>
      <w:lvlText w:val="8"/>
      <w:numFmt w:val="bullet"/>
      <w:start w:val="1"/>
    </w:lvl>
  </w:abstractNum>
  <w:abstractNum w:abstractNumId="25">
    <w:nsid w:val="4962813B"/>
    <w:multiLevelType w:val="hybridMultilevel"/>
    <w:lvl w:ilvl="0">
      <w:lvlJc w:val="left"/>
      <w:lvlText w:val="9"/>
      <w:numFmt w:val="bullet"/>
      <w:start w:val="1"/>
    </w:lvl>
  </w:abstractNum>
  <w:abstractNum w:abstractNumId="26">
    <w:nsid w:val="60B6DF70"/>
    <w:multiLevelType w:val="hybridMultilevel"/>
    <w:lvl w:ilvl="0">
      <w:lvlJc w:val="left"/>
      <w:lvlText w:val="%1"/>
      <w:numFmt w:val="decimal"/>
      <w:start w:val="10"/>
    </w:lvl>
  </w:abstractNum>
  <w:abstractNum w:abstractNumId="27">
    <w:nsid w:val="6A5EE64"/>
    <w:multiLevelType w:val="hybridMultilevel"/>
    <w:lvl w:ilvl="0">
      <w:lvlJc w:val="left"/>
      <w:lvlText w:val="%1"/>
      <w:numFmt w:val="decimal"/>
      <w:start w:val="11"/>
    </w:lvl>
  </w:abstractNum>
  <w:abstractNum w:abstractNumId="28">
    <w:nsid w:val="14330624"/>
    <w:multiLevelType w:val="hybridMultilevel"/>
    <w:lvl w:ilvl="0">
      <w:lvlJc w:val="left"/>
      <w:lvlText w:val="%1"/>
      <w:numFmt w:val="decimal"/>
      <w:start w:val="12"/>
    </w:lvl>
  </w:abstractNum>
  <w:abstractNum w:abstractNumId="29">
    <w:nsid w:val="7FFFCA11"/>
    <w:multiLevelType w:val="hybridMultilevel"/>
    <w:lvl w:ilvl="0">
      <w:lvlJc w:val="left"/>
      <w:lvlText w:val="%1"/>
      <w:numFmt w:val="decimal"/>
      <w:start w:val="13"/>
    </w:lvl>
  </w:abstractNum>
  <w:abstractNum w:abstractNumId="30">
    <w:nsid w:val="1A27709E"/>
    <w:multiLevelType w:val="hybridMultilevel"/>
    <w:lvl w:ilvl="0">
      <w:lvlJc w:val="left"/>
      <w:lvlText w:val="%1"/>
      <w:numFmt w:val="decimal"/>
      <w:start w:val="14"/>
    </w:lvl>
  </w:abstractNum>
  <w:abstractNum w:abstractNumId="31">
    <w:nsid w:val="71EA1109"/>
    <w:multiLevelType w:val="hybridMultilevel"/>
    <w:lvl w:ilvl="0">
      <w:lvlJc w:val="left"/>
      <w:lvlText w:val="(%1)"/>
      <w:numFmt w:val="lowerLetter"/>
      <w:start w:val="1"/>
    </w:lvl>
  </w:abstractNum>
  <w:abstractNum w:abstractNumId="32">
    <w:nsid w:val="100F59DC"/>
    <w:multiLevelType w:val="hybridMultilevel"/>
    <w:lvl w:ilvl="0">
      <w:lvlJc w:val="left"/>
      <w:lvlText w:val="%1"/>
      <w:numFmt w:val="decimal"/>
      <w:start w:val="15"/>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decimal"/>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lowerRoman"/>
      <w:start w:val="2"/>
    </w:lvl>
  </w:abstractNum>
  <w:abstractNum w:abstractNumId="43">
    <w:nsid w:val="74DE0EE3"/>
    <w:multiLevelType w:val="hybridMultilevel"/>
    <w:lvl w:ilvl="0">
      <w:lvlJc w:val="left"/>
      <w:lvlText w:val="(%1)"/>
      <w:numFmt w:val="lowerLetter"/>
      <w:start w:val="1"/>
    </w:lvl>
  </w:abstractNum>
  <w:abstractNum w:abstractNumId="44">
    <w:nsid w:val="68EBC550"/>
    <w:multiLevelType w:val="hybridMultilevel"/>
    <w:lvl w:ilvl="0">
      <w:lvlJc w:val="left"/>
      <w:lvlText w:val="%1."/>
      <w:numFmt w:val="decimal"/>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1."/>
      <w:numFmt w:val="decimal"/>
      <w:start w:val="1"/>
    </w:lvl>
  </w:abstractNum>
  <w:abstractNum w:abstractNumId="52">
    <w:nsid w:val="60EF0119"/>
    <w:multiLevelType w:val="hybridMultilevel"/>
    <w:lvl w:ilvl="0">
      <w:lvlJc w:val="left"/>
      <w:lvlText w:val="%1."/>
      <w:numFmt w:val="decimal"/>
      <w:start w:val="2"/>
    </w:lvl>
  </w:abstractNum>
  <w:abstractNum w:abstractNumId="53">
    <w:nsid w:val="26F324BA"/>
    <w:multiLevelType w:val="hybridMultilevel"/>
    <w:lvl w:ilvl="0">
      <w:lvlJc w:val="left"/>
      <w:lvlText w:val="%1."/>
      <w:numFmt w:val="decimal"/>
      <w:start w:val="3"/>
    </w:lvl>
  </w:abstractNum>
  <w:abstractNum w:abstractNumId="54">
    <w:nsid w:val="7F01579B"/>
    <w:multiLevelType w:val="hybridMultilevel"/>
    <w:lvl w:ilvl="0">
      <w:lvlJc w:val="left"/>
      <w:lvlText w:val="%1."/>
      <w:numFmt w:val="decimal"/>
      <w:start w:val="4"/>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decimal"/>
      <w:start w:val="5"/>
    </w:lvl>
  </w:abstractNum>
  <w:abstractNum w:abstractNumId="57">
    <w:nsid w:val="5FB8370B"/>
    <w:multiLevelType w:val="hybridMultilevel"/>
    <w:lvl w:ilvl="0">
      <w:lvlJc w:val="left"/>
      <w:lvlText w:val="%1."/>
      <w:numFmt w:val="decimal"/>
      <w:start w:val="6"/>
    </w:lvl>
  </w:abstractNum>
  <w:abstractNum w:abstractNumId="58">
    <w:nsid w:val="50801EE1"/>
    <w:multiLevelType w:val="hybridMultilevel"/>
    <w:lvl w:ilvl="0">
      <w:lvlJc w:val="left"/>
      <w:lvlText w:val="%1."/>
      <w:numFmt w:val="decimal"/>
      <w:start w:val="7"/>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lowerLetter"/>
      <w:start w:val="3"/>
    </w:lvl>
  </w:abstractNum>
  <w:abstractNum w:abstractNumId="61">
    <w:nsid w:val="6AA78F7F"/>
    <w:multiLevelType w:val="hybridMultilevel"/>
    <w:lvl w:ilvl="0">
      <w:lvlJc w:val="left"/>
      <w:lvlText w:val="%1."/>
      <w:numFmt w:val="decimal"/>
      <w:start w:val="8"/>
    </w:lvl>
  </w:abstractNum>
  <w:abstractNum w:abstractNumId="62">
    <w:nsid w:val="7672BD23"/>
    <w:multiLevelType w:val="hybridMultilevel"/>
    <w:lvl w:ilvl="0">
      <w:lvlJc w:val="left"/>
      <w:lvlText w:val="%1."/>
      <w:numFmt w:val="decimal"/>
      <w:start w:val="9"/>
    </w:lvl>
  </w:abstractNum>
  <w:abstractNum w:abstractNumId="63">
    <w:nsid w:val="6FC75AF8"/>
    <w:multiLevelType w:val="hybridMultilevel"/>
    <w:lvl w:ilvl="0">
      <w:lvlJc w:val="left"/>
      <w:lvlText w:val="%1"/>
      <w:numFmt w:val="decimal"/>
      <w:start w:val="1"/>
    </w:lvl>
    <w:lvl w:ilvl="1">
      <w:lvlJc w:val="left"/>
      <w:lvlText w:val="(%2)"/>
      <w:numFmt w:val="lowerLetter"/>
      <w:start w:val="1"/>
    </w:lvl>
  </w:abstractNum>
  <w:abstractNum w:abstractNumId="64">
    <w:nsid w:val="6A5F7029"/>
    <w:multiLevelType w:val="hybridMultilevel"/>
    <w:lvl w:ilvl="0">
      <w:lvlJc w:val="left"/>
      <w:lvlText w:val="%1."/>
      <w:numFmt w:val="decimal"/>
      <w:start w:val="10"/>
    </w:lvl>
    <w:lvl w:ilvl="1">
      <w:lvlJc w:val="left"/>
      <w:lvlText w:val="%2"/>
      <w:numFmt w:val="lowerLetter"/>
      <w:start w:val="1"/>
    </w:lvl>
  </w:abstractNum>
  <w:abstractNum w:abstractNumId="65">
    <w:nsid w:val="7D5E18F8"/>
    <w:multiLevelType w:val="hybridMultilevel"/>
    <w:lvl w:ilvl="0">
      <w:lvlJc w:val="left"/>
      <w:lvlText w:val="%1."/>
      <w:numFmt w:val="decimal"/>
      <w:start w:val="11"/>
    </w:lvl>
  </w:abstractNum>
  <w:abstractNum w:abstractNumId="66">
    <w:nsid w:val="5F3534A4"/>
    <w:multiLevelType w:val="hybridMultilevel"/>
    <w:lvl w:ilvl="0">
      <w:lvlJc w:val="left"/>
      <w:lvlText w:val="%1."/>
      <w:numFmt w:val="decimal"/>
      <w:start w:val="12"/>
    </w:lvl>
  </w:abstractNum>
  <w:abstractNum w:abstractNumId="67">
    <w:nsid w:val="73A1821B"/>
    <w:multiLevelType w:val="hybridMultilevel"/>
    <w:lvl w:ilvl="0">
      <w:lvlJc w:val="left"/>
      <w:lvlText w:val="%1."/>
      <w:numFmt w:val="decimal"/>
      <w:start w:val="13"/>
    </w:lvl>
  </w:abstractNum>
  <w:abstractNum w:abstractNumId="68">
    <w:nsid w:val="7DE67713"/>
    <w:multiLevelType w:val="hybridMultilevel"/>
    <w:lvl w:ilvl="0">
      <w:lvlJc w:val="left"/>
      <w:lvlText w:val="%1."/>
      <w:numFmt w:val="decimal"/>
      <w:start w:val="14"/>
    </w:lvl>
  </w:abstractNum>
  <w:abstractNum w:abstractNumId="69">
    <w:nsid w:val="555C55B5"/>
    <w:multiLevelType w:val="hybridMultilevel"/>
    <w:lvl w:ilvl="0">
      <w:lvlJc w:val="left"/>
      <w:lvlText w:val="(%1)"/>
      <w:numFmt w:val="lowerLetter"/>
      <w:start w:val="1"/>
    </w:lvl>
  </w:abstractNum>
  <w:abstractNum w:abstractNumId="70">
    <w:nsid w:val="3FA62ACA"/>
    <w:multiLevelType w:val="hybridMultilevel"/>
    <w:lvl w:ilvl="0">
      <w:lvlJc w:val="left"/>
      <w:lvlText w:val="(%1)"/>
      <w:numFmt w:val="lowerLetter"/>
      <w:start w:val="2"/>
    </w:lvl>
  </w:abstractNum>
  <w:abstractNum w:abstractNumId="71">
    <w:nsid w:val="14FCE74E"/>
    <w:multiLevelType w:val="hybridMultilevel"/>
    <w:lvl w:ilvl="0">
      <w:lvlJc w:val="left"/>
      <w:lvlText w:val="(%1)"/>
      <w:numFmt w:val="lowerLetter"/>
      <w:start w:val="1"/>
    </w:lvl>
  </w:abstractNum>
  <w:abstractNum w:abstractNumId="72">
    <w:nsid w:val="6A3DD3E8"/>
    <w:multiLevelType w:val="hybridMultilevel"/>
    <w:lvl w:ilvl="0">
      <w:lvlJc w:val="left"/>
      <w:lvlText w:val="%1."/>
      <w:numFmt w:val="decimal"/>
      <w:start w:val="1"/>
    </w:lvl>
  </w:abstractNum>
  <w:abstractNum w:abstractNumId="73">
    <w:nsid w:val="71C91298"/>
    <w:multiLevelType w:val="hybridMultilevel"/>
    <w:lvl w:ilvl="0">
      <w:lvlJc w:val="left"/>
      <w:lvlText w:val="%1."/>
      <w:numFmt w:val="decimal"/>
      <w:start w:val="2"/>
    </w:lvl>
  </w:abstractNum>
  <w:abstractNum w:abstractNumId="74">
    <w:nsid w:val="9DAF632"/>
    <w:multiLevelType w:val="hybridMultilevel"/>
    <w:lvl w:ilvl="0">
      <w:lvlJc w:val="left"/>
      <w:lvlText w:val="%1."/>
      <w:numFmt w:val="decimal"/>
      <w:start w:val="3"/>
    </w:lvl>
  </w:abstractNum>
  <w:abstractNum w:abstractNumId="75">
    <w:nsid w:val="53299938"/>
    <w:multiLevelType w:val="hybridMultilevel"/>
    <w:lvl w:ilvl="0">
      <w:lvlJc w:val="left"/>
      <w:lvlText w:val="%1."/>
      <w:numFmt w:val="decimal"/>
      <w:start w:val="4"/>
    </w:lvl>
  </w:abstractNum>
  <w:abstractNum w:abstractNumId="76">
    <w:nsid w:val="1FBFE8E0"/>
    <w:multiLevelType w:val="hybridMultilevel"/>
    <w:lvl w:ilvl="0">
      <w:lvlJc w:val="left"/>
      <w:lvlText w:val="%1."/>
      <w:numFmt w:val="decimal"/>
      <w:start w:val="9"/>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1."/>
      <w:numFmt w:val="decimal"/>
      <w:start w:val="1"/>
    </w:lvl>
  </w:abstractNum>
  <w:abstractNum w:abstractNumId="79">
    <w:nsid w:val="59ADEA3D"/>
    <w:multiLevelType w:val="hybridMultilevel"/>
    <w:lvl w:ilvl="0">
      <w:lvlJc w:val="left"/>
      <w:lvlText w:val="%1."/>
      <w:numFmt w:val="decimal"/>
      <w:start w:val="2"/>
    </w:lvl>
  </w:abstractNum>
  <w:abstractNum w:abstractNumId="80">
    <w:nsid w:val="288F1A34"/>
    <w:multiLevelType w:val="hybridMultilevel"/>
    <w:lvl w:ilvl="0">
      <w:lvlJc w:val="left"/>
      <w:lvlText w:val="%1."/>
      <w:numFmt w:val="decimal"/>
      <w:start w:val="3"/>
    </w:lvl>
  </w:abstractNum>
  <w:abstractNum w:abstractNumId="81">
    <w:nsid w:val="2A155DBC"/>
    <w:multiLevelType w:val="hybridMultilevel"/>
    <w:lvl w:ilvl="0">
      <w:lvlJc w:val="left"/>
      <w:lvlText w:val="%1."/>
      <w:numFmt w:val="decimal"/>
      <w:start w:val="4"/>
    </w:lvl>
  </w:abstractNum>
  <w:abstractNum w:abstractNumId="82">
    <w:nsid w:val="1D9F6E5F"/>
    <w:multiLevelType w:val="hybridMultilevel"/>
    <w:lvl w:ilvl="0">
      <w:lvlJc w:val="left"/>
      <w:lvlText w:val="(%1)"/>
      <w:numFmt w:val="lowerLetter"/>
      <w:start w:val="1"/>
    </w:lvl>
  </w:abstractNum>
  <w:abstractNum w:abstractNumId="83">
    <w:nsid w:val="97E1B4E"/>
    <w:multiLevelType w:val="hybridMultilevel"/>
    <w:lvl w:ilvl="0">
      <w:lvlJc w:val="left"/>
      <w:lvlText w:val="%1."/>
      <w:numFmt w:val="decimal"/>
      <w:start w:val="5"/>
    </w:lvl>
  </w:abstractNum>
  <w:abstractNum w:abstractNumId="84">
    <w:nsid w:val="51088277"/>
    <w:multiLevelType w:val="hybridMultilevel"/>
    <w:lvl w:ilvl="0">
      <w:lvlJc w:val="left"/>
      <w:lvlText w:val="%1."/>
      <w:numFmt w:val="decimal"/>
      <w:start w:val="6"/>
    </w:lvl>
  </w:abstractNum>
  <w:abstractNum w:abstractNumId="85">
    <w:nsid w:val="1CA0C5FA"/>
    <w:multiLevelType w:val="hybridMultilevel"/>
    <w:lvl w:ilvl="0">
      <w:lvlJc w:val="left"/>
      <w:lvlText w:val="%1."/>
      <w:numFmt w:val="decimal"/>
      <w:start w:val="7"/>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Letter"/>
      <w:start w:val="1"/>
    </w:lvl>
  </w:abstractNum>
  <w:abstractNum w:abstractNumId="88">
    <w:nsid w:val="7C58FD05"/>
    <w:multiLevelType w:val="hybridMultilevel"/>
    <w:lvl w:ilvl="0">
      <w:lvlJc w:val="left"/>
      <w:lvlText w:val="%1."/>
      <w:numFmt w:val="decimal"/>
      <w:start w:val="8"/>
    </w:lvl>
  </w:abstractNum>
  <w:abstractNum w:abstractNumId="89">
    <w:nsid w:val="23D86AAC"/>
    <w:multiLevelType w:val="hybridMultilevel"/>
    <w:lvl w:ilvl="0">
      <w:lvlJc w:val="left"/>
      <w:lvlText w:val="%1."/>
      <w:numFmt w:val="decimal"/>
      <w:start w:val="9"/>
    </w:lvl>
  </w:abstractNum>
  <w:abstractNum w:abstractNumId="90">
    <w:nsid w:val="45E6D486"/>
    <w:multiLevelType w:val="hybridMultilevel"/>
    <w:lvl w:ilvl="0">
      <w:lvlJc w:val="left"/>
      <w:lvlText w:val="(%1)"/>
      <w:numFmt w:val="lowerLetter"/>
      <w:start w:val="1"/>
    </w:lvl>
    <w:lvl w:ilvl="1">
      <w:lvlJc w:val="left"/>
      <w:lvlText w:val="(%2)"/>
      <w:numFmt w:val="lowerLetter"/>
      <w:start w:val="9"/>
    </w:lvl>
  </w:abstractNum>
  <w:abstractNum w:abstractNumId="91">
    <w:nsid w:val="5C10FE21"/>
    <w:multiLevelType w:val="hybridMultilevel"/>
    <w:lvl w:ilvl="0">
      <w:lvlJc w:val="left"/>
      <w:lvlText w:val="(%1)"/>
      <w:numFmt w:val="lowerRoman"/>
      <w:start w:val="2"/>
    </w:lvl>
  </w:abstractNum>
  <w:abstractNum w:abstractNumId="92">
    <w:nsid w:val="E7FFA2B"/>
    <w:multiLevelType w:val="hybridMultilevel"/>
    <w:lvl w:ilvl="0">
      <w:lvlJc w:val="left"/>
      <w:lvlText w:val="%1"/>
      <w:numFmt w:val="decimal"/>
      <w:start w:val="1"/>
    </w:lvl>
    <w:lvl w:ilvl="1">
      <w:lvlJc w:val="left"/>
      <w:lvlText w:val="(%2)"/>
      <w:numFmt w:val="lowerLetter"/>
      <w:start w:val="2"/>
    </w:lvl>
  </w:abstractNum>
  <w:abstractNum w:abstractNumId="93">
    <w:nsid w:val="3C5991AA"/>
    <w:multiLevelType w:val="hybridMultilevel"/>
    <w:lvl w:ilvl="0">
      <w:lvlJc w:val="left"/>
      <w:lvlText w:val="%1."/>
      <w:numFmt w:val="decimal"/>
      <w:start w:val="10"/>
    </w:lvl>
    <w:lvl w:ilvl="1">
      <w:lvlJc w:val="left"/>
      <w:lvlText w:val="%2"/>
      <w:numFmt w:val="lowerLetter"/>
      <w:start w:val="1"/>
    </w:lvl>
  </w:abstractNum>
  <w:abstractNum w:abstractNumId="94">
    <w:nsid w:val="4BD8591A"/>
    <w:multiLevelType w:val="hybridMultilevel"/>
    <w:lvl w:ilvl="0">
      <w:lvlJc w:val="left"/>
      <w:lvlText w:val="%1."/>
      <w:numFmt w:val="decimal"/>
      <w:start w:val="11"/>
    </w:lvl>
  </w:abstractNum>
  <w:abstractNum w:abstractNumId="95">
    <w:nsid w:val="78DF6A55"/>
    <w:multiLevelType w:val="hybridMultilevel"/>
    <w:lvl w:ilvl="0">
      <w:lvlJc w:val="left"/>
      <w:lvlText w:val="%1."/>
      <w:numFmt w:val="decimal"/>
      <w:start w:val="12"/>
    </w:lvl>
  </w:abstractNum>
  <w:abstractNum w:abstractNumId="96">
    <w:nsid w:val="39B7AAA2"/>
    <w:multiLevelType w:val="hybridMultilevel"/>
    <w:lvl w:ilvl="0">
      <w:lvlJc w:val="left"/>
      <w:lvlText w:val="%1."/>
      <w:numFmt w:val="decimal"/>
      <w:start w:val="13"/>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decimal"/>
      <w:start w:val="14"/>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decimal"/>
      <w:start w:val="1"/>
    </w:lvl>
  </w:abstractNum>
  <w:abstractNum w:abstractNumId="102">
    <w:nsid w:val="4C9B0904"/>
    <w:multiLevelType w:val="hybridMultilevel"/>
    <w:lvl w:ilvl="0">
      <w:lvlJc w:val="left"/>
      <w:lvlText w:val="%1."/>
      <w:numFmt w:val="decimal"/>
      <w:start w:val="2"/>
    </w:lvl>
  </w:abstractNum>
  <w:abstractNum w:abstractNumId="103">
    <w:nsid w:val="6AA7B75C"/>
    <w:multiLevelType w:val="hybridMultilevel"/>
    <w:lvl w:ilvl="0">
      <w:lvlJc w:val="left"/>
      <w:lvlText w:val="%1."/>
      <w:numFmt w:val="decimal"/>
      <w:start w:val="3"/>
    </w:lvl>
  </w:abstractNum>
  <w:abstractNum w:abstractNumId="104">
    <w:nsid w:val="1DF029D3"/>
    <w:multiLevelType w:val="hybridMultilevel"/>
    <w:lvl w:ilvl="0">
      <w:lvlJc w:val="left"/>
      <w:lvlText w:val="%1."/>
      <w:numFmt w:val="decimal"/>
      <w:start w:val="4"/>
    </w:lvl>
  </w:abstractNum>
  <w:abstractNum w:abstractNumId="105">
    <w:nsid w:val="5675FF36"/>
    <w:multiLevelType w:val="hybridMultilevel"/>
    <w:lvl w:ilvl="0">
      <w:lvlJc w:val="left"/>
      <w:lvlText w:val="%1."/>
      <w:numFmt w:val="decimal"/>
      <w:start w:val="9"/>
    </w:lvl>
  </w:abstractNum>
  <w:abstractNum w:abstractNumId="106">
    <w:nsid w:val="3DD15094"/>
    <w:multiLevelType w:val="hybridMultilevel"/>
    <w:lvl w:ilvl="0">
      <w:lvlJc w:val="left"/>
      <w:lvlText w:val="•"/>
      <w:numFmt w:val="bullet"/>
      <w:start w:val="1"/>
    </w:lvl>
  </w:abstractNum>
  <w:abstractNum w:abstractNumId="107">
    <w:nsid w:val="3DB012B3"/>
    <w:multiLevelType w:val="hybridMultilevel"/>
    <w:lvl w:ilvl="0">
      <w:lvlJc w:val="left"/>
      <w:lvlText w:val="%1."/>
      <w:numFmt w:val="decimal"/>
      <w:start w:val="1"/>
    </w:lvl>
  </w:abstractNum>
  <w:abstractNum w:abstractNumId="108">
    <w:nsid w:val="2708C9AF"/>
    <w:multiLevelType w:val="hybridMultilevel"/>
    <w:lvl w:ilvl="0">
      <w:lvlJc w:val="left"/>
      <w:lvlText w:val="%1."/>
      <w:numFmt w:val="decimal"/>
      <w:start w:val="2"/>
    </w:lvl>
  </w:abstractNum>
  <w:abstractNum w:abstractNumId="109">
    <w:nsid w:val="5B25ACE2"/>
    <w:multiLevelType w:val="hybridMultilevel"/>
    <w:lvl w:ilvl="0">
      <w:lvlJc w:val="left"/>
      <w:lvlText w:val="%1."/>
      <w:numFmt w:val="decimal"/>
      <w:start w:val="3"/>
    </w:lvl>
  </w:abstractNum>
  <w:abstractNum w:abstractNumId="110">
    <w:nsid w:val="175DFCF0"/>
    <w:multiLevelType w:val="hybridMultilevel"/>
    <w:lvl w:ilvl="0">
      <w:lvlJc w:val="left"/>
      <w:lvlText w:val="%1."/>
      <w:numFmt w:val="decimal"/>
      <w:start w:val="4"/>
    </w:lvl>
  </w:abstractNum>
  <w:abstractNum w:abstractNumId="111">
    <w:nsid w:val="4F97E3E4"/>
    <w:multiLevelType w:val="hybridMultilevel"/>
    <w:lvl w:ilvl="0">
      <w:lvlJc w:val="left"/>
      <w:lvlText w:val="(%1)"/>
      <w:numFmt w:val="lowerLetter"/>
      <w:start w:val="1"/>
    </w:lvl>
  </w:abstractNum>
  <w:abstractNum w:abstractNumId="112">
    <w:nsid w:val="53B0A9E"/>
    <w:multiLevelType w:val="hybridMultilevel"/>
    <w:lvl w:ilvl="0">
      <w:lvlJc w:val="left"/>
      <w:lvlText w:val="%1."/>
      <w:numFmt w:val="decimal"/>
      <w:start w:val="5"/>
    </w:lvl>
  </w:abstractNum>
  <w:abstractNum w:abstractNumId="113">
    <w:nsid w:val="34FD6B4F"/>
    <w:multiLevelType w:val="hybridMultilevel"/>
    <w:lvl w:ilvl="0">
      <w:lvlJc w:val="left"/>
      <w:lvlText w:val="%1."/>
      <w:numFmt w:val="decimal"/>
      <w:start w:val="6"/>
    </w:lvl>
  </w:abstractNum>
  <w:abstractNum w:abstractNumId="114">
    <w:nsid w:val="5915FF32"/>
    <w:multiLevelType w:val="hybridMultilevel"/>
    <w:lvl w:ilvl="0">
      <w:lvlJc w:val="left"/>
      <w:lvlText w:val="%1."/>
      <w:numFmt w:val="decimal"/>
      <w:start w:val="7"/>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lowerLetter"/>
      <w:start w:val="1"/>
    </w:lvl>
  </w:abstractNum>
  <w:abstractNum w:abstractNumId="117">
    <w:nsid w:val="2C6E4AFD"/>
    <w:multiLevelType w:val="hybridMultilevel"/>
    <w:lvl w:ilvl="0">
      <w:lvlJc w:val="left"/>
      <w:lvlText w:val="%1."/>
      <w:numFmt w:val="decimal"/>
      <w:start w:val="8"/>
    </w:lvl>
  </w:abstractNum>
  <w:abstractNum w:abstractNumId="118">
    <w:nsid w:val="17A1B582"/>
    <w:multiLevelType w:val="hybridMultilevel"/>
    <w:lvl w:ilvl="0">
      <w:lvlJc w:val="left"/>
      <w:lvlText w:val="%1."/>
      <w:numFmt w:val="decimal"/>
      <w:start w:val="9"/>
    </w:lvl>
  </w:abstractNum>
  <w:abstractNum w:abstractNumId="119">
    <w:nsid w:val="4DF72E4E"/>
    <w:multiLevelType w:val="hybridMultilevel"/>
    <w:lvl w:ilvl="0">
      <w:lvlJc w:val="left"/>
      <w:lvlText w:val="(%1)"/>
      <w:numFmt w:val="lowerLetter"/>
      <w:start w:val="1"/>
    </w:lvl>
    <w:lvl w:ilvl="1">
      <w:lvlJc w:val="left"/>
      <w:lvlText w:val="(%2)"/>
      <w:numFmt w:val="lowerLetter"/>
      <w:start w:val="9"/>
    </w:lvl>
  </w:abstractNum>
  <w:abstractNum w:abstractNumId="120">
    <w:nsid w:val="5046B5A9"/>
    <w:multiLevelType w:val="hybridMultilevel"/>
    <w:lvl w:ilvl="0">
      <w:lvlJc w:val="left"/>
      <w:lvlText w:val="(%1)"/>
      <w:numFmt w:val="lowerRoman"/>
      <w:start w:val="2"/>
    </w:lvl>
  </w:abstractNum>
  <w:abstractNum w:abstractNumId="121">
    <w:nsid w:val="5D888A08"/>
    <w:multiLevelType w:val="hybridMultilevel"/>
    <w:lvl w:ilvl="0">
      <w:lvlJc w:val="left"/>
      <w:lvlText w:val="%1"/>
      <w:numFmt w:val="decimal"/>
      <w:start w:val="1"/>
    </w:lvl>
    <w:lvl w:ilvl="1">
      <w:lvlJc w:val="left"/>
      <w:lvlText w:val="(%2)"/>
      <w:numFmt w:val="lowerLetter"/>
      <w:start w:val="2"/>
    </w:lvl>
  </w:abstractNum>
  <w:abstractNum w:abstractNumId="122">
    <w:nsid w:val="2A082C70"/>
    <w:multiLevelType w:val="hybridMultilevel"/>
    <w:lvl w:ilvl="0">
      <w:lvlJc w:val="left"/>
      <w:lvlText w:val="%1."/>
      <w:numFmt w:val="decimal"/>
      <w:start w:val="10"/>
    </w:lvl>
    <w:lvl w:ilvl="1">
      <w:lvlJc w:val="left"/>
      <w:lvlText w:val="%2"/>
      <w:numFmt w:val="lowerLetter"/>
      <w:start w:val="1"/>
    </w:lvl>
  </w:abstractNum>
  <w:abstractNum w:abstractNumId="123">
    <w:nsid w:val="5EC6AFD4"/>
    <w:multiLevelType w:val="hybridMultilevel"/>
    <w:lvl w:ilvl="0">
      <w:lvlJc w:val="left"/>
      <w:lvlText w:val="%1."/>
      <w:numFmt w:val="decimal"/>
      <w:start w:val="11"/>
    </w:lvl>
  </w:abstractNum>
  <w:abstractNum w:abstractNumId="124">
    <w:nsid w:val="19E21BB2"/>
    <w:multiLevelType w:val="hybridMultilevel"/>
    <w:lvl w:ilvl="0">
      <w:lvlJc w:val="left"/>
      <w:lvlText w:val="%1."/>
      <w:numFmt w:val="decimal"/>
      <w:start w:val="12"/>
    </w:lvl>
  </w:abstractNum>
  <w:abstractNum w:abstractNumId="125">
    <w:nsid w:val="75E0858A"/>
    <w:multiLevelType w:val="hybridMultilevel"/>
    <w:lvl w:ilvl="0">
      <w:lvlJc w:val="left"/>
      <w:lvlText w:val="%1."/>
      <w:numFmt w:val="decimal"/>
      <w:start w:val="13"/>
    </w:lvl>
  </w:abstractNum>
  <w:abstractNum w:abstractNumId="126">
    <w:nsid w:val="57A61A29"/>
    <w:multiLevelType w:val="hybridMultilevel"/>
    <w:lvl w:ilvl="0">
      <w:lvlJc w:val="left"/>
      <w:lvlText w:val="(%1)"/>
      <w:numFmt w:val="lowerLetter"/>
      <w:start w:val="1"/>
    </w:lvl>
    <w:lvl w:ilvl="1">
      <w:lvlJc w:val="left"/>
      <w:lvlText w:val="%2."/>
      <w:numFmt w:val="decimal"/>
      <w:start w:val="14"/>
    </w:lvl>
  </w:abstractNum>
  <w:abstractNum w:abstractNumId="127">
    <w:nsid w:val="5399C654"/>
    <w:multiLevelType w:val="hybridMultilevel"/>
    <w:lvl w:ilvl="0">
      <w:lvlJc w:val="left"/>
      <w:lvlText w:val="(%1)"/>
      <w:numFmt w:val="lowerLetter"/>
      <w:start w:val="1"/>
    </w:lvl>
  </w:abstractNum>
  <w:abstractNum w:abstractNumId="128">
    <w:nsid w:val="20EE1348"/>
    <w:multiLevelType w:val="hybridMultilevel"/>
    <w:lvl w:ilvl="0">
      <w:lvlJc w:val="left"/>
      <w:lvlText w:val="(%1)"/>
      <w:numFmt w:val="lowerLetter"/>
      <w:start w:val="2"/>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decimal"/>
      <w:start w:val="1"/>
    </w:lvl>
  </w:abstractNum>
  <w:abstractNum w:abstractNumId="132">
    <w:nsid w:val="704E1DD5"/>
    <w:multiLevelType w:val="hybridMultilevel"/>
    <w:lvl w:ilvl="0">
      <w:lvlJc w:val="left"/>
      <w:lvlText w:val="%1."/>
      <w:numFmt w:val="decimal"/>
      <w:start w:val="3"/>
    </w:lvl>
  </w:abstractNum>
  <w:abstractNum w:abstractNumId="133">
    <w:nsid w:val="57D2F10E"/>
    <w:multiLevelType w:val="hybridMultilevel"/>
    <w:lvl w:ilvl="0">
      <w:lvlJc w:val="left"/>
      <w:lvlText w:val="%1."/>
      <w:numFmt w:val="decimal"/>
      <w:start w:val="1"/>
    </w:lvl>
    <w:lvl w:ilvl="1">
      <w:lvlJc w:val="left"/>
      <w:lvlText w:val="%2."/>
      <w:numFmt w:val="lowerLetter"/>
      <w:start w:val="1"/>
    </w:lvl>
  </w:abstractNum>
  <w:abstractNum w:abstractNumId="134">
    <w:nsid w:val="BFFAE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jpe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jpeg"/><Relationship Id="rId79" Type="http://schemas.openxmlformats.org/officeDocument/2006/relationships/image" Target="media/image69.jpe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55" Type="http://schemas.openxmlformats.org/officeDocument/2006/relationships/hyperlink" Target="https://www.sec.gov/Archives/edgar/data/1591698/000159169824000222/pcty-202408298xkxexhibit21.htm" TargetMode="External"/><Relationship Id="rId56" Type="http://schemas.openxmlformats.org/officeDocument/2006/relationships/hyperlink" Target="https://www.sec.gov/Archives/edgar/data/1591698/000159169823000278/pcty-20231130xexhibit31.htm" TargetMode="External"/><Relationship Id="rId57" Type="http://schemas.openxmlformats.org/officeDocument/2006/relationships/hyperlink" Target="https://www.sec.gov/Archives/edgar/data/1591698/000159169823000278/pcty-20231130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2024-10-31T09:11:41Z</dcterms:created>
  <dcterms:modified xsi:type="dcterms:W3CDTF">2024-10-31T09:11:41Z</dcterms:modified>
</cp:coreProperties>
</file>