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ind w:left="40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46-4066644</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3850 N. Wilke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Arlington Heights, Illinois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60004</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(847) 463-3200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firstLine="441"/>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00" w:firstLine="441"/>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00"/>
          </w:cols>
          <w:pgMar w:left="240" w:top="233" w:right="259" w:bottom="0" w:gutter="0" w:footer="0" w:header="0"/>
        </w:sectPr>
      </w:pPr>
    </w:p>
    <w:p>
      <w:pPr>
        <w:spacing w:after="0" w:line="222"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20" w:space="720"/>
            <w:col w:w="3460"/>
          </w:cols>
          <w:pgMar w:left="240" w:top="233" w:right="25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00" w:space="720"/>
            <w:col w:w="3880"/>
          </w:cols>
          <w:pgMar w:left="240" w:top="233" w:right="259" w:bottom="0" w:gutter="0" w:footer="0" w:header="0"/>
          <w:type w:val="continuous"/>
        </w:sectPr>
      </w:pPr>
    </w:p>
    <w:p>
      <w:pPr>
        <w:spacing w:after="0" w:line="3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firstLine="441"/>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50,835,160 shares of Common Stock, $0.001 par value per share, as of October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40" w:type="dxa"/>
            <w:vAlign w:val="bottom"/>
            <w:gridSpan w:val="10"/>
          </w:tcPr>
          <w:p>
            <w:pPr>
              <w:jc w:val="center"/>
              <w:ind w:right="280"/>
              <w:spacing w:after="0"/>
              <w:rPr>
                <w:sz w:val="20"/>
                <w:szCs w:val="20"/>
                <w:color w:val="auto"/>
              </w:rPr>
            </w:pPr>
            <w:r>
              <w:rPr>
                <w:rFonts w:ascii="Arial" w:cs="Arial" w:eastAsia="Arial" w:hAnsi="Arial"/>
                <w:sz w:val="18"/>
                <w:szCs w:val="18"/>
                <w:b w:val="1"/>
                <w:bCs w:val="1"/>
                <w:color w:val="auto"/>
                <w:w w:val="91"/>
              </w:rPr>
              <w:t>For the Quarterly Period Ended September 30, 2015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6"/>
          </w:tcPr>
          <w:p>
            <w:pPr>
              <w:jc w:val="center"/>
              <w:ind w:right="100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8"/>
            <w:vMerge w:val="restart"/>
          </w:tcPr>
          <w:p>
            <w:pPr>
              <w:jc w:val="center"/>
              <w:ind w:right="800"/>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 FINANCIAL INFORMATION</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428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2880" w:type="dxa"/>
            <w:vAlign w:val="bottom"/>
            <w:tcBorders>
              <w:top w:val="single" w:sz="8" w:color="0000EE"/>
            </w:tcBorders>
            <w:gridSpan w:val="6"/>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w:t>
              </w:r>
            </w:hyperlink>
          </w:p>
        </w:tc>
        <w:tc>
          <w:tcPr>
            <w:tcW w:w="51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6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w:t>
              </w:r>
            </w:hyperlink>
          </w:p>
        </w:tc>
        <w:tc>
          <w:tcPr>
            <w:tcW w:w="44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 of Changes in Stockholders’ Equity</w:t>
              </w:r>
            </w:hyperlink>
          </w:p>
        </w:tc>
        <w:tc>
          <w:tcPr>
            <w:tcW w:w="28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6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Cash Flows</w:t>
              </w:r>
            </w:hyperlink>
          </w:p>
        </w:tc>
        <w:tc>
          <w:tcPr>
            <w:tcW w:w="434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Unaudited Consolidated Financial Statements</w:t>
              </w:r>
            </w:hyperlink>
          </w:p>
        </w:tc>
        <w:tc>
          <w:tcPr>
            <w:tcW w:w="380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9960" w:type="dxa"/>
            <w:vAlign w:val="bottom"/>
            <w:gridSpan w:val="2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68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3. QUANTITATIVE AND QUALITATIVE DISCLOSURES ABOUT MARKET RISK</w:t>
              </w:r>
            </w:hyperlink>
          </w:p>
        </w:tc>
        <w:tc>
          <w:tcPr>
            <w:tcW w:w="1200" w:type="dxa"/>
            <w:vAlign w:val="bottom"/>
            <w:tcBorders>
              <w:top w:val="single" w:sz="8" w:color="0000EE"/>
            </w:tcBorders>
            <w:gridSpan w:val="3"/>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02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 CONTROLS AND PROCEDURES</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EE"/>
            </w:tcBorders>
            <w:gridSpan w:val="4"/>
          </w:tcPr>
          <w:p>
            <w:pPr>
              <w:jc w:val="cente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PART II. OTHER INFORMATION</w:t>
              </w:r>
            </w:hyperlink>
          </w:p>
        </w:tc>
        <w:tc>
          <w:tcPr>
            <w:tcW w:w="10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2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 LEGAL PROCEEDINGS</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1A. RISK FACTORS</w:t>
              </w:r>
            </w:hyperlink>
          </w:p>
        </w:tc>
        <w:tc>
          <w:tcPr>
            <w:tcW w:w="480" w:type="dxa"/>
            <w:vAlign w:val="bottom"/>
            <w:tcBorders>
              <w:top w:val="single" w:sz="8" w:color="0000EE"/>
            </w:tcBorders>
          </w:tcPr>
          <w:p>
            <w:pPr>
              <w:spacing w:after="0"/>
              <w:rPr>
                <w:sz w:val="24"/>
                <w:szCs w:val="24"/>
                <w:color w:val="auto"/>
              </w:rPr>
            </w:pPr>
          </w:p>
        </w:tc>
        <w:tc>
          <w:tcPr>
            <w:tcW w:w="548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802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UNREGISTERED SALES OF EQUITY SECURITIES AND USE OF PROCEEDS</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38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 DEFAULTS UPON SENIOR SECURITIES</w:t>
              </w:r>
            </w:hyperlink>
          </w:p>
        </w:tc>
        <w:tc>
          <w:tcPr>
            <w:tcW w:w="2880" w:type="dxa"/>
            <w:vAlign w:val="bottom"/>
            <w:tcBorders>
              <w:top w:val="single" w:sz="8" w:color="0000EE"/>
            </w:tcBorders>
            <w:gridSpan w:val="5"/>
          </w:tcPr>
          <w:p>
            <w:pPr>
              <w:spacing w:after="0"/>
              <w:rPr>
                <w:sz w:val="24"/>
                <w:szCs w:val="24"/>
                <w:color w:val="auto"/>
              </w:rPr>
            </w:pPr>
          </w:p>
        </w:tc>
        <w:tc>
          <w:tcPr>
            <w:tcW w:w="12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31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ITEM 4. MINE SAFETY DISCLOSURES</w:t>
              </w:r>
            </w:hyperlink>
          </w:p>
        </w:tc>
        <w:tc>
          <w:tcPr>
            <w:tcW w:w="4900" w:type="dxa"/>
            <w:vAlign w:val="bottom"/>
            <w:gridSpan w:val="13"/>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ITEM 5. OTHER INFORMATION</w:t>
              </w:r>
            </w:hyperlink>
          </w:p>
        </w:tc>
        <w:tc>
          <w:tcPr>
            <w:tcW w:w="546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5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6. EXHIBITS</w:t>
              </w:r>
            </w:hyperlink>
          </w:p>
        </w:tc>
        <w:tc>
          <w:tcPr>
            <w:tcW w:w="652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02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53"/>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40" w:type="dxa"/>
            <w:vAlign w:val="bottom"/>
            <w:gridSpan w:val="17"/>
          </w:tcPr>
          <w:p>
            <w:pPr>
              <w:jc w:val="center"/>
              <w:ind w:left="349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00" w:type="dxa"/>
            <w:vAlign w:val="bottom"/>
            <w:tcBorders>
              <w:bottom w:val="single" w:sz="8" w:color="808080"/>
            </w:tcBorders>
            <w:gridSpan w:val="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2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gridSpan w:val="5"/>
          </w:tcPr>
          <w:p>
            <w:pPr>
              <w:jc w:val="center"/>
              <w:ind w:right="174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gridSpan w:val="22"/>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rPr>
              <w:t>PAYLOCITY HOLDING CORPORATION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60" w:type="dxa"/>
            <w:vAlign w:val="bottom"/>
            <w:gridSpan w:val="9"/>
          </w:tcPr>
          <w:p>
            <w:pPr>
              <w:jc w:val="center"/>
              <w:ind w:right="46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gridSpan w:val="7"/>
          </w:tcPr>
          <w:p>
            <w:pPr>
              <w:jc w:val="center"/>
              <w:ind w:right="88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81,258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4,416</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ind w:left="200"/>
              <w:spacing w:after="0"/>
              <w:rPr>
                <w:sz w:val="20"/>
                <w:szCs w:val="20"/>
                <w:color w:val="auto"/>
              </w:rPr>
            </w:pPr>
            <w:r>
              <w:rPr>
                <w:rFonts w:ascii="Arial" w:cs="Arial" w:eastAsia="Arial" w:hAnsi="Arial"/>
                <w:sz w:val="18"/>
                <w:szCs w:val="18"/>
                <w:color w:val="auto"/>
              </w:rPr>
              <w:t>Deferred income tax assets,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ind w:left="360"/>
              <w:spacing w:after="0"/>
              <w:rPr>
                <w:sz w:val="20"/>
                <w:szCs w:val="20"/>
                <w:color w:val="auto"/>
              </w:rPr>
            </w:pPr>
            <w:r>
              <w:rPr>
                <w:rFonts w:ascii="Arial" w:cs="Arial" w:eastAsia="Arial" w:hAnsi="Arial"/>
                <w:sz w:val="18"/>
                <w:szCs w:val="18"/>
                <w:color w:val="auto"/>
              </w:rPr>
              <w:t>Total current assets before funds held for clients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87,564</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85,459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ind w:left="200"/>
              <w:spacing w:after="0"/>
              <w:rPr>
                <w:sz w:val="20"/>
                <w:szCs w:val="20"/>
                <w:color w:val="auto"/>
              </w:rPr>
            </w:pPr>
            <w:r>
              <w:rPr>
                <w:rFonts w:ascii="Arial" w:cs="Arial" w:eastAsia="Arial" w:hAnsi="Arial"/>
                <w:sz w:val="18"/>
                <w:szCs w:val="18"/>
                <w:color w:val="auto"/>
              </w:rPr>
              <w:t>Funds held for clients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591,219</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678,783</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628,071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spacing w:after="0"/>
              <w:rPr>
                <w:sz w:val="20"/>
                <w:szCs w:val="20"/>
                <w:color w:val="auto"/>
              </w:rPr>
            </w:pPr>
            <w:r>
              <w:rPr>
                <w:rFonts w:ascii="Arial" w:cs="Arial" w:eastAsia="Arial" w:hAnsi="Arial"/>
                <w:sz w:val="18"/>
                <w:szCs w:val="18"/>
                <w:color w:val="auto"/>
              </w:rPr>
              <w:t>Long-term prepaid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7,357</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16,061</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17,195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11,941</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6,003</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23"/>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720,548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671,963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-4453890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-4453890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1,327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 related to acquisitions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16,430</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18,268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591,219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609,487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2,607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612,968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2015 and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2015</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$0.001 par value, 155,000 shares authorized at June 30, 2015 and September 30, 2015;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60"/>
              <w:spacing w:after="0"/>
              <w:rPr>
                <w:sz w:val="20"/>
                <w:szCs w:val="20"/>
                <w:color w:val="auto"/>
              </w:rPr>
            </w:pPr>
            <w:r>
              <w:rPr>
                <w:rFonts w:ascii="Arial" w:cs="Arial" w:eastAsia="Arial" w:hAnsi="Arial"/>
                <w:sz w:val="18"/>
                <w:szCs w:val="18"/>
                <w:color w:val="auto"/>
                <w:w w:val="95"/>
              </w:rPr>
              <w:t>50,703 shares issued and outstanding at June 30, 2015 and 50,833 shares issued and outstanding at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60"/>
              <w:spacing w:after="0"/>
              <w:rPr>
                <w:sz w:val="20"/>
                <w:szCs w:val="20"/>
                <w:color w:val="auto"/>
              </w:rPr>
            </w:pPr>
            <w:r>
              <w:rPr>
                <w:rFonts w:ascii="Arial" w:cs="Arial" w:eastAsia="Arial" w:hAnsi="Arial"/>
                <w:sz w:val="18"/>
                <w:szCs w:val="18"/>
                <w:color w:val="auto"/>
              </w:rPr>
              <w:t>September 30, 2015</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155,672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(48,143)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720,548</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Recurring fees</w:t>
            </w:r>
          </w:p>
        </w:tc>
        <w:tc>
          <w:tcPr>
            <w:tcW w:w="3460" w:type="dxa"/>
            <w:vAlign w:val="bottom"/>
            <w:gridSpan w:val="2"/>
          </w:tcPr>
          <w:p>
            <w:pPr>
              <w:jc w:val="right"/>
              <w:ind w:right="67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29,142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on funds held for clients</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recurring revenues</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29,505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Implementation services and other</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revenues</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31,109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Recurring revenues</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10,057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Implementation services and other</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15,452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6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15,657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9,078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7,448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20,553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Operating loss</w:t>
            </w: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(4,896)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income</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520"/>
              <w:spacing w:after="0"/>
              <w:rPr>
                <w:sz w:val="20"/>
                <w:szCs w:val="20"/>
                <w:color w:val="auto"/>
              </w:rPr>
            </w:pPr>
            <w:r>
              <w:rPr>
                <w:rFonts w:ascii="Arial" w:cs="Arial" w:eastAsia="Arial" w:hAnsi="Arial"/>
                <w:sz w:val="18"/>
                <w:szCs w:val="18"/>
                <w:color w:val="auto"/>
              </w:rPr>
              <w:t>Loss before income taxes</w:t>
            </w: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(4,847)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60" w:type="dxa"/>
            <w:vAlign w:val="bottom"/>
            <w:gridSpan w:val="2"/>
            <w:shd w:val="clear" w:color="auto" w:fill="CCEEFF"/>
          </w:tcPr>
          <w:p>
            <w:pPr>
              <w:jc w:val="right"/>
              <w:ind w:right="67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(4,875)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Basic</w:t>
            </w:r>
          </w:p>
        </w:tc>
        <w:tc>
          <w:tcPr>
            <w:tcW w:w="260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0" w:type="dxa"/>
            <w:vAlign w:val="bottom"/>
            <w:tcBorders>
              <w:top w:val="single" w:sz="8" w:color="CCEEFF"/>
            </w:tcBorders>
            <w:vMerge w:val="restart"/>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shares used in computing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49,566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bottom w:val="single" w:sz="8" w:color="CCEEFF"/>
            </w:tcBorders>
            <w:gridSpan w:val="2"/>
            <w:shd w:val="clear" w:color="auto" w:fill="CCEEFF"/>
          </w:tcPr>
          <w:p>
            <w:pPr>
              <w:ind w:left="200"/>
              <w:spacing w:after="0" w:line="190" w:lineRule="exact"/>
              <w:rPr>
                <w:sz w:val="20"/>
                <w:szCs w:val="20"/>
                <w:color w:val="auto"/>
              </w:rPr>
            </w:pPr>
            <w:r>
              <w:rPr>
                <w:rFonts w:ascii="Arial" w:cs="Arial" w:eastAsia="Arial" w:hAnsi="Arial"/>
                <w:sz w:val="18"/>
                <w:szCs w:val="18"/>
                <w:color w:val="auto"/>
              </w:rPr>
              <w:t>Diluted</w:t>
            </w:r>
          </w:p>
        </w:tc>
        <w:tc>
          <w:tcPr>
            <w:tcW w:w="17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49,566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60" w:type="dxa"/>
            <w:vAlign w:val="bottom"/>
            <w:gridSpan w:val="11"/>
          </w:tcPr>
          <w:p>
            <w:pPr>
              <w:jc w:val="cente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40" w:type="dxa"/>
            <w:vAlign w:val="bottom"/>
            <w:gridSpan w:val="3"/>
          </w:tcPr>
          <w:p>
            <w:pPr>
              <w:jc w:val="center"/>
              <w:ind w:left="263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720" w:type="dxa"/>
            <w:vAlign w:val="bottom"/>
            <w:gridSpan w:val="8"/>
          </w:tcPr>
          <w:p>
            <w:pPr>
              <w:jc w:val="center"/>
              <w:ind w:left="1070"/>
              <w:spacing w:after="0"/>
              <w:rPr>
                <w:sz w:val="20"/>
                <w:szCs w:val="20"/>
                <w:color w:val="auto"/>
              </w:rPr>
            </w:pPr>
            <w:r>
              <w:rPr>
                <w:rFonts w:ascii="Arial" w:cs="Arial" w:eastAsia="Arial" w:hAnsi="Arial"/>
                <w:sz w:val="18"/>
                <w:szCs w:val="18"/>
                <w:b w:val="1"/>
                <w:bCs w:val="1"/>
                <w:color w:val="auto"/>
              </w:rPr>
              <w:t>PAYLOCITY HOLDING CORPORATION</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Unaudited Consolidated Statement of Changes in 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Stockholders’ Equity</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80" w:type="dxa"/>
            <w:vAlign w:val="bottom"/>
            <w:gridSpan w:val="5"/>
            <w:vMerge w:val="restart"/>
          </w:tcPr>
          <w:p>
            <w:pPr>
              <w:ind w:left="8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June 30, 2015</w:t>
            </w:r>
          </w:p>
        </w:tc>
        <w:tc>
          <w:tcPr>
            <w:tcW w:w="17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(48,143)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w w:val="95"/>
              </w:rPr>
              <w:t>Stock-based compensation expense</w:t>
            </w:r>
          </w:p>
        </w:tc>
        <w:tc>
          <w:tcPr>
            <w:tcW w:w="17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20" w:type="dxa"/>
            <w:vAlign w:val="bottom"/>
            <w:gridSpan w:val="5"/>
          </w:tcPr>
          <w:p>
            <w:pPr>
              <w:spacing w:after="0" w:line="201" w:lineRule="exact"/>
              <w:rPr>
                <w:sz w:val="20"/>
                <w:szCs w:val="20"/>
                <w:color w:val="auto"/>
              </w:rPr>
            </w:pPr>
            <w:r>
              <w:rPr>
                <w:rFonts w:ascii="Arial" w:cs="Arial" w:eastAsia="Arial" w:hAnsi="Arial"/>
                <w:sz w:val="18"/>
                <w:szCs w:val="18"/>
                <w:color w:val="auto"/>
              </w:rPr>
              <w:t>Issuance of common stock upon vesting of restricted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 price related to</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3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7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2015</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157,919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(51,578</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-2753995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-2753995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disposal of equipment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Prepaid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Trade accounts payable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Payments for acquisitions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funds held for clients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client funds obligation</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Payments on initial public offering costs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Equivalents—End of Period</w:t>
            </w:r>
          </w:p>
        </w:tc>
        <w:tc>
          <w:tcPr>
            <w:tcW w:w="1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72,843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Build-out allowance received from landlord</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accrued but not paid</w:t>
            </w:r>
          </w:p>
        </w:tc>
        <w:tc>
          <w:tcPr>
            <w:tcW w:w="2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2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2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September 2015, the Company completed a secondary offering in which its existing shareholders sold 3,740 shares of common stock at a public offering price of $29.75 per share. The Company did not receive any proceeds from the sale of common stock by the existing shareholders.</w:t>
      </w:r>
    </w:p>
    <w:p>
      <w:pPr>
        <w:spacing w:after="0" w:line="14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October 2015, the underwriters for the Company’s secondary offering exercised their option to purchase 561 additional shares from certain shareholders of the Company as described in the final prospectus filed with the SEC on September 25, 2015. The Company did not receive any proceeds from the sale of common stock by the existing shareholders.</w:t>
      </w:r>
    </w:p>
    <w:p>
      <w:pPr>
        <w:spacing w:after="0" w:line="177" w:lineRule="exact"/>
        <w:rPr>
          <w:sz w:val="20"/>
          <w:szCs w:val="20"/>
          <w:color w:val="auto"/>
        </w:rPr>
      </w:pPr>
    </w:p>
    <w:p>
      <w:pPr>
        <w:ind w:left="300" w:hanging="251"/>
        <w:spacing w:after="0"/>
        <w:tabs>
          <w:tab w:leader="none" w:pos="3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8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results of operations, financial position, changes in stockholders’ equity and cash flows. The results of operations for the three-months ended September 30, 2015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2015 included in the Company’s Annual Report on Form 10-K filed with the SEC on August 14, 2015.</w:t>
      </w:r>
    </w:p>
    <w:p>
      <w:pPr>
        <w:spacing w:after="0" w:line="16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Differences in the normal relationship between the income tax expense and pre-tax loss materially result from the existence of a valuation allowance recorded against the preponderance of the net deferred tax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ectPr>
          <w:pgSz w:w="11900" w:h="16838" w:orient="portrait"/>
          <w:cols w:equalWidth="0" w:num="1">
            <w:col w:w="11420"/>
          </w:cols>
          <w:pgMar w:left="240" w:top="140" w:right="239" w:bottom="0" w:gutter="0" w:footer="0" w:header="0"/>
        </w:sectPr>
      </w:pPr>
    </w:p>
    <w:bookmarkStart w:id="5" w:name="page6"/>
    <w:bookmarkEnd w:id="5"/>
    <w:p>
      <w:pPr>
        <w:spacing w:after="0" w:line="4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or “cumulative effect” transition method. The original standard was effective for fiscal years beginning after December 15, 2016. In July 2015, the FASB approved a one-year deferral of this standard,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1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ind w:left="660"/>
              <w:spacing w:after="0"/>
              <w:rPr>
                <w:sz w:val="20"/>
                <w:szCs w:val="20"/>
                <w:color w:val="auto"/>
              </w:rPr>
            </w:pPr>
            <w:r>
              <w:rPr>
                <w:rFonts w:ascii="Arial" w:cs="Arial" w:eastAsia="Arial" w:hAnsi="Arial"/>
                <w:sz w:val="18"/>
                <w:szCs w:val="18"/>
                <w:color w:val="auto"/>
              </w:rPr>
              <w:t>The following tables provide details of selected consolidated balance sheet items: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(17,376)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$593 and $942 for the three months ended September 30, 2014 and 2015,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6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13,029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5,435</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Time clocks rented by clients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18"/>
                <w:szCs w:val="18"/>
                <w:color w:val="auto"/>
              </w:rPr>
            </w:pPr>
          </w:p>
        </w:tc>
      </w:tr>
      <w:tr>
        <w:trPr>
          <w:trHeight w:val="210"/>
        </w:trPr>
        <w:tc>
          <w:tcPr>
            <w:tcW w:w="6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(16,333)</w:t>
            </w:r>
          </w:p>
        </w:tc>
      </w:tr>
      <w:tr>
        <w:trPr>
          <w:trHeight w:val="210"/>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amounted to $1,148 and $1,397 for the three months ended September 30, 2014 and 2015,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June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55"/>
              <w:spacing w:after="0"/>
              <w:rPr>
                <w:sz w:val="20"/>
                <w:szCs w:val="20"/>
                <w:color w:val="auto"/>
              </w:rPr>
            </w:pPr>
            <w:r>
              <w:rPr>
                <w:rFonts w:ascii="Arial" w:cs="Arial" w:eastAsia="Arial" w:hAnsi="Arial"/>
                <w:sz w:val="14"/>
                <w:szCs w:val="14"/>
                <w:b w:val="1"/>
                <w:bCs w:val="1"/>
                <w:color w:val="auto"/>
              </w:rPr>
              <w:t>30, 2015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7"/>
              <w:spacing w:after="0"/>
              <w:rPr>
                <w:sz w:val="20"/>
                <w:szCs w:val="20"/>
                <w:color w:val="auto"/>
              </w:rPr>
            </w:pPr>
            <w:r>
              <w:rPr>
                <w:rFonts w:ascii="Arial" w:cs="Arial" w:eastAsia="Arial" w:hAnsi="Arial"/>
                <w:sz w:val="14"/>
                <w:szCs w:val="14"/>
                <w:b w:val="1"/>
                <w:bCs w:val="1"/>
                <w:color w:val="auto"/>
              </w:rPr>
              <w:t>30, 2015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9 years</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Non-solicitation agreements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2-3 years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900" w:type="dxa"/>
            <w:vAlign w:val="bottom"/>
            <w:gridSpan w:val="19"/>
          </w:tcPr>
          <w:p>
            <w:pPr>
              <w:ind w:left="660"/>
              <w:spacing w:after="0"/>
              <w:rPr>
                <w:sz w:val="20"/>
                <w:szCs w:val="20"/>
                <w:color w:val="auto"/>
              </w:rPr>
            </w:pPr>
            <w:r>
              <w:rPr>
                <w:rFonts w:ascii="Arial" w:cs="Arial" w:eastAsia="Arial" w:hAnsi="Arial"/>
                <w:sz w:val="18"/>
                <w:szCs w:val="18"/>
                <w:color w:val="auto"/>
                <w:w w:val="90"/>
              </w:rPr>
              <w:t xml:space="preserve">Amortization expense for acquired intangible assets was $190 and $380 for the three months </w:t>
            </w:r>
            <w:r>
              <w:rPr>
                <w:rFonts w:ascii="Arial" w:cs="Arial" w:eastAsia="Arial" w:hAnsi="Arial"/>
                <w:sz w:val="17"/>
                <w:szCs w:val="17"/>
                <w:color w:val="auto"/>
                <w:w w:val="90"/>
              </w:rPr>
              <w:t>ended September 30, 2014 and 2015, respectively.</w:t>
            </w: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The components of accrued expenses were as follows: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00"/>
          </w:cols>
          <w:pgMar w:left="240" w:top="341" w:right="259" w:bottom="0" w:gutter="0" w:footer="0" w:header="0"/>
        </w:sectPr>
      </w:pPr>
    </w:p>
    <w:bookmarkStart w:id="6" w:name="page7"/>
    <w:bookmarkEnd w:id="6"/>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Current portion of deferred rent</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accrued expenses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The Company applies the fair value measurement and disclosure provisions of ASC 820, Fair Value Measurements and Disclosures, and ASU 2011-04, </w:t>
      </w:r>
      <w:r>
        <w:rPr>
          <w:rFonts w:ascii="Arial" w:cs="Arial" w:eastAsia="Arial" w:hAnsi="Arial"/>
          <w:sz w:val="16"/>
          <w:szCs w:val="16"/>
          <w:i w:val="1"/>
          <w:iCs w:val="1"/>
          <w:color w:val="auto"/>
        </w:rPr>
        <w:t>Fair Value Measurement (Topic 820): Amendments to Achieve Common Fair Value Measurement and Disclosure Requirements in U.S. GAAP and IFRS</w:t>
      </w:r>
      <w:r>
        <w:rPr>
          <w:rFonts w:ascii="Arial" w:cs="Arial" w:eastAsia="Arial" w:hAnsi="Arial"/>
          <w:sz w:val="16"/>
          <w:szCs w:val="16"/>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58" w:lineRule="exact"/>
        <w:rPr>
          <w:sz w:val="20"/>
          <w:szCs w:val="20"/>
          <w:color w:val="auto"/>
        </w:rPr>
      </w:pPr>
    </w:p>
    <w:p>
      <w:pPr>
        <w:ind w:left="860" w:hanging="9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760" w:right="520" w:firstLine="4"/>
        <w:spacing w:after="0" w:line="277" w:lineRule="auto"/>
        <w:tabs>
          <w:tab w:leader="none" w:pos="85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firstLine="4"/>
        <w:spacing w:after="0" w:line="342" w:lineRule="auto"/>
        <w:tabs>
          <w:tab w:leader="none" w:pos="85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and accounts payable, to approximate the fair value of the respective assets and liabilities at June 30, 2015 and September 30, 2015 based upon the short-term nature of the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Benefit Plans</w:t>
      </w:r>
    </w:p>
    <w:p>
      <w:pPr>
        <w:spacing w:after="0" w:line="22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September 30, 2015, the Company had 8,670 shares allocated to the plans, of which 4,961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 The following table summarizes changes during the quarter in the number of shares available for grant under our equity incentive plans: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r>
      <w:tr>
        <w:trPr>
          <w:trHeight w:val="171"/>
        </w:trPr>
        <w:tc>
          <w:tcPr>
            <w:tcW w:w="65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of Shares</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RSUs granted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Shares withheld in settlement of taxes and exercise price</w:t>
            </w: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Shares removed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September 30,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Shares removed represents forfeitures of shares and shares withheld in settlement of taxes and payment of exercise price related to grants made under the 2008 Plan. As noted above, no new awards will be issued under the 2008 Plan.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62" w:lineRule="exact"/>
        <w:rPr>
          <w:sz w:val="20"/>
          <w:szCs w:val="20"/>
          <w:color w:val="auto"/>
        </w:rPr>
      </w:pPr>
    </w:p>
    <w:p>
      <w:pPr>
        <w:jc w:val="center"/>
        <w:ind w:left="3680"/>
        <w:spacing w:after="0"/>
        <w:rPr>
          <w:sz w:val="20"/>
          <w:szCs w:val="20"/>
          <w:color w:val="auto"/>
        </w:rPr>
      </w:pPr>
      <w:r>
        <w:rPr>
          <w:rFonts w:ascii="Arial" w:cs="Arial" w:eastAsia="Arial" w:hAnsi="Arial"/>
          <w:sz w:val="14"/>
          <w:szCs w:val="14"/>
          <w:b w:val="1"/>
          <w:bCs w:val="1"/>
          <w:color w:val="auto"/>
        </w:rPr>
        <w:t>Three months ended</w:t>
      </w:r>
    </w:p>
    <w:p>
      <w:pPr>
        <w:jc w:val="center"/>
        <w:ind w:left="36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33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0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3,283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42"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2"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In addition, the Company capitalized $162 and $266 of stock compensation costs in its internal use software in the three months ended September 30, 2014 and 2015, respectively.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assumptions used for estimating the fair value of stock options granted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202"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Period ended</w:t>
      </w:r>
    </w:p>
    <w:p>
      <w:pPr>
        <w:ind w:left="83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10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8"/>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43.9%</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term (years)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6.25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6"/>
          </w:tcPr>
          <w:p>
            <w:pPr>
              <w:spacing w:after="0"/>
              <w:rPr>
                <w:sz w:val="20"/>
                <w:szCs w:val="20"/>
                <w:color w:val="auto"/>
              </w:rPr>
            </w:pPr>
            <w:r>
              <w:rPr>
                <w:rFonts w:ascii="Arial" w:cs="Arial" w:eastAsia="Arial" w:hAnsi="Arial"/>
                <w:sz w:val="18"/>
                <w:szCs w:val="18"/>
                <w:color w:val="auto"/>
                <w:w w:val="96"/>
              </w:rPr>
              <w:t>The table below presents stock option activity during the three months ended September 30, 2015: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0"/>
                <w:szCs w:val="10"/>
                <w:color w:val="auto"/>
              </w:rPr>
            </w:pPr>
          </w:p>
        </w:tc>
        <w:tc>
          <w:tcPr>
            <w:tcW w:w="134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3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exercise</w:t>
            </w:r>
          </w:p>
        </w:tc>
        <w:tc>
          <w:tcPr>
            <w:tcW w:w="180" w:type="dxa"/>
            <w:vAlign w:val="bottom"/>
          </w:tcPr>
          <w:p>
            <w:pPr>
              <w:spacing w:after="0"/>
              <w:rPr>
                <w:sz w:val="12"/>
                <w:szCs w:val="12"/>
                <w:color w:val="auto"/>
              </w:rPr>
            </w:pPr>
          </w:p>
        </w:tc>
        <w:tc>
          <w:tcPr>
            <w:tcW w:w="13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price</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4"/>
                <w:szCs w:val="14"/>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2015</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98,434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72,102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Options exercisable at September 30, 2015</w:t>
            </w: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tcBorders>
              <w:bottom w:val="single" w:sz="8" w:color="CCEEFF"/>
            </w:tcBorders>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1,978</w:t>
            </w:r>
          </w:p>
        </w:tc>
        <w:tc>
          <w:tcPr>
            <w:tcW w:w="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6.62</w:t>
            </w: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45,436</w:t>
            </w:r>
          </w:p>
        </w:tc>
        <w:tc>
          <w:tcPr>
            <w:tcW w:w="1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 at September 30, 2015</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3,837</w:t>
            </w: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7.46</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70,790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weighted average grant date fair value of options granted during the three-month period ended September 30, 2014 and 2015 was $11.15 and $12.92, respectively. The total intrinsic value of options exercised during the three month period ended September 30, 2014 and 2015 was $224 and $2,935, respectively. At September 30, 2015, there was $6,200 of total unrecognized compensation cost, net of estimated forfeitures, related to unvested stock option granted under the Plan. That cost is expected to be recognized over a weighted average period of 1.7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three months ended September 30, 2015:</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2015</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RSUs granted</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 vested</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RSUs cancelled/forfeited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September 30, 2015</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RSUs expected to vest at September 30, 2015</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859</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September 30, 2015, there was $23,568 of total unrecognized compensation cost, net of estimated forfeitures, related to unvested restricted stock awards granted under the Plan. That cost is expected to be recognized over a weighted average period of 2.5 years.</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ectPr>
          <w:pgSz w:w="11900" w:h="16838" w:orient="portrait"/>
          <w:cols w:equalWidth="0" w:num="1">
            <w:col w:w="11400"/>
          </w:cols>
          <w:pgMar w:left="240" w:top="368" w:right="259" w:bottom="0" w:gutter="0" w:footer="0" w:header="0"/>
        </w:sectPr>
      </w:pPr>
    </w:p>
    <w:bookmarkStart w:id="8" w:name="page9"/>
    <w:bookmarkEnd w:id="8"/>
    <w:p>
      <w:pPr>
        <w:ind w:right="100" w:firstLine="648"/>
        <w:spacing w:after="0" w:line="277" w:lineRule="auto"/>
        <w:rPr>
          <w:sz w:val="20"/>
          <w:szCs w:val="20"/>
          <w:color w:val="auto"/>
        </w:rPr>
      </w:pPr>
      <w:r>
        <w:rPr>
          <w:rFonts w:ascii="Arial" w:cs="Arial" w:eastAsia="Arial" w:hAnsi="Arial"/>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Company’s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9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September 30, 2015, a total of 1,053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recorded compensation expense attributable to the ESPP of $130 and $252 for the three-month ended September 30, 2014 and 2015, respectively, which is included in the summary of stock-based compensation expense above. The grant date fair value of the ESPP offering periods was estimated using the following weighted average assumptions:</w:t>
      </w:r>
    </w:p>
    <w:p>
      <w:pPr>
        <w:spacing w:after="0" w:line="173"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Period ended</w:t>
      </w:r>
    </w:p>
    <w:p>
      <w:pPr>
        <w:ind w:left="84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assumptions: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maintains a 401(k) plan with a safe harbor matching provision that covers all eligible employees. The Company matches 50% of the employees’ contributions up to 6% of their gross pay. Contributions were $382 and $580 for the three-month period ended September 30, 2014 and 2015,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Loss Per Share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Basic net loss per common share is computed using the weighted-average number of common shares outstanding during the period. Diluted net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dilutive effect of outstanding stock options is reflected in diluted earnings per share by application of the treasury stock method. The following table presents the calculation of basic and diluted net loss per share:</w:t>
      </w:r>
    </w:p>
    <w:p>
      <w:pPr>
        <w:spacing w:after="0" w:line="185"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 ended</w:t>
      </w:r>
    </w:p>
    <w:p>
      <w:pPr>
        <w:jc w:val="center"/>
        <w:ind w:left="46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r>
      <w:tr>
        <w:trPr>
          <w:trHeight w:val="216"/>
        </w:trPr>
        <w:tc>
          <w:tcPr>
            <w:tcW w:w="5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49,566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50,744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220" w:type="dxa"/>
            <w:vAlign w:val="bottom"/>
          </w:tcPr>
          <w:p>
            <w:pPr>
              <w:ind w:left="180"/>
              <w:spacing w:after="0" w:line="201" w:lineRule="exact"/>
              <w:rPr>
                <w:sz w:val="20"/>
                <w:szCs w:val="20"/>
                <w:color w:val="auto"/>
              </w:rPr>
            </w:pPr>
            <w:r>
              <w:rPr>
                <w:rFonts w:ascii="Arial" w:cs="Arial" w:eastAsia="Arial" w:hAnsi="Arial"/>
                <w:sz w:val="18"/>
                <w:szCs w:val="18"/>
                <w:color w:val="auto"/>
              </w:rPr>
              <w:t>Employee stock options, restricted stock units and employee</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stock purchase plan shares</w:t>
            </w:r>
          </w:p>
        </w:tc>
        <w:tc>
          <w:tcPr>
            <w:tcW w:w="86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49,566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173"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 ended</w:t>
      </w:r>
    </w:p>
    <w:p>
      <w:pPr>
        <w:jc w:val="center"/>
        <w:ind w:left="46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Employee stock purchase plan shares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3,959</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5,107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Company’s quarterly provision for income taxes is based on an estimated annual income tax rate.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The Company recorded income tax expense of $28 and $101 for the three-month periods ended September 30, 2014 and 2015, respectively. The Company’s effective tax rate for the three months ended September 30, 2015 differs from statutory rates primarily due to the existence of a valuation allowance recorded against the preponderance of the net deferred tax assets. The Company’s effective tax rate for the three months ended September 30, 2014 differs from statutory rates primarily due to the existence of a valuation allowance recorded against the preponderance of the net deferred tax assets.</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2015 and for the three months ending September 30, 2015. As of September 30, 2015, the Company had no unrecognized tax benefits.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1"/>
        <w:spacing w:after="0" w:line="294" w:lineRule="auto"/>
        <w:rPr>
          <w:sz w:val="20"/>
          <w:szCs w:val="20"/>
          <w:color w:val="auto"/>
        </w:rPr>
      </w:pPr>
      <w:r>
        <w:rPr>
          <w:rFonts w:ascii="Arial" w:cs="Arial" w:eastAsia="Arial" w:hAnsi="Arial"/>
          <w:sz w:val="17"/>
          <w:szCs w:val="17"/>
          <w:i w:val="1"/>
          <w:iCs w:val="1"/>
          <w:color w:val="auto"/>
        </w:rPr>
        <w:t>T</w:t>
      </w:r>
      <w:r>
        <w:rPr>
          <w:rFonts w:ascii="Arial" w:cs="Arial" w:eastAsia="Arial" w:hAnsi="Arial"/>
          <w:sz w:val="16"/>
          <w:szCs w:val="16"/>
          <w:i w:val="1"/>
          <w:iCs w:val="1"/>
          <w:color w:val="auto"/>
        </w:rPr>
        <w:t>he statements included herein that are not based solely on historical facts are “forward looking statements.” Such forward-looking statements are based on</w:t>
      </w:r>
      <w:r>
        <w:rPr>
          <w:rFonts w:ascii="Arial" w:cs="Arial" w:eastAsia="Arial" w:hAnsi="Arial"/>
          <w:sz w:val="17"/>
          <w:szCs w:val="17"/>
          <w:i w:val="1"/>
          <w:iCs w:val="1"/>
          <w:color w:val="auto"/>
        </w:rPr>
        <w:t xml:space="preserve"> </w:t>
      </w:r>
      <w:r>
        <w:rPr>
          <w:rFonts w:ascii="Arial" w:cs="Arial" w:eastAsia="Arial" w:hAnsi="Arial"/>
          <w:sz w:val="16"/>
          <w:szCs w:val="16"/>
          <w:i w:val="1"/>
          <w:iCs w:val="1"/>
          <w:color w:val="auto"/>
        </w:rPr>
        <w:t>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9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negatively impacted by historically low interest rates.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$29.5 million for the three months ended September 30, 2014 to $42.9 million for the three months ended September 30, 2015, representing a 45% year-over-year increase. Recurring revenue represented 95% of total revenue during the three months ended September 30, 2014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35% for each of the three months ended September 30, 2014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5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7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loss before interest expense, income tax expense, depreciation and amortization, stock-based compensation expense, and employer payroll taxes related to stock releases and option exercises. The table below sets forth our Adjusted Gross Profit, Adjusted Recurring Gross Profit and Adjusted EBITDA for the periods presented.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Three months ended</w:t>
      </w:r>
    </w:p>
    <w:p>
      <w:pPr>
        <w:jc w:val="center"/>
        <w:ind w:left="46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118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16,889</w:t>
            </w:r>
          </w:p>
        </w:tc>
        <w:tc>
          <w:tcPr>
            <w:tcW w:w="6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26,543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11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20,389</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31,073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w:t>
            </w:r>
          </w:p>
        </w:tc>
        <w:tc>
          <w:tcPr>
            <w:tcW w:w="6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3,291</w:t>
            </w:r>
          </w:p>
        </w:tc>
      </w:tr>
      <w:tr>
        <w:trPr>
          <w:trHeight w:val="342"/>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Reconciliation from Gross Profit to Adjusted Gross Profit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15,657</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24,913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expense and employer payroll taxes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r>
      <w:tr>
        <w:trPr>
          <w:trHeight w:val="210"/>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Gross Profit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-635</wp:posOffset>
            </wp:positionV>
            <wp:extent cx="528256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2565" cy="274320"/>
                    </a:xfrm>
                    <a:prstGeom prst="rect">
                      <a:avLst/>
                    </a:prstGeom>
                    <a:noFill/>
                  </pic:spPr>
                </pic:pic>
              </a:graphicData>
            </a:graphic>
          </wp:anchor>
        </w:drawing>
      </w:r>
    </w:p>
    <w:p>
      <w:pPr>
        <w:sectPr>
          <w:pgSz w:w="11900" w:h="16838" w:orient="portrait"/>
          <w:cols w:equalWidth="0" w:num="1">
            <w:col w:w="11400"/>
          </w:cols>
          <w:pgMar w:left="240" w:top="368" w:right="259" w:bottom="0" w:gutter="0" w:footer="0" w:header="0"/>
        </w:sectPr>
      </w:pPr>
    </w:p>
    <w:p>
      <w:pPr>
        <w:ind w:left="1300"/>
        <w:spacing w:after="0"/>
        <w:rPr>
          <w:sz w:val="20"/>
          <w:szCs w:val="20"/>
          <w:color w:val="auto"/>
        </w:rPr>
      </w:pPr>
      <w:r>
        <w:rPr>
          <w:rFonts w:ascii="Arial" w:cs="Arial" w:eastAsia="Arial" w:hAnsi="Arial"/>
          <w:sz w:val="16"/>
          <w:szCs w:val="16"/>
          <w:b w:val="1"/>
          <w:bCs w:val="1"/>
          <w:color w:val="auto"/>
        </w:rPr>
        <w:t>Reconciliation from Total Recurring Revenues to Adjusted</w:t>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Recurring Gross Profit</w:t>
      </w:r>
    </w:p>
    <w:p>
      <w:pPr>
        <w:sectPr>
          <w:pgSz w:w="11900" w:h="16838" w:orient="portrait"/>
          <w:cols w:equalWidth="0" w:num="1">
            <w:col w:w="11400"/>
          </w:cols>
          <w:pgMar w:left="240" w:top="368" w:right="25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11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29,505</w:t>
            </w: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42,891</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10,057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Recurring gross profit</w:t>
            </w: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19,448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29,734</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expense and employer payroll taxes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Recurring Gross Profit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20,389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gridSpan w:val="4"/>
          </w:tcPr>
          <w:p>
            <w:pPr>
              <w:jc w:val="right"/>
              <w:ind w:right="145"/>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Loss to Adjusted EBITDA</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(4,875)</w:t>
            </w:r>
          </w:p>
        </w:tc>
        <w:tc>
          <w:tcPr>
            <w:tcW w:w="520" w:type="dxa"/>
            <w:vAlign w:val="bottom"/>
            <w:gridSpan w:val="2"/>
          </w:tcPr>
          <w:p>
            <w:pPr>
              <w:jc w:val="right"/>
              <w:ind w:right="34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(3,435)</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1,931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2,719</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(2,916)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expense and employer payroll taxes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related to stock releases and option exercises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3,283</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34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vMerge w:val="restart"/>
          </w:tcPr>
          <w:p>
            <w:pPr>
              <w:ind w:left="432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clients have consistently had on average between 95 and 115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94% of our total revenues during each of the three-months ended September 30, 2014 and 2015.</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$0.6 million and $0.9 million during the three months ended September 30, 2014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ectPr>
          <w:pgSz w:w="11900" w:h="16838" w:orient="portrait"/>
          <w:cols w:equalWidth="0" w:num="1">
            <w:col w:w="11460"/>
          </w:cols>
          <w:pgMar w:left="240" w:top="125" w:right="199" w:bottom="208" w:gutter="0" w:footer="0" w:header="0"/>
        </w:sectPr>
      </w:pPr>
    </w:p>
    <w:bookmarkStart w:id="12" w:name="page13"/>
    <w:bookmarkEnd w:id="12"/>
    <w:p>
      <w:pPr>
        <w:ind w:right="160" w:firstLine="648"/>
        <w:spacing w:after="0" w:line="302" w:lineRule="auto"/>
        <w:rPr>
          <w:sz w:val="20"/>
          <w:szCs w:val="20"/>
          <w:color w:val="auto"/>
        </w:rPr>
      </w:pPr>
      <w:r>
        <w:rPr>
          <w:rFonts w:ascii="Arial" w:cs="Arial" w:eastAsia="Arial" w:hAnsi="Arial"/>
          <w:sz w:val="16"/>
          <w:szCs w:val="16"/>
          <w:color w:val="auto"/>
        </w:rPr>
        <w:t>Cost of implementation services and other consists almost entirely of employee-related expenses involved in the implementation of our payroll and other HCM solutions for new clients. Implementation costs are generally fixed in the short-term and exceed associated implementation revenue charged to each client. We intend to grow our business through expanding our client base, and doing so will require increased personnel to implement our solutions. Therefore our cost of implementation services and other is expected to increase in absolute dollars for the foreseeable future.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8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benefits and bonuses.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2014 and 2015.</w:t>
      </w:r>
    </w:p>
    <w:p>
      <w:pPr>
        <w:spacing w:after="0" w:line="173"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Three months ended</w:t>
      </w:r>
    </w:p>
    <w:p>
      <w:pPr>
        <w:jc w:val="center"/>
        <w:ind w:left="46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General and administrative expenses consist primarily of other employee-related costs, including wages, benefits, stock-based compensation and bonuses for our administrative, finance, accounting, and human resources departments. Additional expenses include consulting and professional fees, insurance and other corporate expenses.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expect our general and administrative expenses to continue to increase in absolute dollars as a result of our operation as a public company. These expenses will also include costs associated with compliance with regulations governing public companies, costs of directors’ and officers’ liability insurance and professional services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consists primarily of interest income related to interest received on our cash and cash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7"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Three months ended</w:t>
      </w:r>
    </w:p>
    <w:p>
      <w:pPr>
        <w:jc w:val="center"/>
        <w:ind w:left="46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29,142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42,363</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8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r>
      <w:tr>
        <w:trPr>
          <w:trHeight w:val="210"/>
        </w:trPr>
        <w:tc>
          <w:tcPr>
            <w:tcW w:w="5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recurring revenues</w:t>
            </w: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29,505</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42,891</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2,217</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7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45,108</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50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5,395</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7,038</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 of revenues</w:t>
            </w:r>
          </w:p>
        </w:tc>
        <w:tc>
          <w:tcPr>
            <w:tcW w:w="17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7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15,657</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24,913</w:t>
            </w:r>
          </w:p>
        </w:tc>
        <w:tc>
          <w:tcPr>
            <w:tcW w:w="100" w:type="dxa"/>
            <w:vAlign w:val="bottom"/>
            <w:tcBorders>
              <w:bottom w:val="single" w:sz="8" w:color="CCEEFF"/>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9,078</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12,450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5,429</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7,448</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10,451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7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7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40" w:type="dxa"/>
            <w:vAlign w:val="bottom"/>
            <w:vMerge w:val="restart"/>
          </w:tcPr>
          <w:p>
            <w:pPr>
              <w:jc w:val="right"/>
              <w:ind w:right="650"/>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5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217"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Three months ended</w:t>
      </w:r>
    </w:p>
    <w:p>
      <w:pPr>
        <w:jc w:val="center"/>
        <w:ind w:left="4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Consolidated Statements of Operations Data:</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recurring revenues</w:t>
            </w: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tcPr>
          <w:p>
            <w:pPr>
              <w:ind w:left="36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8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w:t>
            </w:r>
          </w:p>
        </w:tc>
        <w:tc>
          <w:tcPr>
            <w:tcW w:w="2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jc w:val="right"/>
              <w:ind w:right="59"/>
              <w:spacing w:after="0"/>
              <w:rPr>
                <w:sz w:val="20"/>
                <w:szCs w:val="20"/>
                <w:color w:val="auto"/>
              </w:rPr>
            </w:pPr>
            <w:r>
              <w:rPr>
                <w:rFonts w:ascii="Arial" w:cs="Arial" w:eastAsia="Arial" w:hAnsi="Arial"/>
                <w:sz w:val="18"/>
                <w:szCs w:val="18"/>
                <w:color w:val="auto"/>
                <w:w w:val="90"/>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Comparison of Three Months Ended September 30, 2014 and 2015</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4"/>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tcPr>
          <w:p>
            <w:pPr>
              <w:jc w:val="center"/>
              <w:ind w:left="416"/>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13,221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2,217</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880" w:type="dxa"/>
            <w:vAlign w:val="bottom"/>
            <w:gridSpan w:val="2"/>
          </w:tcPr>
          <w:p>
            <w:pPr>
              <w:ind w:left="200"/>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Recurring fees for the three months ended September 30, 2015 increased by $13.2 million, or 45%, to $42.4 million from $29.1 million for the three months ended September 30, 2014. Recurring fees increased primarily as a result of revenue from new clients and increased revenue per client.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income on funds held for clients for the three months ended September 30, 2015 increased by $0.2 million, or 45% to $0.5 million from $0.4 million for the three months ended September 30, 2014. Interest income increased primarily as a result of an increased average daily balance for funds held due to the addition of new clients to our client base.</w:t>
      </w:r>
    </w:p>
    <w:p>
      <w:pPr>
        <w:sectPr>
          <w:pgSz w:w="11900" w:h="16838" w:orient="portrait"/>
          <w:cols w:equalWidth="0" w:num="1">
            <w:col w:w="11460"/>
          </w:cols>
          <w:pgMar w:left="240" w:top="125" w:right="199" w:bottom="0" w:gutter="0" w:footer="0" w:header="0"/>
        </w:sectPr>
      </w:pPr>
    </w:p>
    <w:bookmarkStart w:id="14" w:name="page15"/>
    <w:bookmarkEnd w:id="14"/>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Implementation services and other revenue for the three months ended September 30, 2015 increased by $0.6 million, or 38%, to $2.2 million from $1.6 million for the three months ended September 30, 2014. Implementation services and other revenue increased primarily as a result of an increase in the number of new clients during the three months ended September 30, 2015 in comparison to the three months ended September 30,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5"/>
              </w:rPr>
              <w:t>Three Months</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left="677"/>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Percentage of recurring revenues</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2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5,395</w:t>
            </w:r>
          </w:p>
        </w:tc>
        <w:tc>
          <w:tcPr>
            <w:tcW w:w="2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7,038</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1,643</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Percentage of implementation services and other</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Cost of recurring revenues for the three months ended September 30, 2015 increased by $3.1 million, or 31%, to $13.2 million from $10.1 million for the three months ended September 30, 2014. Cost of recurring revenues increased primarily as a result of the continued growth of our business, in particular $1.9 million in employee-related costs resulting from additional personnel necessary to provide services to new and existing clients and $1.4 million in fees related to the delivery of our services, partially offset by a $0.6 million decrease in reseller expenses primarily due to our acquisition of substantially all of the assets of our remaining reseller during fiscal 2015. Recurring gross margin increased from 66% for the three months ended September 30, 2014 to 69% for the three months ended September 30, 2015, primarily due to the reduction in reseller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Cost of implementation services and other for the three months ended September 30, 2015 increased by $1.6 million, or 30%, to $7.0 million from $5.4 million for the three months ended September 30, 2014. Cost of implementation services and other increased primarily due to an increase in new clients, and a corresponding increase of $1.7 million in employee-related and other costs to implement our solutions for those new clients during the three months ended September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Sales and marketing expenses for the three months ended September 30, 2015 increased by $3.4 million, or 37%, to $12.5 million from $9.1 million for the three months ended September 30, 2014. The increase in sales and marketing expenses was primarily the result of $3.1 million of additional employee-related expenses incurred due to the expansion of our sales team by 44 personnel (including management, direct sales and sales administration), the addition of 12 sales lead generation personnel and 3 marketing personnel.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Research and development for the three months ended September 30, 2015 increased by $1.4 million, or 35%, to $5.4 million from $4.0 million for the three months ended September 30, 2014. The increase in research and development expense was primarily as a result of $2.5 million in employee-related expenses related to 60 additional development personnel, partially offset by higher year-over-year internal-use software capitalization of $1.2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6720" w:type="dxa"/>
        <w:tblCellMar>
          <w:top w:w="0" w:type="dxa"/>
          <w:left w:w="0" w:type="dxa"/>
          <w:bottom w:w="0" w:type="dxa"/>
          <w:right w:w="0" w:type="dxa"/>
        </w:tblCellMar>
      </w:tblPr>
      <w:tr>
        <w:trPr>
          <w:trHeight w:val="161"/>
        </w:trPr>
        <w:tc>
          <w:tcPr>
            <w:tcW w:w="1960" w:type="dxa"/>
            <w:vAlign w:val="bottom"/>
          </w:tcPr>
          <w:p>
            <w:pPr>
              <w:jc w:val="center"/>
              <w:ind w:right="1008"/>
              <w:spacing w:after="0"/>
              <w:rPr>
                <w:sz w:val="20"/>
                <w:szCs w:val="20"/>
                <w:color w:val="auto"/>
              </w:rPr>
            </w:pPr>
            <w:r>
              <w:rPr>
                <w:rFonts w:ascii="Arial" w:cs="Arial" w:eastAsia="Arial" w:hAnsi="Arial"/>
                <w:sz w:val="14"/>
                <w:szCs w:val="14"/>
                <w:b w:val="1"/>
                <w:bCs w:val="1"/>
                <w:color w:val="auto"/>
                <w:w w:val="95"/>
              </w:rPr>
              <w:t>Three Months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jc w:val="center"/>
              <w:ind w:right="1008"/>
              <w:spacing w:after="0" w:line="149" w:lineRule="exact"/>
              <w:rPr>
                <w:sz w:val="20"/>
                <w:szCs w:val="20"/>
                <w:color w:val="auto"/>
              </w:rPr>
            </w:pPr>
            <w:r>
              <w:rPr>
                <w:rFonts w:ascii="Arial" w:cs="Arial" w:eastAsia="Arial" w:hAnsi="Arial"/>
                <w:sz w:val="14"/>
                <w:szCs w:val="14"/>
                <w:b w:val="1"/>
                <w:bCs w:val="1"/>
                <w:color w:val="auto"/>
                <w:w w:val="93"/>
              </w:rPr>
              <w:t>Ended</w:t>
            </w:r>
          </w:p>
        </w:tc>
        <w:tc>
          <w:tcPr>
            <w:tcW w:w="1540" w:type="dxa"/>
            <w:vAlign w:val="bottom"/>
            <w:vMerge w:val="restart"/>
          </w:tcPr>
          <w:p>
            <w:pPr>
              <w:ind w:left="10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86"/>
        </w:trPr>
        <w:tc>
          <w:tcPr>
            <w:tcW w:w="1960" w:type="dxa"/>
            <w:vAlign w:val="bottom"/>
          </w:tcPr>
          <w:p>
            <w:pPr>
              <w:jc w:val="center"/>
              <w:ind w:right="1008"/>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-8890</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45" w:orient="portrait"/>
          <w:cols w:equalWidth="0" w:num="1">
            <w:col w:w="11420"/>
          </w:cols>
          <w:pgMar w:left="240" w:top="341"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three months ended September 30, 2015 increased by $3.0 million, or 40%, to $10.5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$7.4 million for the three months ended September 30, 2014. The increase was primarily the result of $1.6 million of additional employee-related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26 additional personnel, $0.4 million of additional stock-based compensation costs, $0.4 million of increased occupancy costs incurred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requirement for additional office space and $0.4 million in costs associated with the secondary offering completed during the first quarter of fiscal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gridSpan w:val="4"/>
          </w:tcPr>
          <w:p>
            <w:pPr>
              <w:jc w:val="center"/>
              <w:ind w:right="399"/>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80" w:type="dxa"/>
            <w:vAlign w:val="bottom"/>
            <w:gridSpan w:val="4"/>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99"/>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9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for the three months ended September 30, 2015 was not materially different as compared to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center"/>
              <w:ind w:right="339"/>
              <w:spacing w:after="0"/>
              <w:rPr>
                <w:sz w:val="20"/>
                <w:szCs w:val="20"/>
                <w:color w:val="auto"/>
              </w:rPr>
            </w:pPr>
            <w:r>
              <w:rPr>
                <w:rFonts w:ascii="Arial" w:cs="Arial" w:eastAsia="Arial" w:hAnsi="Arial"/>
                <w:sz w:val="14"/>
                <w:szCs w:val="14"/>
                <w:b w:val="1"/>
                <w:bCs w:val="1"/>
                <w:color w:val="auto"/>
                <w:w w:val="95"/>
              </w:rPr>
              <w:t>Three Months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4"/>
          </w:tcPr>
          <w:p>
            <w:pPr>
              <w:jc w:val="center"/>
              <w:ind w:right="339"/>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Income tax expense for the three months ended September 30, 2015 was not materially different as compared to the three months ended September 30,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three months ended September 30, 2015, there were no material changes to our critical accounting policies and use of estimates, which are disclosed in our audited consolidated financial statements for the year ended June 30, 2015 included in our Annual Report on Form 10-K filed with the SEC on August 14,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Our primary liquidity needs are related to the funding of general business requirements, including working capital requirements, research and development, and capital expenditures. As of September 30, 2015, our principal source of liquidity was $78.7 million of cash and cash equivalents.</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available borrowings to satisfy those needs.</w:t>
      </w:r>
    </w:p>
    <w:p>
      <w:pPr>
        <w:sectPr>
          <w:pgSz w:w="11900" w:h="16838" w:orient="portrait"/>
          <w:cols w:equalWidth="0" w:num="1">
            <w:col w:w="11420"/>
          </w:cols>
          <w:pgMar w:left="240" w:top="118" w:right="239" w:bottom="0" w:gutter="0" w:footer="0" w:header="0"/>
        </w:sectPr>
      </w:pPr>
    </w:p>
    <w:bookmarkStart w:id="16" w:name="page17"/>
    <w:bookmarkEnd w:id="16"/>
    <w:p>
      <w:pPr>
        <w:ind w:right="220" w:firstLine="648"/>
        <w:spacing w:after="0" w:line="259" w:lineRule="auto"/>
        <w:rPr>
          <w:sz w:val="20"/>
          <w:szCs w:val="20"/>
          <w:color w:val="auto"/>
        </w:rPr>
      </w:pPr>
      <w:r>
        <w:rPr>
          <w:rFonts w:ascii="Arial" w:cs="Arial" w:eastAsia="Arial" w:hAnsi="Arial"/>
          <w:sz w:val="18"/>
          <w:szCs w:val="18"/>
          <w:color w:val="auto"/>
        </w:rPr>
        <w:t>Our cash flows from investing activities and our cash flows from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September 30,</w:t>
            </w:r>
          </w:p>
        </w:tc>
      </w:tr>
      <w:tr>
        <w:trPr>
          <w:trHeight w:val="142"/>
        </w:trPr>
        <w:tc>
          <w:tcPr>
            <w:tcW w:w="55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internal-use software costs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(2,499)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(1,588)</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acquisitions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Net change in funds held for clients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(14,964)</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48,607</w:t>
            </w:r>
          </w:p>
        </w:tc>
        <w:tc>
          <w:tcPr>
            <w:tcW w:w="80" w:type="dxa"/>
            <w:vAlign w:val="bottom"/>
          </w:tcPr>
          <w:p>
            <w:pPr>
              <w:spacing w:after="0"/>
              <w:rPr>
                <w:sz w:val="18"/>
                <w:szCs w:val="18"/>
                <w:color w:val="auto"/>
              </w:rPr>
            </w:pP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client funds obligation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14,964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(48,607)</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Payments on initial public offering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(1,868)</w:t>
            </w:r>
          </w:p>
        </w:tc>
      </w:tr>
      <w:tr>
        <w:trPr>
          <w:trHeight w:val="210"/>
        </w:trPr>
        <w:tc>
          <w:tcPr>
            <w:tcW w:w="5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(6,005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provided by (used in) operating activities was $3.0 million for the three months ended September 30, 2015 as compared to $(0.2) million for the three months ended September 30, 2014. The increase in net cash provided by operating activities from the three months ended September 30, 2014 to the three months ended September 30, 2015 was primarily due to improved operating results after adjusting for non-cash items including stock-based compensation and depreciation and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provided by (used in) investing activities was $44.8 million for the three months ended September 30, 2015 as compared to $(20.8) million for the three months ended September 30, 2014.</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Changes in net cash provided by (used in) investing activities are significantly influenced by the amount of funds held for clients at the end of a reporting period. Changes in the amount of funds held for client from period to period will vary substantially. Our payroll processing activities involve the movement of significant funds from the account of an employer to employees and relevant taxing authorities. During fiscal 2015 we processed almost $54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investing activities that influence our net cash provided by (used in) investing activities are our capitalization of internal-use software costs and purchases of property and equipment. We also paid $2.4 million in consideration under the terms of our fiscal 2014 reseller acquisition in fiscal 2015 and $0.2 million in consideration under the terms of our fiscal 2015 acquisition in fiscal 2016.</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Excluding the net change in funds held for clients, our net cash used in investing activities was $3.8 million for the three months ended September 30, 2015 as compared to $5.8 million for the three months ended September 30, 2014. The decrease in net cash used in investing activities is primarily due to lower purchase of property and equipment and payments for acquisitions offset by higher capitalized internal-use software costs.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provided by (used in) financing activities was $(50.3) million for the three months ended September 30, 2015 as compared to $15.0 million for the three months ended September 30, 2014. The change in cash provided by financing activities was primarily the result of the decrease in client fund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commitments consist of operating lease obligations. The following table summarizes our contractual obligations at September 30, 2015:</w:t>
      </w:r>
    </w:p>
    <w:p>
      <w:pPr>
        <w:sectPr>
          <w:pgSz w:w="11900" w:h="16838" w:orient="portrait"/>
          <w:cols w:equalWidth="0" w:num="1">
            <w:col w:w="11360"/>
          </w:cols>
          <w:pgMar w:left="240" w:top="341" w:right="2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Less than 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2,765</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related to acquisition</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34,681</w:t>
            </w:r>
          </w:p>
        </w:tc>
        <w:tc>
          <w:tcPr>
            <w:tcW w:w="2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5,864</w:t>
            </w: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10,863</w:t>
            </w:r>
          </w:p>
        </w:tc>
        <w:tc>
          <w:tcPr>
            <w:tcW w:w="2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7,536</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10,418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to increase capital spending as we continue to grow our business and expand and enhance our data centers and technical infrastructure.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Future capital requirements will depend on many factors, including our rate of sales growth. In the event that our sales growth or other factors do not meet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expectations, we may eliminate or curtail capital projects in order to mitigate the impact on our use of cash. Capital expenditures were $2.5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million for the three months ended September 30, 2014 and 2015, respectively, exclusive of capitalized internal-use software costs of $0.9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for the same periods, respectively. Lower capital expenditures for the three months ended September 30, 2015 compared to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mainly due to the timing of cash payments for capital expenditures.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 Board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Topic 606 allows for either a “retrospective” or “cumulative effect” transition method. The original standard was effective for fiscal years beginning after December 15, 2016. In July 2015, the FASB approved a one-year deferral of this standard, with a new effective date for fiscal years beginning after December 15, 2017 with early adoption permitted as of the original effective date. We are currently assessing the potential effects of these changes to our consolidated financial statements and are evaluating the adoption method and timing.</w:t>
      </w:r>
    </w:p>
    <w:p>
      <w:pPr>
        <w:spacing w:after="0" w:line="1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5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September 30, 2015,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ectPr>
          <w:pgSz w:w="11900" w:h="16838" w:orient="portrait"/>
          <w:cols w:equalWidth="0" w:num="1">
            <w:col w:w="11420"/>
          </w:cols>
          <w:pgMar w:left="240" w:top="118" w:right="239" w:bottom="0" w:gutter="0" w:footer="0" w:header="0"/>
        </w:sectPr>
      </w:pPr>
    </w:p>
    <w:bookmarkStart w:id="18" w:name="page19"/>
    <w:bookmarkEnd w:id="18"/>
    <w:p>
      <w:pPr>
        <w:ind w:right="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may be involved in litigation relating to claims arising in the ordinary course of business. Management believes that there are no claims or actions pending or threatened against the Company, the ultimate disposition of which would have a material impact on our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the past, and we may not be able to achieve or sustain profitability for the foreseeable future.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have incurred net losses from time to time. We incurred net losses of $130,000, $7,110,000, and $13,972,000 in fiscal 2011, fiscal 2014 and fiscal 2015, respectively, and incurred a net loss of $3,435,000 in the first quarter of fiscal 2016.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have fluctuated in the past and may continue to fluctuate, causing the value of our common stock to decline substantially.</w:t>
      </w:r>
    </w:p>
    <w:p>
      <w:pPr>
        <w:spacing w:after="0" w:line="26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Our number of new clients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other risk factors listed in this section, some of the important factors that may cause fluctuations in our quarterly operating results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120" w:hanging="320"/>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our business;</w:t>
      </w:r>
    </w:p>
    <w:p>
      <w:pPr>
        <w:sectPr>
          <w:pgSz w:w="11900" w:h="16838" w:orient="portrait"/>
          <w:cols w:equalWidth="0" w:num="1">
            <w:col w:w="11400"/>
          </w:cols>
          <w:pgMar w:left="240" w:top="341" w:right="259" w:bottom="0" w:gutter="0" w:footer="0" w:header="0"/>
        </w:sectPr>
      </w:pPr>
    </w:p>
    <w:bookmarkStart w:id="19" w:name="page20"/>
    <w:bookmarkEnd w:id="19"/>
    <w:p>
      <w:pPr>
        <w:spacing w:after="0" w:line="69" w:lineRule="exact"/>
        <w:rPr>
          <w:sz w:val="20"/>
          <w:szCs w:val="20"/>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regulatory requirements and environment related to the products and services which we offer;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manage our growth effectively could increase our expenses, decrease our revenue, and prevent us from implementing our business strategy.</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in which we participate are highly competitive, and if we do not compete effectively, our operating results could be adversely affected.</w:t>
      </w:r>
    </w:p>
    <w:p>
      <w:pPr>
        <w:spacing w:after="0" w:line="24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and other regional providers, and HCM point solutions, such as Cornerstone OnDemand, Inc.</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7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offerings. We expect intense competition to continue for these reasons, and such competition could negatively impact our sales, profitability or market share.</w:t>
      </w:r>
    </w:p>
    <w:p>
      <w:pPr>
        <w:spacing w:after="0" w:line="2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5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4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w:t>
      </w:r>
    </w:p>
    <w:p>
      <w:pPr>
        <w:sectPr>
          <w:pgSz w:w="11900" w:h="16908" w:orient="portrait"/>
          <w:cols w:equalWidth="0" w:num="1">
            <w:col w:w="11420"/>
          </w:cols>
          <w:pgMar w:left="240" w:top="125" w:right="239" w:bottom="0" w:gutter="0" w:footer="0" w:header="0"/>
        </w:sectPr>
      </w:pPr>
    </w:p>
    <w:bookmarkStart w:id="20" w:name="page21"/>
    <w:bookmarkEnd w:id="20"/>
    <w:p>
      <w:pPr>
        <w:ind w:right="540"/>
        <w:spacing w:after="0" w:line="286" w:lineRule="auto"/>
        <w:rPr>
          <w:sz w:val="20"/>
          <w:szCs w:val="20"/>
          <w:color w:val="auto"/>
        </w:rPr>
      </w:pPr>
      <w:r>
        <w:rPr>
          <w:rFonts w:ascii="Arial" w:cs="Arial" w:eastAsia="Arial" w:hAnsi="Arial"/>
          <w:sz w:val="17"/>
          <w:szCs w:val="17"/>
          <w:color w:val="auto"/>
        </w:rPr>
        <w:t>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In addition, significant changes in tax, benefit and other laws and regulations could require us to make significant modifications to our products, which could result in substantial expenses.</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adequately expand our direct sales force with qualified and productive persons, we may not be able to grow our business effectively.</w:t>
      </w:r>
    </w:p>
    <w:p>
      <w:pPr>
        <w:spacing w:after="0" w:line="24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25% of our new sales in fiscal 2015 were referred to us from our referral network participants, and our referral network may become an even more significant</w:t>
      </w:r>
    </w:p>
    <w:p>
      <w:pPr>
        <w:sectPr>
          <w:pgSz w:w="11900" w:h="16838" w:orient="portrait"/>
          <w:cols w:equalWidth="0" w:num="1">
            <w:col w:w="11420"/>
          </w:cols>
          <w:pgMar w:left="240" w:top="125" w:right="239" w:bottom="0" w:gutter="0" w:footer="0" w:header="0"/>
        </w:sectPr>
      </w:pPr>
    </w:p>
    <w:bookmarkStart w:id="21" w:name="page22"/>
    <w:bookmarkEnd w:id="21"/>
    <w:p>
      <w:pPr>
        <w:spacing w:after="0" w:line="1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source of client referrals in the future. In most cases, our relationships with referral network participants are informal, although in some cases, we have formalized relationships where we are a recommended vendor for their client.</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payroll processing business involves the movement of significant funds from the account of a client to employees and relevant taxing authorities. For example, in fiscal 2015 we processed almost $54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economic or political conditions could adversely affect our operating results and our business.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9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22" w:name="page23"/>
    <w:bookmarkEnd w:id="22"/>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laws or other domestic regulations may reduce the effectiveness of our applications and adversely affect our business.</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our solutions or our clients are not satisfied with our implementation services.</w:t>
      </w:r>
    </w:p>
    <w:p>
      <w:pPr>
        <w:spacing w:after="0" w:line="26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ectPr>
          <w:pgSz w:w="11900" w:h="16838" w:orient="portrait"/>
          <w:cols w:equalWidth="0" w:num="1">
            <w:col w:w="11400"/>
          </w:cols>
          <w:pgMar w:left="240" w:top="341" w:right="259" w:bottom="100" w:gutter="0" w:footer="0" w:header="0"/>
        </w:sectPr>
      </w:pPr>
    </w:p>
    <w:bookmarkStart w:id="23" w:name="page24"/>
    <w:bookmarkEnd w:id="23"/>
    <w:p>
      <w:pPr>
        <w:spacing w:after="0" w:line="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7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93" w:lineRule="exact"/>
        <w:rPr>
          <w:sz w:val="20"/>
          <w:szCs w:val="20"/>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ectPr>
          <w:pgSz w:w="11900" w:h="16843" w:orient="portrait"/>
          <w:cols w:equalWidth="0" w:num="1">
            <w:col w:w="11420"/>
          </w:cols>
          <w:pgMar w:left="240" w:top="125" w:right="239" w:bottom="0" w:gutter="0" w:footer="0" w:header="0"/>
        </w:sectPr>
      </w:pPr>
    </w:p>
    <w:bookmarkStart w:id="24" w:name="page25"/>
    <w:bookmarkEnd w:id="24"/>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5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7"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8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w:t>
      </w:r>
    </w:p>
    <w:p>
      <w:pPr>
        <w:sectPr>
          <w:pgSz w:w="11900" w:h="16885" w:orient="portrait"/>
          <w:cols w:equalWidth="0" w:num="1">
            <w:col w:w="11380"/>
          </w:cols>
          <w:pgMar w:left="240" w:top="341" w:right="279" w:bottom="0" w:gutter="0" w:footer="0" w:header="0"/>
        </w:sectPr>
      </w:pPr>
    </w:p>
    <w:bookmarkStart w:id="25" w:name="page26"/>
    <w:bookmarkEnd w:id="25"/>
    <w:p>
      <w:pPr>
        <w:spacing w:after="0" w:line="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7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in our products and solutions may expose us to additional risks and harm our intellectual property rights.</w:t>
      </w:r>
    </w:p>
    <w:p>
      <w:pPr>
        <w:spacing w:after="0" w:line="23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w:t>
      </w:r>
    </w:p>
    <w:p>
      <w:pPr>
        <w:sectPr>
          <w:pgSz w:w="11900" w:h="16843" w:orient="portrait"/>
          <w:cols w:equalWidth="0" w:num="1">
            <w:col w:w="11420"/>
          </w:cols>
          <w:pgMar w:left="240" w:top="125" w:right="239" w:bottom="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nature of open source software, it may be more likely that third parties might assert copyright and other intellectual property infringement claims against us based on our use of these open source software programs.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third-party software used in our products is not adequately maintained or updated, our business could be materially adversely affected.</w:t>
      </w:r>
    </w:p>
    <w:p>
      <w:pPr>
        <w:spacing w:after="0" w:line="237" w:lineRule="exact"/>
        <w:rPr>
          <w:sz w:val="20"/>
          <w:szCs w:val="20"/>
          <w:color w:val="auto"/>
        </w:rPr>
      </w:pPr>
    </w:p>
    <w:p>
      <w:pPr>
        <w:jc w:val="both"/>
        <w:ind w:right="280" w:firstLine="648"/>
        <w:spacing w:after="0" w:line="288"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ind w:right="60"/>
        <w:spacing w:after="0" w:line="254" w:lineRule="auto"/>
        <w:rPr>
          <w:sz w:val="20"/>
          <w:szCs w:val="20"/>
          <w:color w:val="auto"/>
        </w:rPr>
      </w:pPr>
      <w:r>
        <w:rPr>
          <w:rFonts w:ascii="Arial" w:cs="Arial" w:eastAsia="Arial" w:hAnsi="Arial"/>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w:t>
      </w:r>
    </w:p>
    <w:p>
      <w:pPr>
        <w:sectPr>
          <w:pgSz w:w="11900" w:h="16838" w:orient="portrait"/>
          <w:cols w:equalWidth="0" w:num="1">
            <w:col w:w="11400"/>
          </w:cols>
          <w:pgMar w:left="240" w:top="341" w:right="259" w:bottom="0" w:gutter="0" w:footer="0" w:header="0"/>
        </w:sectPr>
      </w:pPr>
    </w:p>
    <w:bookmarkStart w:id="27" w:name="page28"/>
    <w:bookmarkEnd w:id="27"/>
    <w:p>
      <w:pPr>
        <w:ind w:right="480"/>
        <w:spacing w:after="0" w:line="277" w:lineRule="auto"/>
        <w:rPr>
          <w:sz w:val="20"/>
          <w:szCs w:val="20"/>
          <w:color w:val="auto"/>
        </w:rPr>
      </w:pPr>
      <w:r>
        <w:rPr>
          <w:rFonts w:ascii="Arial" w:cs="Arial" w:eastAsia="Arial" w:hAnsi="Arial"/>
          <w:sz w:val="18"/>
          <w:szCs w:val="18"/>
          <w:color w:val="auto"/>
        </w:rPr>
        <w:t>satisfactory to us when we require it, our ability to continue to support our business growth and to respond to business challenges could be significantly limited.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services present the potential for embezzlement, identity theft, or other similar illegal behavior by our associates with respect to third parties.</w:t>
      </w:r>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1" w:lineRule="exact"/>
        <w:rPr>
          <w:sz w:val="20"/>
          <w:szCs w:val="20"/>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236" w:lineRule="exact"/>
        <w:rPr>
          <w:rFonts w:ascii="Arial" w:cs="Arial" w:eastAsia="Arial" w:hAnsi="Arial"/>
          <w:sz w:val="17"/>
          <w:szCs w:val="17"/>
          <w:color w:val="auto"/>
        </w:rPr>
      </w:pPr>
    </w:p>
    <w:p>
      <w:pPr>
        <w:ind w:left="1300" w:right="38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position may suffer.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ectPr>
          <w:pgSz w:w="11900" w:h="16838" w:orient="portrait"/>
          <w:cols w:equalWidth="0" w:num="1">
            <w:col w:w="11400"/>
          </w:cols>
          <w:pgMar w:left="240" w:top="125" w:right="259" w:bottom="0" w:gutter="0" w:footer="0" w:header="0"/>
        </w:sectPr>
      </w:pPr>
    </w:p>
    <w:bookmarkStart w:id="28" w:name="page29"/>
    <w:bookmarkEnd w:id="28"/>
    <w:p>
      <w:pPr>
        <w:ind w:right="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October 30, 2015 our directors, executive officers and holders of more than 5% of our common stock, together with their respective affiliates, beneficially owned, in the aggregate, approximately 58.2%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trading price of our common stock could be subject to wide fluctuations in response to various factors, some of which are beyond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those discussed in this “Risk Factors” section of this Quarterly Report on Form 10-Q and others such as:</w:t>
      </w:r>
    </w:p>
    <w:p>
      <w:pPr>
        <w:spacing w:after="0" w:line="211"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our directors and executive officers;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market’s reaction to our reduced disclosure as a result of being an emerging growth company under the JOBS Act;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jc w:val="both"/>
        <w:ind w:left="1300" w:right="120" w:hanging="320"/>
        <w:spacing w:after="0" w:line="264"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ongoing budget negotiations and intermittent government shutdowns in the United States, acts of God, war, incidents of terrorism, or responses to such events).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existing stockholders could depress the market price of our common stock.</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As of October 30, 2015, we had an aggregate of 50,835,160 outstanding shares of common stock. The 17,362,750 shares sold in our initial public, follow-on and secondary offerings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47"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In addition, we have registered 10,485,694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ectPr>
          <w:pgSz w:w="11900" w:h="16838" w:orient="portrait"/>
          <w:cols w:equalWidth="0" w:num="1">
            <w:col w:w="11360"/>
          </w:cols>
          <w:pgMar w:left="240" w:top="341" w:right="299" w:bottom="47" w:gutter="0" w:footer="0" w:header="0"/>
        </w:sectPr>
      </w:pPr>
    </w:p>
    <w:bookmarkStart w:id="29" w:name="page30"/>
    <w:bookmarkEnd w:id="29"/>
    <w:p>
      <w:pPr>
        <w:ind w:right="200" w:firstLine="648"/>
        <w:spacing w:after="0" w:line="279" w:lineRule="auto"/>
        <w:rPr>
          <w:sz w:val="20"/>
          <w:szCs w:val="20"/>
          <w:color w:val="auto"/>
        </w:rPr>
      </w:pPr>
      <w:r>
        <w:rPr>
          <w:rFonts w:ascii="Arial" w:cs="Arial" w:eastAsia="Arial" w:hAnsi="Arial"/>
          <w:sz w:val="17"/>
          <w:szCs w:val="17"/>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may be negatively affected.</w:t>
      </w:r>
    </w:p>
    <w:p>
      <w:pPr>
        <w:spacing w:after="0" w:line="12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beginning with the annual report for the fiscal year ended June 30, 2015, provide a management report on the internal controls over financial reporting. When we eventually lose our status as an “emerging growth company,” as defined by the Jumpstart Our Business Startups Act of 2012, or the JOBS Act, management’s report on the internal controls over financial reporting will be required to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requirements. In particular, we have incurred significant expenses and devoted substantial management effort toward ensuring compliance with the requirements of Section 404 of the Sarbanes-Oxley Act, which will increase when we are no longer an emerging growth company, as defined by the JOBS Act. At such time as we are no longer an emerging growth company, as defined by the JOBS Act, we will need to hire additional accounting and financial staff with appropriate public company experience and technical accounting knowledge. We cannot predict or estimate the amount of additional costs we may incur or the timing of such costs.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173" w:lineRule="exact"/>
        <w:rPr>
          <w:sz w:val="20"/>
          <w:szCs w:val="20"/>
          <w:color w:val="auto"/>
        </w:rPr>
      </w:pPr>
    </w:p>
    <w:p>
      <w:pPr>
        <w:ind w:left="1300" w:right="48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170"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ectPr>
          <w:pgSz w:w="11900" w:h="16838" w:orient="portrait"/>
          <w:cols w:equalWidth="0" w:num="1">
            <w:col w:w="11420"/>
          </w:cols>
          <w:pgMar w:left="240" w:top="125" w:right="239" w:bottom="100" w:gutter="0" w:footer="0" w:header="0"/>
        </w:sectPr>
      </w:pPr>
    </w:p>
    <w:bookmarkStart w:id="30" w:name="page31"/>
    <w:bookmarkEnd w:id="30"/>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are an emerging growth company. Under the JOBS Act, emerging growth companies can delay adopting new or revised accounting standards until such time as those standards apply to private companies.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as long as we continue to be an emerging growth company, we intend to take advantage of certain other exemptions from various reporting requirements that are applicable to other public companies including, but not limited to,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exemptions from the requirements of auditor attestation reports on the effectiveness of our internal control over financial reporting.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Although we are eligible under the JOBS Act to delay adoption of new or revised financial accounting standards until they are applicable to private companies, we have elected not to avail ourselves of this exclusion. This election by us is irrevocable.</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remain an emerging growth company until the earliest of (i) the end of the fiscal year in which the market value of our common stock that is held by non-affiliates exceeds $700 million as of December 31 of that fiscal year, (ii) the end of the fiscal year in which we have total annual gross revenue of $1 billion or more during such fiscal year, (iii) the date on which we issue more than $1 billion in non-convertible debt in a three-year period or (iv) five years from March 19, 2014.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980" w:right="8020" w:hanging="324"/>
        <w:spacing w:after="0" w:line="485" w:lineRule="auto"/>
        <w:tabs>
          <w:tab w:leader="none" w:pos="97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Not applicable.</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Use of Proceeds</w:t>
      </w:r>
    </w:p>
    <w:p>
      <w:pPr>
        <w:spacing w:after="0" w:line="21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$9.5 million for the purchase of substantially all of the assets of BFKMS Inc. and paid $9.2 million for the purchase of substantially all of the assets of Synergy Payroll, LLC.</w:t>
      </w:r>
    </w:p>
    <w:p>
      <w:pPr>
        <w:spacing w:after="0" w:line="14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from that described in the final prospectus filed with the SEC pursuant to Rule 424(b) on December 12, 2014.</w:t>
      </w:r>
    </w:p>
    <w:p>
      <w:pPr>
        <w:spacing w:after="0" w:line="17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40" w:type="dxa"/>
            <w:vAlign w:val="bottom"/>
          </w:tcPr>
          <w:p>
            <w:pPr>
              <w:spacing w:after="0"/>
              <w:rPr>
                <w:sz w:val="14"/>
                <w:szCs w:val="1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398"/>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First Amended and Restated Certificate of Incorporation (filed as Exhibit 3.2 of the Paylocity Holding Corporation’s Form S-1</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Registration Statement (Registration No. 333-193661).</w:t>
            </w:r>
          </w:p>
        </w:tc>
      </w:tr>
      <w:tr>
        <w:trPr>
          <w:trHeight w:val="404"/>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w w:val="94"/>
              </w:rPr>
              <w:t>Amended and Restated By-Laws of Paylocity Holding Corporation. (filed as Exhibit 3.4 of Paylocity Holding Corporation’s Form S-1</w:t>
            </w:r>
          </w:p>
        </w:tc>
      </w:tr>
      <w:tr>
        <w:trPr>
          <w:trHeight w:val="230"/>
        </w:trPr>
        <w:tc>
          <w:tcPr>
            <w:tcW w:w="1260" w:type="dxa"/>
            <w:vAlign w:val="bottom"/>
          </w:tcPr>
          <w:p>
            <w:pPr>
              <w:spacing w:after="0"/>
              <w:rPr>
                <w:sz w:val="20"/>
                <w:szCs w:val="20"/>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Registration Statement (Registration No. 333-193661).</w:t>
            </w:r>
          </w:p>
        </w:tc>
      </w:tr>
      <w:tr>
        <w:trPr>
          <w:trHeight w:val="419"/>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w w:val="91"/>
              </w:rPr>
              <w:t>Certification of Chief Executive Officer pursuant to Securities Exchange Act Rules 13a-4 and 15d-14 as adopted pursuant to Section 302</w:t>
            </w:r>
          </w:p>
        </w:tc>
      </w:tr>
    </w:tbl>
    <w:p>
      <w:pPr>
        <w:sectPr>
          <w:pgSz w:w="11900" w:h="16838" w:orient="portrait"/>
          <w:cols w:equalWidth="0" w:num="1">
            <w:col w:w="11420"/>
          </w:cols>
          <w:pgMar w:left="240" w:top="125"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Sarbanes-Oxley Act of 2002.</w:t>
            </w:r>
          </w:p>
        </w:tc>
      </w:tr>
      <w:tr>
        <w:trPr>
          <w:trHeight w:val="404"/>
        </w:trPr>
        <w:tc>
          <w:tcPr>
            <w:tcW w:w="1260" w:type="dxa"/>
            <w:vAlign w:val="bottom"/>
            <w:gridSpan w:val="2"/>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Certification of Chief Financial Officer pursuant to Securities Exchange Act Rules 13a-4 and 15d-14 as adopted pursuant to Section 302</w:t>
            </w: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Sarbanes-Oxley Act of 2002.</w:t>
            </w:r>
          </w:p>
        </w:tc>
      </w:tr>
      <w:tr>
        <w:trPr>
          <w:trHeight w:val="404"/>
        </w:trPr>
        <w:tc>
          <w:tcPr>
            <w:tcW w:w="1260" w:type="dxa"/>
            <w:vAlign w:val="bottom"/>
            <w:gridSpan w:val="2"/>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6"/>
              </w:rPr>
              <w:t>Certification pursuant to 18 U.S.C. 1350, adopted pursuant to Section 906 of the Sarbanes-Oxley Act of 2002, by Chief Executive</w:t>
            </w: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Officer.</w:t>
            </w:r>
          </w:p>
        </w:tc>
      </w:tr>
      <w:tr>
        <w:trPr>
          <w:trHeight w:val="419"/>
        </w:trPr>
        <w:tc>
          <w:tcPr>
            <w:tcW w:w="1260" w:type="dxa"/>
            <w:vAlign w:val="bottom"/>
            <w:gridSpan w:val="2"/>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Financial Officer.</w:t>
            </w:r>
          </w:p>
        </w:tc>
      </w:tr>
      <w:tr>
        <w:trPr>
          <w:trHeight w:val="419"/>
        </w:trPr>
        <w:tc>
          <w:tcPr>
            <w:tcW w:w="13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419"/>
        </w:trPr>
        <w:tc>
          <w:tcPr>
            <w:tcW w:w="13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19"/>
                <w:szCs w:val="19"/>
                <w:color w:val="auto"/>
              </w:rPr>
            </w:pPr>
          </w:p>
        </w:tc>
      </w:tr>
      <w:tr>
        <w:trPr>
          <w:trHeight w:val="404"/>
        </w:trPr>
        <w:tc>
          <w:tcPr>
            <w:tcW w:w="13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19"/>
        </w:trPr>
        <w:tc>
          <w:tcPr>
            <w:tcW w:w="13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19"/>
        </w:trPr>
        <w:tc>
          <w:tcPr>
            <w:tcW w:w="13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-1562100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left="440" w:hanging="433"/>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0"/>
                <w:szCs w:val="20"/>
                <w:color w:val="auto"/>
              </w:rPr>
            </w:pPr>
          </w:p>
        </w:tc>
      </w:tr>
      <w:tr>
        <w:trPr>
          <w:trHeight w:val="432"/>
        </w:trPr>
        <w:tc>
          <w:tcPr>
            <w:tcW w:w="5360" w:type="dxa"/>
            <w:vAlign w:val="bottom"/>
            <w:gridSpan w:val="4"/>
          </w:tcPr>
          <w:p>
            <w:pPr>
              <w:spacing w:after="0"/>
              <w:rPr>
                <w:sz w:val="20"/>
                <w:szCs w:val="20"/>
                <w:color w:val="auto"/>
              </w:rPr>
            </w:pPr>
            <w:r>
              <w:rPr>
                <w:rFonts w:ascii="Arial" w:cs="Arial" w:eastAsia="Arial" w:hAnsi="Arial"/>
                <w:sz w:val="18"/>
                <w:szCs w:val="18"/>
                <w:color w:val="auto"/>
              </w:rPr>
              <w:t>Date: November 6, 2015</w:t>
            </w:r>
          </w:p>
        </w:tc>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6"/>
                <w:szCs w:val="16"/>
                <w:color w:val="auto"/>
              </w:rPr>
            </w:pPr>
          </w:p>
        </w:tc>
        <w:tc>
          <w:tcPr>
            <w:tcW w:w="5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Steven R. Beauchamp</w:t>
            </w:r>
          </w:p>
        </w:tc>
        <w:tc>
          <w:tcPr>
            <w:tcW w:w="40" w:type="dxa"/>
            <w:vAlign w:val="bottom"/>
          </w:tcPr>
          <w:p>
            <w:pPr>
              <w:spacing w:after="0"/>
              <w:rPr>
                <w:sz w:val="16"/>
                <w:szCs w:val="16"/>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648"/>
        </w:trPr>
        <w:tc>
          <w:tcPr>
            <w:tcW w:w="5360" w:type="dxa"/>
            <w:vAlign w:val="bottom"/>
            <w:gridSpan w:val="4"/>
          </w:tcPr>
          <w:p>
            <w:pPr>
              <w:ind w:left="60"/>
              <w:spacing w:after="0"/>
              <w:rPr>
                <w:sz w:val="20"/>
                <w:szCs w:val="20"/>
                <w:color w:val="auto"/>
              </w:rPr>
            </w:pPr>
            <w:r>
              <w:rPr>
                <w:rFonts w:ascii="Arial" w:cs="Arial" w:eastAsia="Arial" w:hAnsi="Arial"/>
                <w:sz w:val="18"/>
                <w:szCs w:val="18"/>
                <w:color w:val="auto"/>
              </w:rPr>
              <w:t>Date: November 6, 2015</w:t>
            </w:r>
          </w:p>
        </w:tc>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J. McGrail</w:t>
            </w:r>
          </w:p>
        </w:tc>
        <w:tc>
          <w:tcPr>
            <w:tcW w:w="40" w:type="dxa"/>
            <w:vAlign w:val="bottom"/>
          </w:tcPr>
          <w:p>
            <w:pPr>
              <w:spacing w:after="0"/>
              <w:rPr>
                <w:sz w:val="24"/>
                <w:szCs w:val="24"/>
                <w:color w:val="auto"/>
              </w:rPr>
            </w:pPr>
          </w:p>
        </w:tc>
      </w:tr>
      <w:tr>
        <w:trPr>
          <w:trHeight w:val="191"/>
        </w:trPr>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6"/>
                <w:szCs w:val="16"/>
                <w:color w:val="auto"/>
              </w:rPr>
            </w:pPr>
          </w:p>
        </w:tc>
        <w:tc>
          <w:tcPr>
            <w:tcW w:w="5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Peter J. McGrail</w:t>
            </w:r>
          </w:p>
        </w:tc>
        <w:tc>
          <w:tcPr>
            <w:tcW w:w="40" w:type="dxa"/>
            <w:vAlign w:val="bottom"/>
          </w:tcPr>
          <w:p>
            <w:pPr>
              <w:spacing w:after="0"/>
              <w:rPr>
                <w:sz w:val="16"/>
                <w:szCs w:val="16"/>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 Financial and Accounting Officer)</w:t>
            </w:r>
          </w:p>
        </w:tc>
        <w:tc>
          <w:tcPr>
            <w:tcW w:w="4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3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 Nos.</w:t>
            </w:r>
          </w:p>
        </w:tc>
        <w:tc>
          <w:tcPr>
            <w:tcW w:w="3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First Amended and Restated Certificate of Incorporation (filed as Exhibit 3.2 of the Paylocity Holding Corporation’s Form S-1</w:t>
            </w:r>
          </w:p>
        </w:tc>
        <w:tc>
          <w:tcPr>
            <w:tcW w:w="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Registration Statement (Registration No. 333-193661).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6"/>
              </w:rPr>
              <w:t>Amended and Restated By-Laws of Paylocity Holding Corporation. (filed as Exhibit 3.4 of Paylocity Holding Corporation’s Form S-1</w:t>
            </w:r>
          </w:p>
        </w:tc>
        <w:tc>
          <w:tcPr>
            <w:tcW w:w="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Registration Statement (Registration No. 333-193661).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2"/>
              </w:rPr>
              <w:t>Certification of Chief Executive Officer pursuant to Securities Exchange Act Rules 13a-4 and 15d-14 as adopted pursuant to Section 302</w:t>
            </w:r>
          </w:p>
        </w:tc>
        <w:tc>
          <w:tcPr>
            <w:tcW w:w="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1"/>
              </w:rPr>
              <w:t>Certification of Chief Financial Officer pursuant to Securities Exchange Act Rules 13a-4 and 15d-14 as adopted pursuant to Section 302 of</w:t>
            </w:r>
          </w:p>
        </w:tc>
        <w:tc>
          <w:tcPr>
            <w:tcW w:w="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 Sarbanes-Oxley Act of 2002.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-2822575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-2822575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adopted pursuant to Section 906 of the Sarbanes-Oxley Act of 2002, by Chief Financial Officer.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220980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600"/>
            <w:col w:w="9920"/>
          </w:cols>
          <w:pgMar w:left="240" w:top="125" w:right="359" w:bottom="1440" w:gutter="0" w:footer="0" w:header="0"/>
        </w:sectPr>
      </w:pPr>
    </w:p>
    <w:p>
      <w:pPr>
        <w:spacing w:after="0" w:line="255" w:lineRule="exact"/>
        <w:rPr>
          <w:sz w:val="20"/>
          <w:szCs w:val="20"/>
          <w:color w:val="auto"/>
        </w:rPr>
      </w:pPr>
    </w:p>
    <w:p>
      <w:pPr>
        <w:ind w:left="440" w:hanging="433"/>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225" w:lineRule="exact"/>
        <w:rPr>
          <w:sz w:val="20"/>
          <w:szCs w:val="20"/>
          <w:color w:val="auto"/>
        </w:rPr>
      </w:pPr>
    </w:p>
    <w:p>
      <w:pPr>
        <w:ind w:left="1060" w:hanging="17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September 30, 2015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November 6, 2015</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c>
          <w:tcPr>
            <w:tcW w:w="40" w:type="dxa"/>
            <w:vAlign w:val="bottom"/>
          </w:tcPr>
          <w:p>
            <w:pPr>
              <w:spacing w:after="0"/>
              <w:rPr>
                <w:sz w:val="20"/>
                <w:szCs w:val="20"/>
                <w:color w:val="auto"/>
              </w:rPr>
            </w:pPr>
          </w:p>
        </w:tc>
      </w:tr>
      <w:tr>
        <w:trPr>
          <w:trHeight w:val="191"/>
        </w:trPr>
        <w:tc>
          <w:tcPr>
            <w:tcW w:w="6460" w:type="dxa"/>
            <w:vAlign w:val="bottom"/>
          </w:tcPr>
          <w:p>
            <w:pPr>
              <w:ind w:left="5660"/>
              <w:spacing w:after="0" w:line="191" w:lineRule="exact"/>
              <w:rPr>
                <w:sz w:val="20"/>
                <w:szCs w:val="20"/>
                <w:color w:val="auto"/>
              </w:rPr>
            </w:pPr>
            <w:r>
              <w:rPr>
                <w:rFonts w:ascii="Arial" w:cs="Arial" w:eastAsia="Arial" w:hAnsi="Arial"/>
                <w:sz w:val="18"/>
                <w:szCs w:val="18"/>
                <w:b w:val="1"/>
                <w:bCs w:val="1"/>
                <w:color w:val="auto"/>
              </w:rPr>
              <w:t>Name:</w:t>
            </w:r>
          </w:p>
        </w:tc>
        <w:tc>
          <w:tcPr>
            <w:tcW w:w="4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Steven R. Beauchamp</w:t>
            </w:r>
          </w:p>
        </w:tc>
        <w:tc>
          <w:tcPr>
            <w:tcW w:w="40" w:type="dxa"/>
            <w:vAlign w:val="bottom"/>
          </w:tcPr>
          <w:p>
            <w:pPr>
              <w:spacing w:after="0"/>
              <w:rPr>
                <w:sz w:val="16"/>
                <w:szCs w:val="16"/>
                <w:color w:val="auto"/>
              </w:rPr>
            </w:pPr>
          </w:p>
        </w:tc>
      </w:tr>
      <w:tr>
        <w:trPr>
          <w:trHeight w:val="234"/>
        </w:trPr>
        <w:tc>
          <w:tcPr>
            <w:tcW w:w="6460" w:type="dxa"/>
            <w:vAlign w:val="bottom"/>
          </w:tcPr>
          <w:p>
            <w:pPr>
              <w:ind w:left="5660"/>
              <w:spacing w:after="0"/>
              <w:rPr>
                <w:sz w:val="20"/>
                <w:szCs w:val="20"/>
                <w:color w:val="auto"/>
              </w:rPr>
            </w:pPr>
            <w:r>
              <w:rPr>
                <w:rFonts w:ascii="Arial" w:cs="Arial" w:eastAsia="Arial" w:hAnsi="Arial"/>
                <w:sz w:val="18"/>
                <w:szCs w:val="18"/>
                <w:b w:val="1"/>
                <w:bCs w:val="1"/>
                <w:color w:val="auto"/>
              </w:rPr>
              <w:t>Title:</w:t>
            </w:r>
          </w:p>
        </w:tc>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J. McGrail, certify that:</w:t>
      </w:r>
    </w:p>
    <w:p>
      <w:pPr>
        <w:spacing w:after="0" w:line="225" w:lineRule="exact"/>
        <w:rPr>
          <w:sz w:val="20"/>
          <w:szCs w:val="20"/>
          <w:color w:val="auto"/>
        </w:rPr>
      </w:pPr>
    </w:p>
    <w:p>
      <w:pPr>
        <w:ind w:left="1060" w:hanging="17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Paylocity Holding Corporation (the “Company”);</w:t>
      </w:r>
    </w:p>
    <w:p>
      <w:pPr>
        <w:spacing w:after="0" w:line="225" w:lineRule="exact"/>
        <w:rPr>
          <w:rFonts w:ascii="Arial" w:cs="Arial" w:eastAsia="Arial" w:hAnsi="Arial"/>
          <w:sz w:val="18"/>
          <w:szCs w:val="18"/>
          <w:color w:val="auto"/>
        </w:rPr>
      </w:pPr>
    </w:p>
    <w:p>
      <w:pPr>
        <w:ind w:left="440" w:right="180" w:firstLine="449"/>
        <w:spacing w:after="0" w:line="264" w:lineRule="auto"/>
        <w:tabs>
          <w:tab w:leader="none" w:pos="10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40" w:firstLine="449"/>
        <w:spacing w:after="0" w:line="308" w:lineRule="auto"/>
        <w:tabs>
          <w:tab w:leader="none" w:pos="106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40" w:right="120" w:firstLine="449"/>
        <w:spacing w:after="0" w:line="264" w:lineRule="auto"/>
        <w:tabs>
          <w:tab w:leader="none" w:pos="10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hanging="170"/>
        <w:spacing w:after="0"/>
        <w:tabs>
          <w:tab w:leader="none" w:pos="15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880" w:right="260"/>
        <w:spacing w:after="0" w:line="261"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7"/>
          <w:szCs w:val="17"/>
          <w:color w:val="auto"/>
        </w:rPr>
      </w:pPr>
    </w:p>
    <w:p>
      <w:pPr>
        <w:ind w:left="880" w:right="40" w:firstLine="450"/>
        <w:spacing w:after="0" w:line="264" w:lineRule="auto"/>
        <w:tabs>
          <w:tab w:leader="none" w:pos="150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260" w:firstLine="450"/>
        <w:spacing w:after="0" w:line="342" w:lineRule="auto"/>
        <w:tabs>
          <w:tab w:leader="none" w:pos="149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80" w:firstLine="450"/>
        <w:spacing w:after="0" w:line="264" w:lineRule="auto"/>
        <w:tabs>
          <w:tab w:leader="none" w:pos="150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fiscal quarter ended September 30, 2015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80" w:firstLine="449"/>
        <w:spacing w:after="0" w:line="342" w:lineRule="auto"/>
        <w:tabs>
          <w:tab w:leader="none" w:pos="10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480" w:firstLine="450"/>
        <w:spacing w:after="0" w:line="308" w:lineRule="auto"/>
        <w:tabs>
          <w:tab w:leader="none" w:pos="1491"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160" w:firstLine="450"/>
        <w:spacing w:after="0" w:line="277" w:lineRule="auto"/>
        <w:tabs>
          <w:tab w:leader="none" w:pos="150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60"/>
              <w:spacing w:after="0"/>
              <w:rPr>
                <w:sz w:val="20"/>
                <w:szCs w:val="20"/>
                <w:color w:val="auto"/>
              </w:rPr>
            </w:pPr>
            <w:r>
              <w:rPr>
                <w:rFonts w:ascii="Arial" w:cs="Arial" w:eastAsia="Arial" w:hAnsi="Arial"/>
                <w:sz w:val="18"/>
                <w:szCs w:val="18"/>
                <w:color w:val="auto"/>
              </w:rPr>
              <w:t>Date: November 6, 2015</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J. McGrail</w:t>
            </w:r>
          </w:p>
        </w:tc>
        <w:tc>
          <w:tcPr>
            <w:tcW w:w="40" w:type="dxa"/>
            <w:vAlign w:val="bottom"/>
          </w:tcPr>
          <w:p>
            <w:pPr>
              <w:spacing w:after="0"/>
              <w:rPr>
                <w:sz w:val="20"/>
                <w:szCs w:val="20"/>
                <w:color w:val="auto"/>
              </w:rPr>
            </w:pPr>
          </w:p>
        </w:tc>
      </w:tr>
      <w:tr>
        <w:trPr>
          <w:trHeight w:val="191"/>
        </w:trPr>
        <w:tc>
          <w:tcPr>
            <w:tcW w:w="6400" w:type="dxa"/>
            <w:vAlign w:val="bottom"/>
          </w:tcPr>
          <w:p>
            <w:pPr>
              <w:ind w:left="5700"/>
              <w:spacing w:after="0" w:line="191" w:lineRule="exact"/>
              <w:rPr>
                <w:sz w:val="20"/>
                <w:szCs w:val="20"/>
                <w:color w:val="auto"/>
              </w:rPr>
            </w:pPr>
            <w:r>
              <w:rPr>
                <w:rFonts w:ascii="Arial" w:cs="Arial" w:eastAsia="Arial" w:hAnsi="Arial"/>
                <w:sz w:val="18"/>
                <w:szCs w:val="18"/>
                <w:b w:val="1"/>
                <w:bCs w:val="1"/>
                <w:color w:val="auto"/>
              </w:rPr>
              <w:t>Name:</w:t>
            </w:r>
          </w:p>
        </w:tc>
        <w:tc>
          <w:tcPr>
            <w:tcW w:w="5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Peter J. McGrail</w:t>
            </w:r>
          </w:p>
        </w:tc>
        <w:tc>
          <w:tcPr>
            <w:tcW w:w="40" w:type="dxa"/>
            <w:vAlign w:val="bottom"/>
          </w:tcPr>
          <w:p>
            <w:pPr>
              <w:spacing w:after="0"/>
              <w:rPr>
                <w:sz w:val="16"/>
                <w:szCs w:val="16"/>
                <w:color w:val="auto"/>
              </w:rPr>
            </w:pPr>
          </w:p>
        </w:tc>
      </w:tr>
      <w:tr>
        <w:trPr>
          <w:trHeight w:val="216"/>
        </w:trPr>
        <w:tc>
          <w:tcPr>
            <w:tcW w:w="6400" w:type="dxa"/>
            <w:vAlign w:val="bottom"/>
          </w:tcPr>
          <w:p>
            <w:pPr>
              <w:ind w:left="5700"/>
              <w:spacing w:after="0"/>
              <w:rPr>
                <w:sz w:val="20"/>
                <w:szCs w:val="20"/>
                <w:color w:val="auto"/>
              </w:rPr>
            </w:pPr>
            <w:r>
              <w:rPr>
                <w:rFonts w:ascii="Arial" w:cs="Arial" w:eastAsia="Arial" w:hAnsi="Arial"/>
                <w:sz w:val="18"/>
                <w:szCs w:val="18"/>
                <w:b w:val="1"/>
                <w:bCs w:val="1"/>
                <w:color w:val="auto"/>
              </w:rPr>
              <w:t>Title:</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1"/>
              </w:rPr>
              <w:t>Chief Financial Officer (Principal Financial and Accounting</w:t>
            </w:r>
          </w:p>
        </w:tc>
        <w:tc>
          <w:tcPr>
            <w:tcW w:w="4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40" w:type="dxa"/>
            <w:vAlign w:val="bottom"/>
          </w:tcPr>
          <w:p>
            <w:pPr>
              <w:spacing w:after="0"/>
              <w:rPr>
                <w:sz w:val="20"/>
                <w:szCs w:val="20"/>
                <w:color w:val="auto"/>
              </w:rPr>
            </w:pPr>
          </w:p>
        </w:tc>
      </w:tr>
      <w:tr>
        <w:trPr>
          <w:trHeight w:val="348"/>
        </w:trPr>
        <w:tc>
          <w:tcPr>
            <w:tcW w:w="64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Dated: November 6, 2015</w:t>
      </w:r>
      <w:r>
        <w:rPr>
          <w:sz w:val="20"/>
          <w:szCs w:val="20"/>
          <w:color w:val="auto"/>
        </w:rPr>
        <w:tab/>
      </w:r>
      <w:r>
        <w:rPr>
          <w:rFonts w:ascii="Arial" w:cs="Arial" w:eastAsia="Arial" w:hAnsi="Arial"/>
          <w:sz w:val="15"/>
          <w:szCs w:val="15"/>
          <w:color w:val="auto"/>
        </w:rPr>
        <w:t>/S/ Steven R. Beauchamp</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September 30, 2015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0"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Dated: November 6, 2015</w:t>
      </w:r>
      <w:r>
        <w:rPr>
          <w:sz w:val="20"/>
          <w:szCs w:val="20"/>
          <w:color w:val="auto"/>
        </w:rPr>
        <w:tab/>
      </w:r>
      <w:r>
        <w:rPr>
          <w:rFonts w:ascii="Arial" w:cs="Arial" w:eastAsia="Arial" w:hAnsi="Arial"/>
          <w:sz w:val="16"/>
          <w:szCs w:val="16"/>
          <w:color w:val="auto"/>
        </w:rPr>
        <w:t>/S/ Peter J. McGrail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Chief Financial Officer (Principal Financial and Accounting Officer)</w:t>
      </w:r>
    </w:p>
    <w:p>
      <w:pPr>
        <w:spacing w:after="0" w:line="200" w:lineRule="exact"/>
        <w:rPr>
          <w:sz w:val="20"/>
          <w:szCs w:val="20"/>
          <w:color w:val="auto"/>
        </w:rPr>
      </w:pPr>
    </w:p>
    <w:p>
      <w:pPr>
        <w:spacing w:after="0" w:line="238"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lvl w:ilvl="1">
      <w:lvlJc w:val="left"/>
      <w:lvlText w:val="(%2)"/>
      <w:numFmt w:val="decimal"/>
      <w:start w:val="2"/>
    </w:lvl>
  </w:abstractNum>
  <w:abstractNum w:abstractNumId="1">
    <w:nsid w:val="140E0F76"/>
    <w:multiLevelType w:val="hybridMultilevel"/>
    <w:lvl w:ilvl="0">
      <w:lvlJc w:val="left"/>
      <w:lvlText w:val="(%1)"/>
      <w:numFmt w:val="lowerLetter"/>
      <w:start w:val="1"/>
    </w:lvl>
    <w:lvl w:ilvl="1">
      <w:lvlJc w:val="left"/>
      <w:lvlText w:val="%2"/>
      <w:numFmt w:val="decimal"/>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lowerLetter"/>
      <w:start w:val="3"/>
    </w:lvl>
  </w:abstractNum>
  <w:abstractNum w:abstractNumId="4">
    <w:nsid w:val="DED7263"/>
    <w:multiLevelType w:val="hybridMultilevel"/>
    <w:lvl w:ilvl="0">
      <w:lvlJc w:val="left"/>
      <w:lvlText w:val="(%1)"/>
      <w:numFmt w:val="lowerLetter"/>
      <w:start w:val="4"/>
    </w:lvl>
  </w:abstractNum>
  <w:abstractNum w:abstractNumId="5">
    <w:nsid w:val="7FDCC233"/>
    <w:multiLevelType w:val="hybridMultilevel"/>
    <w:lvl w:ilvl="0">
      <w:lvlJc w:val="left"/>
      <w:lvlText w:val="(%1)"/>
      <w:numFmt w:val="lowerLetter"/>
      <w:start w:val="5"/>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2"/>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2019-12-29T13:06:13Z</dcterms:created>
  <dcterms:modified xsi:type="dcterms:W3CDTF">2019-12-29T13:06:13Z</dcterms:modified>
</cp:coreProperties>
</file>