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180340</wp:posOffset>
            </wp:positionV>
            <wp:extent cx="6595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34290"/>
                    </a:xfrm>
                    <a:prstGeom prst="rect">
                      <a:avLst/>
                    </a:prstGeom>
                    <a:noFill/>
                  </pic:spPr>
                </pic:pic>
              </a:graphicData>
            </a:graphic>
          </wp:anchor>
        </w:drawing>
      </w:r>
    </w:p>
    <w:p>
      <w:pPr>
        <w:spacing w:after="0" w:line="3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-203835</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133350</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163830</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660" w:hanging="31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2019</w:t>
      </w:r>
    </w:p>
    <w:p>
      <w:pPr>
        <w:spacing w:after="0" w:line="139" w:lineRule="exact"/>
        <w:rPr>
          <w:sz w:val="24"/>
          <w:szCs w:val="24"/>
          <w:color w:val="auto"/>
        </w:rPr>
      </w:pPr>
    </w:p>
    <w:p>
      <w:pPr>
        <w:ind w:left="660" w:hanging="318"/>
        <w:spacing w:after="0"/>
        <w:tabs>
          <w:tab w:leader="none" w:pos="6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5" w:lineRule="exact"/>
        <w:rPr>
          <w:sz w:val="24"/>
          <w:szCs w:val="24"/>
          <w:color w:val="auto"/>
        </w:rPr>
      </w:pPr>
    </w:p>
    <w:p>
      <w:pPr>
        <w:ind w:left="4040"/>
        <w:spacing w:after="0"/>
        <w:tabs>
          <w:tab w:leader="none" w:pos="6060" w:val="left"/>
        </w:tabs>
        <w:rPr>
          <w:sz w:val="20"/>
          <w:szCs w:val="20"/>
          <w:color w:val="auto"/>
        </w:rPr>
      </w:pPr>
      <w:r>
        <w:rPr>
          <w:rFonts w:ascii="Times New Roman" w:cs="Times New Roman" w:eastAsia="Times New Roman" w:hAnsi="Times New Roman"/>
          <w:sz w:val="14"/>
          <w:szCs w:val="14"/>
          <w:b w:val="1"/>
          <w:bCs w:val="1"/>
          <w:color w:val="auto"/>
        </w:rPr>
        <w:t>For the transition period from</w:t>
        <w:tab/>
        <w:t>to</w:t>
      </w:r>
    </w:p>
    <w:p>
      <w:pPr>
        <w:spacing w:after="0" w:line="136"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Commission file number 001-36348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153670</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4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PAYLOCITY HOLDING CORPORATION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47625</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6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520" w:type="dxa"/>
            <w:vAlign w:val="bottom"/>
            <w:gridSpan w:val="2"/>
          </w:tcPr>
          <w:p>
            <w:pPr>
              <w:jc w:val="center"/>
              <w:ind w:left="154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80" w:type="dxa"/>
            <w:vAlign w:val="bottom"/>
          </w:tcPr>
          <w:p>
            <w:pPr>
              <w:jc w:val="center"/>
              <w:ind w:right="1628"/>
              <w:spacing w:after="0"/>
              <w:rPr>
                <w:sz w:val="20"/>
                <w:szCs w:val="20"/>
                <w:color w:val="auto"/>
              </w:rPr>
            </w:pPr>
            <w:r>
              <w:rPr>
                <w:rFonts w:ascii="Times New Roman" w:cs="Times New Roman" w:eastAsia="Times New Roman" w:hAnsi="Times New Roman"/>
                <w:sz w:val="14"/>
                <w:szCs w:val="14"/>
                <w:b w:val="1"/>
                <w:bCs w:val="1"/>
                <w:color w:val="auto"/>
              </w:rPr>
              <w:t>46-4066644</w:t>
            </w:r>
          </w:p>
        </w:tc>
        <w:tc>
          <w:tcPr>
            <w:tcW w:w="0" w:type="dxa"/>
            <w:vAlign w:val="bottom"/>
          </w:tcPr>
          <w:p>
            <w:pPr>
              <w:spacing w:after="0"/>
              <w:rPr>
                <w:sz w:val="1"/>
                <w:szCs w:val="1"/>
                <w:color w:val="auto"/>
              </w:rPr>
            </w:pPr>
          </w:p>
        </w:tc>
      </w:tr>
      <w:tr>
        <w:trPr>
          <w:trHeight w:val="149"/>
        </w:trPr>
        <w:tc>
          <w:tcPr>
            <w:tcW w:w="3520" w:type="dxa"/>
            <w:vAlign w:val="bottom"/>
            <w:gridSpan w:val="2"/>
          </w:tcPr>
          <w:p>
            <w:pPr>
              <w:jc w:val="center"/>
              <w:ind w:left="154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4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80" w:type="dxa"/>
            <w:vAlign w:val="bottom"/>
          </w:tcPr>
          <w:p>
            <w:pPr>
              <w:jc w:val="center"/>
              <w:ind w:right="1628"/>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3520" w:type="dxa"/>
            <w:vAlign w:val="bottom"/>
            <w:gridSpan w:val="2"/>
          </w:tcPr>
          <w:p>
            <w:pPr>
              <w:jc w:val="center"/>
              <w:ind w:left="154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80" w:type="dxa"/>
            <w:vAlign w:val="bottom"/>
          </w:tcPr>
          <w:p>
            <w:pPr>
              <w:jc w:val="center"/>
              <w:ind w:right="1628"/>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82"/>
        </w:trPr>
        <w:tc>
          <w:tcPr>
            <w:tcW w:w="3520" w:type="dxa"/>
            <w:vAlign w:val="bottom"/>
            <w:gridSpan w:val="2"/>
          </w:tcPr>
          <w:p>
            <w:pPr>
              <w:jc w:val="center"/>
              <w:ind w:left="1648"/>
              <w:spacing w:after="0"/>
              <w:rPr>
                <w:sz w:val="20"/>
                <w:szCs w:val="20"/>
                <w:color w:val="auto"/>
              </w:rPr>
            </w:pPr>
            <w:r>
              <w:rPr>
                <w:rFonts w:ascii="Times New Roman" w:cs="Times New Roman" w:eastAsia="Times New Roman" w:hAnsi="Times New Roman"/>
                <w:sz w:val="14"/>
                <w:szCs w:val="14"/>
                <w:b w:val="1"/>
                <w:bCs w:val="1"/>
                <w:color w:val="auto"/>
              </w:rPr>
              <w:t>1400 American Lane</w:t>
            </w:r>
          </w:p>
        </w:tc>
        <w:tc>
          <w:tcPr>
            <w:tcW w:w="4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80" w:type="dxa"/>
            <w:vAlign w:val="bottom"/>
            <w:vMerge w:val="restart"/>
          </w:tcPr>
          <w:p>
            <w:pPr>
              <w:jc w:val="right"/>
              <w:ind w:right="2328"/>
              <w:spacing w:after="0"/>
              <w:rPr>
                <w:sz w:val="20"/>
                <w:szCs w:val="20"/>
                <w:color w:val="auto"/>
              </w:rPr>
            </w:pPr>
            <w:r>
              <w:rPr>
                <w:rFonts w:ascii="Times New Roman" w:cs="Times New Roman" w:eastAsia="Times New Roman" w:hAnsi="Times New Roman"/>
                <w:sz w:val="14"/>
                <w:szCs w:val="14"/>
                <w:b w:val="1"/>
                <w:bCs w:val="1"/>
                <w:color w:val="auto"/>
              </w:rPr>
              <w:t>60173</w:t>
            </w:r>
          </w:p>
        </w:tc>
        <w:tc>
          <w:tcPr>
            <w:tcW w:w="0" w:type="dxa"/>
            <w:vAlign w:val="bottom"/>
          </w:tcPr>
          <w:p>
            <w:pPr>
              <w:spacing w:after="0"/>
              <w:rPr>
                <w:sz w:val="1"/>
                <w:szCs w:val="1"/>
                <w:color w:val="auto"/>
              </w:rPr>
            </w:pPr>
          </w:p>
        </w:tc>
      </w:tr>
      <w:tr>
        <w:trPr>
          <w:trHeight w:val="151"/>
        </w:trPr>
        <w:tc>
          <w:tcPr>
            <w:tcW w:w="3520" w:type="dxa"/>
            <w:vAlign w:val="bottom"/>
            <w:gridSpan w:val="2"/>
          </w:tcPr>
          <w:p>
            <w:pPr>
              <w:jc w:val="center"/>
              <w:ind w:left="1648"/>
              <w:spacing w:after="0" w:line="151" w:lineRule="exact"/>
              <w:rPr>
                <w:sz w:val="20"/>
                <w:szCs w:val="20"/>
                <w:color w:val="auto"/>
              </w:rPr>
            </w:pPr>
            <w:r>
              <w:rPr>
                <w:rFonts w:ascii="Times New Roman" w:cs="Times New Roman" w:eastAsia="Times New Roman" w:hAnsi="Times New Roman"/>
                <w:sz w:val="14"/>
                <w:szCs w:val="14"/>
                <w:b w:val="1"/>
                <w:bCs w:val="1"/>
                <w:color w:val="auto"/>
              </w:rPr>
              <w:t>Schaumburg, Illinois</w:t>
            </w:r>
          </w:p>
        </w:tc>
        <w:tc>
          <w:tcPr>
            <w:tcW w:w="4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020" w:type="dxa"/>
            <w:vAlign w:val="bottom"/>
            <w:gridSpan w:val="6"/>
          </w:tcPr>
          <w:p>
            <w:pPr>
              <w:jc w:val="center"/>
              <w:ind w:right="1780"/>
              <w:spacing w:after="0" w:line="147" w:lineRule="exact"/>
              <w:rPr>
                <w:sz w:val="20"/>
                <w:szCs w:val="20"/>
                <w:color w:val="auto"/>
              </w:rPr>
            </w:pPr>
            <w:r>
              <w:rPr>
                <w:rFonts w:ascii="Times New Roman" w:cs="Times New Roman" w:eastAsia="Times New Roman" w:hAnsi="Times New Roman"/>
                <w:sz w:val="14"/>
                <w:szCs w:val="14"/>
                <w:color w:val="auto"/>
              </w:rPr>
              <w:t>(Address of principal executive offices)</w:t>
            </w:r>
          </w:p>
        </w:tc>
        <w:tc>
          <w:tcPr>
            <w:tcW w:w="3380" w:type="dxa"/>
            <w:vAlign w:val="bottom"/>
          </w:tcPr>
          <w:p>
            <w:pPr>
              <w:ind w:left="480"/>
              <w:spacing w:after="0" w:line="147" w:lineRule="exact"/>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51"/>
        </w:trPr>
        <w:tc>
          <w:tcPr>
            <w:tcW w:w="3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0" w:type="dxa"/>
            <w:vAlign w:val="bottom"/>
            <w:gridSpan w:val="2"/>
          </w:tcPr>
          <w:p>
            <w:pPr>
              <w:jc w:val="center"/>
              <w:ind w:left="308"/>
              <w:spacing w:after="0" w:line="151" w:lineRule="exact"/>
              <w:rPr>
                <w:sz w:val="20"/>
                <w:szCs w:val="20"/>
                <w:color w:val="auto"/>
              </w:rPr>
            </w:pPr>
            <w:r>
              <w:rPr>
                <w:rFonts w:ascii="Times New Roman" w:cs="Times New Roman" w:eastAsia="Times New Roman" w:hAnsi="Times New Roman"/>
                <w:sz w:val="14"/>
                <w:szCs w:val="14"/>
                <w:b w:val="1"/>
                <w:bCs w:val="1"/>
                <w:color w:val="auto"/>
              </w:rPr>
              <w:t>(847) 463-3200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3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500" w:type="dxa"/>
            <w:vAlign w:val="bottom"/>
            <w:gridSpan w:val="2"/>
          </w:tcPr>
          <w:p>
            <w:pPr>
              <w:spacing w:after="0"/>
              <w:rPr>
                <w:sz w:val="5"/>
                <w:szCs w:val="5"/>
                <w:color w:val="auto"/>
              </w:rPr>
            </w:pPr>
          </w:p>
        </w:tc>
        <w:tc>
          <w:tcPr>
            <w:tcW w:w="3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3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0" w:type="dxa"/>
            <w:vAlign w:val="bottom"/>
          </w:tcPr>
          <w:p>
            <w:pPr>
              <w:spacing w:after="0"/>
              <w:rPr>
                <w:sz w:val="24"/>
                <w:szCs w:val="24"/>
                <w:color w:val="auto"/>
              </w:rPr>
            </w:pPr>
          </w:p>
        </w:tc>
        <w:tc>
          <w:tcPr>
            <w:tcW w:w="310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4"/>
        </w:trPr>
        <w:tc>
          <w:tcPr>
            <w:tcW w:w="328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2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8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PCTY</w:t>
            </w:r>
          </w:p>
        </w:tc>
        <w:tc>
          <w:tcPr>
            <w:tcW w:w="220" w:type="dxa"/>
            <w:vAlign w:val="bottom"/>
            <w:vMerge w:val="continue"/>
          </w:tcPr>
          <w:p>
            <w:pPr>
              <w:spacing w:after="0"/>
              <w:rPr>
                <w:sz w:val="15"/>
                <w:szCs w:val="15"/>
                <w:color w:val="auto"/>
              </w:rPr>
            </w:pPr>
          </w:p>
        </w:tc>
        <w:tc>
          <w:tcPr>
            <w:tcW w:w="33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The NASDAQ Global Select Market LLC</w:t>
            </w:r>
          </w:p>
        </w:tc>
        <w:tc>
          <w:tcPr>
            <w:tcW w:w="0" w:type="dxa"/>
            <w:vAlign w:val="bottom"/>
          </w:tcPr>
          <w:p>
            <w:pPr>
              <w:spacing w:after="0"/>
              <w:rPr>
                <w:sz w:val="1"/>
                <w:szCs w:val="1"/>
                <w:color w:val="auto"/>
              </w:rPr>
            </w:pPr>
          </w:p>
        </w:tc>
      </w:tr>
    </w:tbl>
    <w:p>
      <w:pPr>
        <w:spacing w:after="0" w:line="194" w:lineRule="exact"/>
        <w:rPr>
          <w:sz w:val="24"/>
          <w:szCs w:val="24"/>
          <w:color w:val="auto"/>
        </w:rPr>
      </w:pPr>
    </w:p>
    <w:p>
      <w:pPr>
        <w:ind w:left="20" w:right="560" w:firstLine="441"/>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ind w:left="20"/>
        <w:spacing w:after="0" w:line="188" w:lineRule="exact"/>
        <w:rPr>
          <w:sz w:val="20"/>
          <w:szCs w:val="20"/>
          <w:color w:val="auto"/>
        </w:rPr>
      </w:pPr>
      <w:r>
        <w:rPr>
          <w:rFonts w:ascii="Times New Roman" w:cs="Times New Roman" w:eastAsia="Times New Roman" w:hAnsi="Times New Roman"/>
          <w:sz w:val="14"/>
          <w:szCs w:val="14"/>
          <w:color w:val="auto"/>
        </w:rPr>
        <w:t xml:space="preserve">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12" w:lineRule="exact"/>
        <w:rPr>
          <w:sz w:val="24"/>
          <w:szCs w:val="24"/>
          <w:color w:val="auto"/>
        </w:rPr>
      </w:pPr>
    </w:p>
    <w:p>
      <w:pPr>
        <w:ind w:left="20" w:right="160" w:firstLine="441"/>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10" w:lineRule="exact"/>
        <w:rPr>
          <w:sz w:val="24"/>
          <w:szCs w:val="24"/>
          <w:color w:val="auto"/>
        </w:rPr>
      </w:pPr>
    </w:p>
    <w:p>
      <w:pPr>
        <w:jc w:val="both"/>
        <w:ind w:left="20" w:right="220" w:firstLine="441"/>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540" w:type="dxa"/>
        <w:tblCellMar>
          <w:top w:w="0" w:type="dxa"/>
          <w:left w:w="0" w:type="dxa"/>
          <w:bottom w:w="0" w:type="dxa"/>
          <w:right w:w="0" w:type="dxa"/>
        </w:tblCellMar>
      </w:tblPr>
      <w:tr>
        <w:trPr>
          <w:trHeight w:val="226"/>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580" w:type="dxa"/>
            <w:vAlign w:val="bottom"/>
          </w:tcPr>
          <w:p>
            <w:pPr>
              <w:ind w:left="1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940" w:type="dxa"/>
            <w:vAlign w:val="bottom"/>
          </w:tcPr>
          <w:p>
            <w:pPr>
              <w:ind w:left="2220"/>
              <w:spacing w:after="0"/>
              <w:rPr>
                <w:sz w:val="20"/>
                <w:szCs w:val="20"/>
                <w:color w:val="auto"/>
              </w:rPr>
            </w:pPr>
            <w:r>
              <w:rPr>
                <w:rFonts w:ascii="Times New Roman" w:cs="Times New Roman" w:eastAsia="Times New Roman" w:hAnsi="Times New Roman"/>
                <w:sz w:val="14"/>
                <w:szCs w:val="14"/>
                <w:color w:val="auto"/>
              </w:rPr>
              <w:t>Accelerated Filer</w:t>
            </w:r>
          </w:p>
        </w:tc>
        <w:tc>
          <w:tcPr>
            <w:tcW w:w="240" w:type="dxa"/>
            <w:vAlign w:val="bottom"/>
          </w:tcPr>
          <w:p>
            <w:pPr>
              <w:ind w:left="12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580" w:type="dxa"/>
            <w:vAlign w:val="bottom"/>
          </w:tcPr>
          <w:p>
            <w:pPr>
              <w:ind w:left="1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940" w:type="dxa"/>
            <w:vAlign w:val="bottom"/>
          </w:tcPr>
          <w:p>
            <w:pPr>
              <w:ind w:left="2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40" w:type="dxa"/>
            <w:vAlign w:val="bottom"/>
          </w:tcPr>
          <w:p>
            <w:pPr>
              <w:ind w:left="12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324"/>
        </w:trPr>
        <w:tc>
          <w:tcPr>
            <w:tcW w:w="15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940" w:type="dxa"/>
            <w:vAlign w:val="bottom"/>
          </w:tcPr>
          <w:p>
            <w:pPr>
              <w:ind w:left="2220"/>
              <w:spacing w:after="0"/>
              <w:rPr>
                <w:sz w:val="20"/>
                <w:szCs w:val="20"/>
                <w:color w:val="auto"/>
              </w:rPr>
            </w:pPr>
            <w:r>
              <w:rPr>
                <w:rFonts w:ascii="Times New Roman" w:cs="Times New Roman" w:eastAsia="Times New Roman" w:hAnsi="Times New Roman"/>
                <w:sz w:val="14"/>
                <w:szCs w:val="14"/>
                <w:color w:val="auto"/>
              </w:rPr>
              <w:t>Emerging Growth Company</w:t>
            </w:r>
          </w:p>
        </w:tc>
        <w:tc>
          <w:tcPr>
            <w:tcW w:w="240" w:type="dxa"/>
            <w:vAlign w:val="bottom"/>
          </w:tcPr>
          <w:p>
            <w:pPr>
              <w:ind w:left="80"/>
              <w:spacing w:after="0" w:line="188" w:lineRule="exact"/>
              <w:rPr>
                <w:sz w:val="20"/>
                <w:szCs w:val="20"/>
                <w:color w:val="auto"/>
              </w:rPr>
            </w:pPr>
            <w:r>
              <w:rPr>
                <w:rFonts w:ascii="Arial Unicode MS" w:cs="Arial Unicode MS" w:eastAsia="Arial Unicode MS" w:hAnsi="Arial Unicode MS"/>
                <w:sz w:val="14"/>
                <w:szCs w:val="14"/>
                <w:color w:val="auto"/>
              </w:rPr>
              <w:t>☐</w:t>
            </w:r>
          </w:p>
        </w:tc>
      </w:tr>
    </w:tbl>
    <w:p>
      <w:pPr>
        <w:spacing w:after="0" w:line="108" w:lineRule="exact"/>
        <w:rPr>
          <w:sz w:val="24"/>
          <w:szCs w:val="24"/>
          <w:color w:val="auto"/>
        </w:rPr>
      </w:pPr>
    </w:p>
    <w:p>
      <w:pPr>
        <w:ind w:left="20" w:right="480" w:firstLine="441"/>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100" w:lineRule="exact"/>
        <w:rPr>
          <w:sz w:val="24"/>
          <w:szCs w:val="24"/>
          <w:color w:val="auto"/>
        </w:rPr>
      </w:pPr>
    </w:p>
    <w:p>
      <w:pPr>
        <w:ind w:left="46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46" w:lineRule="exact"/>
        <w:rPr>
          <w:sz w:val="24"/>
          <w:szCs w:val="24"/>
          <w:color w:val="auto"/>
        </w:rPr>
      </w:pPr>
    </w:p>
    <w:p>
      <w:pPr>
        <w:ind w:left="20" w:right="20" w:firstLine="441"/>
        <w:spacing w:after="0" w:line="262"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53,512,911 shares of Common Stock, $0.001 par value per share, as of October 24,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400050</wp:posOffset>
            </wp:positionV>
            <wp:extent cx="659511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5110" cy="260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-19685</wp:posOffset>
            </wp:positionV>
            <wp:extent cx="65951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22860</wp:posOffset>
            </wp:positionV>
            <wp:extent cx="659511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5110" cy="34290"/>
                    </a:xfrm>
                    <a:prstGeom prst="rect">
                      <a:avLst/>
                    </a:prstGeom>
                    <a:noFill/>
                  </pic:spPr>
                </pic:pic>
              </a:graphicData>
            </a:graphic>
          </wp:anchor>
        </w:drawing>
      </w:r>
    </w:p>
    <w:p>
      <w:pPr>
        <w:sectPr>
          <w:pgSz w:w="11900" w:h="16838" w:orient="portrait"/>
          <w:cols w:equalWidth="0" w:num="1">
            <w:col w:w="10400"/>
          </w:cols>
          <w:pgMar w:left="740" w:top="661" w:right="75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20" w:type="dxa"/>
            <w:vAlign w:val="bottom"/>
            <w:gridSpan w:val="15"/>
          </w:tcPr>
          <w:p>
            <w:pPr>
              <w:jc w:val="center"/>
              <w:ind w:right="2940"/>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PART I. FINANCIAL INFORMATION</w:t>
              </w:r>
            </w:hyperlink>
          </w:p>
        </w:tc>
        <w:tc>
          <w:tcPr>
            <w:tcW w:w="5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28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ITEM 1. FINANCIAL STATEMENTS</w:t>
              </w:r>
            </w:hyperlink>
          </w:p>
        </w:tc>
        <w:tc>
          <w:tcPr>
            <w:tcW w:w="5740" w:type="dxa"/>
            <w:vAlign w:val="bottom"/>
            <w:gridSpan w:val="14"/>
          </w:tcPr>
          <w:p>
            <w:pPr>
              <w:spacing w:after="0"/>
              <w:rPr>
                <w:sz w:val="24"/>
                <w:szCs w:val="24"/>
                <w:color w:val="auto"/>
              </w:rPr>
            </w:pPr>
          </w:p>
        </w:tc>
        <w:tc>
          <w:tcPr>
            <w:tcW w:w="500" w:type="dxa"/>
            <w:vAlign w:val="bottom"/>
          </w:tcPr>
          <w:p>
            <w:pPr>
              <w:spacing w:after="0"/>
              <w:rPr>
                <w:sz w:val="24"/>
                <w:szCs w:val="24"/>
                <w:color w:val="auto"/>
              </w:rPr>
            </w:pPr>
          </w:p>
        </w:tc>
      </w:tr>
      <w:tr>
        <w:trPr>
          <w:trHeight w:val="412"/>
        </w:trPr>
        <w:tc>
          <w:tcPr>
            <w:tcW w:w="29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Unaudited Consolidated Balance Sheets</w:t>
              </w:r>
            </w:hyperlink>
          </w:p>
        </w:tc>
        <w:tc>
          <w:tcPr>
            <w:tcW w:w="5660" w:type="dxa"/>
            <w:vAlign w:val="bottom"/>
            <w:gridSpan w:val="13"/>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2"/>
        </w:trPr>
        <w:tc>
          <w:tcPr>
            <w:tcW w:w="8560" w:type="dxa"/>
            <w:vAlign w:val="bottom"/>
            <w:gridSpan w:val="2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Consolidated Statements of Operations and Comprehensive Income</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514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Unaudited Consolidated Statement of Changes in Stockholders’ Equity</w:t>
              </w:r>
            </w:hyperlink>
          </w:p>
        </w:tc>
        <w:tc>
          <w:tcPr>
            <w:tcW w:w="540" w:type="dxa"/>
            <w:vAlign w:val="bottom"/>
            <w:tcBorders>
              <w:top w:val="single" w:sz="8" w:color="0000EE"/>
            </w:tcBorders>
            <w:gridSpan w:val="3"/>
          </w:tcPr>
          <w:p>
            <w:pPr>
              <w:spacing w:after="0"/>
              <w:rPr>
                <w:sz w:val="24"/>
                <w:szCs w:val="24"/>
                <w:color w:val="auto"/>
              </w:rPr>
            </w:pPr>
          </w:p>
        </w:tc>
        <w:tc>
          <w:tcPr>
            <w:tcW w:w="288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36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Unaudited Consolidated Statements of Cash Flows</w:t>
              </w:r>
            </w:hyperlink>
          </w:p>
        </w:tc>
        <w:tc>
          <w:tcPr>
            <w:tcW w:w="4880" w:type="dxa"/>
            <w:vAlign w:val="bottom"/>
            <w:gridSpan w:val="10"/>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42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the Unaudited Consolidated Financial Statements</w:t>
              </w:r>
            </w:hyperlink>
          </w:p>
        </w:tc>
        <w:tc>
          <w:tcPr>
            <w:tcW w:w="434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8560" w:type="dxa"/>
            <w:vAlign w:val="bottom"/>
            <w:gridSpan w:val="22"/>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2. MANAGEMENT’S DISCUSSION AND ANALYSIS OF FINANCIAL CONDITION AND RESULTS</w:t>
              </w:r>
            </w:hyperlink>
          </w:p>
        </w:tc>
        <w:tc>
          <w:tcPr>
            <w:tcW w:w="500" w:type="dxa"/>
            <w:vAlign w:val="bottom"/>
          </w:tcPr>
          <w:p>
            <w:pPr>
              <w:spacing w:after="0"/>
              <w:rPr>
                <w:sz w:val="24"/>
                <w:szCs w:val="24"/>
                <w:color w:val="auto"/>
              </w:rPr>
            </w:pPr>
          </w:p>
        </w:tc>
      </w:tr>
      <w:tr>
        <w:trPr>
          <w:trHeight w:val="196"/>
        </w:trPr>
        <w:tc>
          <w:tcPr>
            <w:tcW w:w="816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OF OPERATIONS</w:t>
              </w:r>
            </w:hyperlink>
          </w:p>
        </w:tc>
        <w:tc>
          <w:tcPr>
            <w:tcW w:w="40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68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8"/>
              </w:rPr>
            </w:pPr>
            <w:hyperlink w:anchor="page34">
              <w:r>
                <w:rPr>
                  <w:rFonts w:ascii="Times New Roman" w:cs="Times New Roman" w:eastAsia="Times New Roman" w:hAnsi="Times New Roman"/>
                  <w:sz w:val="18"/>
                  <w:szCs w:val="18"/>
                  <w:color w:val="0000EE"/>
                  <w:w w:val="98"/>
                </w:rPr>
                <w:t>ITEM 3. QUANTITATIVE AND QUALITATIVE DISCLOSURES ABOUT MARKET RISK</w:t>
              </w:r>
            </w:hyperlink>
          </w:p>
        </w:tc>
        <w:tc>
          <w:tcPr>
            <w:tcW w:w="174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12"/>
        </w:trPr>
        <w:tc>
          <w:tcPr>
            <w:tcW w:w="32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ITEM 4. CONTROLS AND PROCEDURES</w:t>
              </w:r>
            </w:hyperlink>
          </w:p>
        </w:tc>
        <w:tc>
          <w:tcPr>
            <w:tcW w:w="5280" w:type="dxa"/>
            <w:vAlign w:val="bottom"/>
            <w:gridSpan w:val="11"/>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2"/>
        </w:trPr>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60" w:type="dxa"/>
            <w:vAlign w:val="bottom"/>
            <w:gridSpan w:val="13"/>
          </w:tcPr>
          <w:p>
            <w:pPr>
              <w:jc w:val="center"/>
              <w:ind w:right="3100"/>
              <w:spacing w:after="0"/>
              <w:rPr>
                <w:rFonts w:ascii="Times New Roman" w:cs="Times New Roman" w:eastAsia="Times New Roman" w:hAnsi="Times New Roman"/>
                <w:sz w:val="18"/>
                <w:szCs w:val="18"/>
                <w:color w:val="0000EE"/>
                <w:w w:val="97"/>
              </w:rPr>
            </w:pPr>
            <w:hyperlink w:anchor="page36">
              <w:r>
                <w:rPr>
                  <w:rFonts w:ascii="Times New Roman" w:cs="Times New Roman" w:eastAsia="Times New Roman" w:hAnsi="Times New Roman"/>
                  <w:sz w:val="18"/>
                  <w:szCs w:val="18"/>
                  <w:color w:val="0000EE"/>
                  <w:w w:val="97"/>
                </w:rPr>
                <w:t>PART II. OTHER INFORMATION</w:t>
              </w:r>
            </w:hyperlink>
          </w:p>
        </w:tc>
        <w:tc>
          <w:tcPr>
            <w:tcW w:w="500" w:type="dxa"/>
            <w:vAlign w:val="bottom"/>
          </w:tcPr>
          <w:p>
            <w:pPr>
              <w:spacing w:after="0"/>
              <w:rPr>
                <w:sz w:val="24"/>
                <w:szCs w:val="24"/>
                <w:color w:val="auto"/>
              </w:rPr>
            </w:pPr>
          </w:p>
        </w:tc>
      </w:tr>
      <w:tr>
        <w:trPr>
          <w:trHeight w:val="412"/>
        </w:trPr>
        <w:tc>
          <w:tcPr>
            <w:tcW w:w="2900" w:type="dxa"/>
            <w:vAlign w:val="bottom"/>
            <w:gridSpan w:val="9"/>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ITEM 1. LEGAL PROCEEDINGS</w:t>
              </w:r>
            </w:hyperlink>
          </w:p>
        </w:tc>
        <w:tc>
          <w:tcPr>
            <w:tcW w:w="2560" w:type="dxa"/>
            <w:vAlign w:val="bottom"/>
            <w:tcBorders>
              <w:top w:val="single" w:sz="8" w:color="0000EE"/>
            </w:tcBorders>
            <w:gridSpan w:val="7"/>
          </w:tcPr>
          <w:p>
            <w:pPr>
              <w:spacing w:after="0"/>
              <w:rPr>
                <w:sz w:val="24"/>
                <w:szCs w:val="24"/>
                <w:color w:val="auto"/>
              </w:rPr>
            </w:pPr>
          </w:p>
        </w:tc>
        <w:tc>
          <w:tcPr>
            <w:tcW w:w="3100" w:type="dxa"/>
            <w:vAlign w:val="bottom"/>
            <w:gridSpan w:val="6"/>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2"/>
        </w:trPr>
        <w:tc>
          <w:tcPr>
            <w:tcW w:w="206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36">
              <w:r>
                <w:rPr>
                  <w:rFonts w:ascii="Times New Roman" w:cs="Times New Roman" w:eastAsia="Times New Roman" w:hAnsi="Times New Roman"/>
                  <w:sz w:val="18"/>
                  <w:szCs w:val="18"/>
                  <w:color w:val="0000EE"/>
                  <w:w w:val="98"/>
                </w:rPr>
                <w:t>ITEM 1A. RISK FACTORS</w:t>
              </w:r>
            </w:hyperlink>
          </w:p>
        </w:tc>
        <w:tc>
          <w:tcPr>
            <w:tcW w:w="480" w:type="dxa"/>
            <w:vAlign w:val="bottom"/>
            <w:tcBorders>
              <w:top w:val="single" w:sz="8" w:color="0000EE"/>
            </w:tcBorders>
          </w:tcPr>
          <w:p>
            <w:pPr>
              <w:spacing w:after="0"/>
              <w:rPr>
                <w:sz w:val="24"/>
                <w:szCs w:val="24"/>
                <w:color w:val="auto"/>
              </w:rPr>
            </w:pPr>
          </w:p>
        </w:tc>
        <w:tc>
          <w:tcPr>
            <w:tcW w:w="6020" w:type="dxa"/>
            <w:vAlign w:val="bottom"/>
            <w:gridSpan w:val="17"/>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2"/>
        </w:trPr>
        <w:tc>
          <w:tcPr>
            <w:tcW w:w="8560" w:type="dxa"/>
            <w:vAlign w:val="bottom"/>
            <w:gridSpan w:val="22"/>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ITEM 2. UNREGISTERED SALES OF EQUITY SECURITIES AND USE OF PROCEEDS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412"/>
        </w:trPr>
        <w:tc>
          <w:tcPr>
            <w:tcW w:w="386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8"/>
              </w:rPr>
            </w:pPr>
            <w:hyperlink w:anchor="page55">
              <w:r>
                <w:rPr>
                  <w:rFonts w:ascii="Times New Roman" w:cs="Times New Roman" w:eastAsia="Times New Roman" w:hAnsi="Times New Roman"/>
                  <w:sz w:val="18"/>
                  <w:szCs w:val="18"/>
                  <w:color w:val="0000EE"/>
                  <w:w w:val="98"/>
                </w:rPr>
                <w:t>ITEM 3. DEFAULTS UPON SENIOR SECURITIES</w:t>
              </w:r>
            </w:hyperlink>
          </w:p>
        </w:tc>
        <w:tc>
          <w:tcPr>
            <w:tcW w:w="2880" w:type="dxa"/>
            <w:vAlign w:val="bottom"/>
            <w:tcBorders>
              <w:top w:val="single" w:sz="8" w:color="0000EE"/>
            </w:tcBorders>
            <w:gridSpan w:val="6"/>
          </w:tcPr>
          <w:p>
            <w:pPr>
              <w:spacing w:after="0"/>
              <w:rPr>
                <w:sz w:val="24"/>
                <w:szCs w:val="24"/>
                <w:color w:val="auto"/>
              </w:rPr>
            </w:pPr>
          </w:p>
        </w:tc>
        <w:tc>
          <w:tcPr>
            <w:tcW w:w="182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12"/>
        </w:trPr>
        <w:tc>
          <w:tcPr>
            <w:tcW w:w="31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ITEM 4. MINE SAFETY DISCLOSURES</w:t>
              </w:r>
            </w:hyperlink>
          </w:p>
        </w:tc>
        <w:tc>
          <w:tcPr>
            <w:tcW w:w="5440" w:type="dxa"/>
            <w:vAlign w:val="bottom"/>
            <w:gridSpan w:val="12"/>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12"/>
        </w:trPr>
        <w:tc>
          <w:tcPr>
            <w:tcW w:w="25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55">
              <w:r>
                <w:rPr>
                  <w:rFonts w:ascii="Times New Roman" w:cs="Times New Roman" w:eastAsia="Times New Roman" w:hAnsi="Times New Roman"/>
                  <w:sz w:val="18"/>
                  <w:szCs w:val="18"/>
                  <w:color w:val="0000EE"/>
                  <w:w w:val="98"/>
                </w:rPr>
                <w:t>ITEM 5. OTHER INFORMATION</w:t>
              </w:r>
            </w:hyperlink>
          </w:p>
        </w:tc>
        <w:tc>
          <w:tcPr>
            <w:tcW w:w="6000" w:type="dxa"/>
            <w:vAlign w:val="bottom"/>
            <w:gridSpan w:val="16"/>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12"/>
        </w:trPr>
        <w:tc>
          <w:tcPr>
            <w:tcW w:w="15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ITEM 6. EXHIBITS</w:t>
              </w:r>
            </w:hyperlink>
          </w:p>
        </w:tc>
        <w:tc>
          <w:tcPr>
            <w:tcW w:w="7060" w:type="dxa"/>
            <w:vAlign w:val="bottom"/>
            <w:gridSpan w:val="19"/>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12"/>
        </w:trPr>
        <w:tc>
          <w:tcPr>
            <w:tcW w:w="8560" w:type="dxa"/>
            <w:vAlign w:val="bottom"/>
            <w:gridSpan w:val="22"/>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SIGNATURES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669"/>
        </w:trPr>
        <w:tc>
          <w:tcPr>
            <w:tcW w:w="1100" w:type="dxa"/>
            <w:vAlign w:val="bottom"/>
            <w:tcBorders>
              <w:top w:val="single" w:sz="8" w:color="0000EE"/>
            </w:tcBorders>
          </w:tcPr>
          <w:p>
            <w:pPr>
              <w:spacing w:after="0"/>
              <w:rPr>
                <w:sz w:val="24"/>
                <w:szCs w:val="24"/>
                <w:color w:val="auto"/>
              </w:rPr>
            </w:pPr>
          </w:p>
        </w:tc>
        <w:tc>
          <w:tcPr>
            <w:tcW w:w="4040" w:type="dxa"/>
            <w:vAlign w:val="bottom"/>
            <w:gridSpan w:val="14"/>
          </w:tcPr>
          <w:p>
            <w:pPr>
              <w:jc w:val="right"/>
              <w:ind w:right="56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61"/>
        </w:trPr>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13" w:right="1419" w:bottom="1440" w:gutter="0" w:footer="0" w:header="0"/>
        </w:sectPr>
      </w:pPr>
    </w:p>
    <w:bookmarkStart w:id="2" w:name="page3"/>
    <w:bookmarkEnd w:id="2"/>
    <w:p>
      <w:pPr>
        <w:ind w:left="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FINANCIAL INFORMATION</w:t>
      </w:r>
    </w:p>
    <w:p>
      <w:pPr>
        <w:spacing w:after="0" w:line="103"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6"/>
          <w:szCs w:val="16"/>
          <w:b w:val="1"/>
          <w:bCs w:val="1"/>
          <w:color w:val="auto"/>
        </w:rPr>
        <w:t>Item 1.</w:t>
        <w:tab/>
        <w:t>Financial Statements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PAYLOCITY HOLDING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Consolidated Balance Sheets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70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CEEFF"/>
            </w:tcBorders>
          </w:tcPr>
          <w:p>
            <w:pPr>
              <w:spacing w:after="0"/>
              <w:rPr>
                <w:sz w:val="15"/>
                <w:szCs w:val="15"/>
                <w:color w:val="auto"/>
              </w:rPr>
            </w:pPr>
          </w:p>
        </w:tc>
      </w:tr>
      <w:tr>
        <w:trPr>
          <w:trHeight w:val="196"/>
        </w:trPr>
        <w:tc>
          <w:tcPr>
            <w:tcW w:w="7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132,476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100,529</w:t>
            </w:r>
          </w:p>
        </w:tc>
        <w:tc>
          <w:tcPr>
            <w:tcW w:w="20" w:type="dxa"/>
            <w:vAlign w:val="bottom"/>
            <w:shd w:val="clear" w:color="auto" w:fill="CCEEFF"/>
          </w:tcPr>
          <w:p>
            <w:pPr>
              <w:spacing w:after="0"/>
              <w:rPr>
                <w:sz w:val="18"/>
                <w:szCs w:val="18"/>
                <w:color w:val="auto"/>
              </w:rPr>
            </w:pPr>
          </w:p>
        </w:tc>
      </w:tr>
      <w:tr>
        <w:trPr>
          <w:trHeight w:val="216"/>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investments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20" w:type="dxa"/>
            <w:vAlign w:val="bottom"/>
            <w:shd w:val="clear" w:color="auto" w:fill="CCEEFF"/>
          </w:tcPr>
          <w:p>
            <w:pPr>
              <w:spacing w:after="0"/>
              <w:rPr>
                <w:sz w:val="18"/>
                <w:szCs w:val="18"/>
                <w:color w:val="auto"/>
              </w:rPr>
            </w:pPr>
          </w:p>
        </w:tc>
      </w:tr>
      <w:tr>
        <w:trPr>
          <w:trHeight w:val="216"/>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contract costs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23,703</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13,895</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13,941</w:t>
            </w:r>
          </w:p>
        </w:tc>
        <w:tc>
          <w:tcPr>
            <w:tcW w:w="20" w:type="dxa"/>
            <w:vAlign w:val="bottom"/>
            <w:shd w:val="clear" w:color="auto" w:fill="CCEEFF"/>
          </w:tcPr>
          <w:p>
            <w:pPr>
              <w:spacing w:after="0"/>
              <w:rPr>
                <w:sz w:val="18"/>
                <w:szCs w:val="18"/>
                <w:color w:val="auto"/>
              </w:rPr>
            </w:pPr>
          </w:p>
        </w:tc>
      </w:tr>
      <w:tr>
        <w:trPr>
          <w:trHeight w:val="210"/>
        </w:trPr>
        <w:tc>
          <w:tcPr>
            <w:tcW w:w="7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assets before funds held for clients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171,209</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Funds held for clients</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1,394,469</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1,154,527</w:t>
            </w:r>
          </w:p>
        </w:tc>
        <w:tc>
          <w:tcPr>
            <w:tcW w:w="20" w:type="dxa"/>
            <w:vAlign w:val="bottom"/>
            <w:shd w:val="clear" w:color="auto" w:fill="CCEEFF"/>
          </w:tcPr>
          <w:p>
            <w:pPr>
              <w:spacing w:after="0"/>
              <w:rPr>
                <w:sz w:val="18"/>
                <w:szCs w:val="18"/>
                <w:color w:val="auto"/>
              </w:rPr>
            </w:pPr>
          </w:p>
        </w:tc>
      </w:tr>
      <w:tr>
        <w:trPr>
          <w:trHeight w:val="210"/>
        </w:trPr>
        <w:tc>
          <w:tcPr>
            <w:tcW w:w="7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1,596,189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1,325,736</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29,634</w:t>
            </w:r>
          </w:p>
        </w:tc>
        <w:tc>
          <w:tcPr>
            <w:tcW w:w="2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72,584</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50,865</w:t>
            </w:r>
          </w:p>
        </w:tc>
        <w:tc>
          <w:tcPr>
            <w:tcW w:w="2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10,188</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2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contract costs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89,383</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prepaid expenses and other</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20" w:type="dxa"/>
            <w:vAlign w:val="bottom"/>
            <w:shd w:val="clear" w:color="auto" w:fill="CCEEFF"/>
          </w:tcPr>
          <w:p>
            <w:pPr>
              <w:spacing w:after="0"/>
              <w:rPr>
                <w:sz w:val="18"/>
                <w:szCs w:val="18"/>
                <w:color w:val="auto"/>
              </w:rPr>
            </w:pPr>
          </w:p>
        </w:tc>
      </w:tr>
      <w:tr>
        <w:trPr>
          <w:trHeight w:val="216"/>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20" w:type="dxa"/>
            <w:vAlign w:val="bottom"/>
            <w:tcBorders>
              <w:bottom w:val="single" w:sz="8" w:color="CCEEFF"/>
            </w:tcBorders>
          </w:tcPr>
          <w:p>
            <w:pPr>
              <w:spacing w:after="0"/>
              <w:rPr>
                <w:sz w:val="18"/>
                <w:szCs w:val="18"/>
                <w:color w:val="auto"/>
              </w:rPr>
            </w:pPr>
          </w:p>
        </w:tc>
      </w:tr>
      <w:tr>
        <w:trPr>
          <w:trHeight w:val="210"/>
        </w:trPr>
        <w:tc>
          <w:tcPr>
            <w:tcW w:w="7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1,803,941</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1,598,474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7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20" w:type="dxa"/>
            <w:vAlign w:val="bottom"/>
            <w:shd w:val="clear" w:color="auto" w:fill="CCEEFF"/>
          </w:tcPr>
          <w:p>
            <w:pPr>
              <w:spacing w:after="0"/>
              <w:rPr>
                <w:sz w:val="18"/>
                <w:szCs w:val="18"/>
                <w:color w:val="auto"/>
              </w:rPr>
            </w:pPr>
          </w:p>
        </w:tc>
      </w:tr>
      <w:tr>
        <w:trPr>
          <w:trHeight w:val="216"/>
        </w:trPr>
        <w:tc>
          <w:tcPr>
            <w:tcW w:w="7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57,625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51,496</w:t>
            </w:r>
          </w:p>
        </w:tc>
        <w:tc>
          <w:tcPr>
            <w:tcW w:w="20" w:type="dxa"/>
            <w:vAlign w:val="bottom"/>
            <w:tcBorders>
              <w:bottom w:val="single" w:sz="8" w:color="CCEEFF"/>
            </w:tcBorders>
          </w:tcPr>
          <w:p>
            <w:pPr>
              <w:spacing w:after="0"/>
              <w:rPr>
                <w:sz w:val="18"/>
                <w:szCs w:val="18"/>
                <w:color w:val="auto"/>
              </w:rPr>
            </w:pPr>
          </w:p>
        </w:tc>
      </w:tr>
      <w:tr>
        <w:trPr>
          <w:trHeight w:val="210"/>
        </w:trPr>
        <w:tc>
          <w:tcPr>
            <w:tcW w:w="7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 before client fund obligations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56,557</w:t>
            </w:r>
          </w:p>
        </w:tc>
        <w:tc>
          <w:tcPr>
            <w:tcW w:w="20" w:type="dxa"/>
            <w:vAlign w:val="bottom"/>
            <w:shd w:val="clear" w:color="auto" w:fill="CCEEFF"/>
          </w:tcPr>
          <w:p>
            <w:pPr>
              <w:spacing w:after="0"/>
              <w:rPr>
                <w:sz w:val="18"/>
                <w:szCs w:val="18"/>
                <w:color w:val="auto"/>
              </w:rPr>
            </w:pPr>
          </w:p>
        </w:tc>
      </w:tr>
      <w:tr>
        <w:trPr>
          <w:trHeight w:val="216"/>
        </w:trPr>
        <w:tc>
          <w:tcPr>
            <w:tcW w:w="7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Client fund obligations</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1,394,469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1,154,527</w:t>
            </w:r>
          </w:p>
        </w:tc>
        <w:tc>
          <w:tcPr>
            <w:tcW w:w="20" w:type="dxa"/>
            <w:vAlign w:val="bottom"/>
            <w:tcBorders>
              <w:bottom w:val="single" w:sz="8" w:color="CCEEFF"/>
            </w:tcBorders>
          </w:tcPr>
          <w:p>
            <w:pPr>
              <w:spacing w:after="0"/>
              <w:rPr>
                <w:sz w:val="18"/>
                <w:szCs w:val="18"/>
                <w:color w:val="auto"/>
              </w:rPr>
            </w:pPr>
          </w:p>
        </w:tc>
      </w:tr>
      <w:tr>
        <w:trPr>
          <w:trHeight w:val="210"/>
        </w:trPr>
        <w:tc>
          <w:tcPr>
            <w:tcW w:w="7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1,456,048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1,211,084</w:t>
            </w:r>
          </w:p>
        </w:tc>
        <w:tc>
          <w:tcPr>
            <w:tcW w:w="2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76,347</w:t>
            </w:r>
          </w:p>
        </w:tc>
        <w:tc>
          <w:tcPr>
            <w:tcW w:w="2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shd w:val="clear" w:color="auto" w:fill="CCEEFF"/>
          </w:tcPr>
          <w:p>
            <w:pPr>
              <w:spacing w:after="0"/>
              <w:rPr>
                <w:sz w:val="18"/>
                <w:szCs w:val="18"/>
                <w:color w:val="auto"/>
              </w:rPr>
            </w:pPr>
          </w:p>
        </w:tc>
      </w:tr>
      <w:tr>
        <w:trPr>
          <w:trHeight w:val="210"/>
        </w:trPr>
        <w:tc>
          <w:tcPr>
            <w:tcW w:w="70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1,495,977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1,289,015</w:t>
            </w:r>
          </w:p>
        </w:tc>
        <w:tc>
          <w:tcPr>
            <w:tcW w:w="20" w:type="dxa"/>
            <w:vAlign w:val="bottom"/>
            <w:tcBorders>
              <w:bottom w:val="single" w:sz="8" w:color="CCEEFF"/>
            </w:tcBorders>
          </w:tcPr>
          <w:p>
            <w:pPr>
              <w:spacing w:after="0"/>
              <w:rPr>
                <w:sz w:val="18"/>
                <w:szCs w:val="18"/>
                <w:color w:val="auto"/>
              </w:rPr>
            </w:pPr>
          </w:p>
        </w:tc>
      </w:tr>
      <w:tr>
        <w:trPr>
          <w:trHeight w:val="21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8"/>
        </w:trPr>
        <w:tc>
          <w:tcPr>
            <w:tcW w:w="70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 authorized, no shares issued and outstanding at</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June 30, 2019 and September 30, 2019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0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$0.001 par value, 155,000 shares authorized at June 30, 2019 and</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September 30, 2019; 53,075 shares issued and outstanding at June 30, 2019 and 53,511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4"/>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 issued and outstanding at September 30, 2019</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CEEFF"/>
          </w:tcPr>
          <w:p>
            <w:pPr>
              <w:spacing w:after="0"/>
              <w:rPr>
                <w:sz w:val="20"/>
                <w:szCs w:val="20"/>
                <w:color w:val="auto"/>
              </w:rPr>
            </w:pPr>
          </w:p>
        </w:tc>
      </w:tr>
      <w:tr>
        <w:trPr>
          <w:trHeight w:val="216"/>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195,566</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113,723</w:t>
            </w:r>
          </w:p>
        </w:tc>
        <w:tc>
          <w:tcPr>
            <w:tcW w:w="20" w:type="dxa"/>
            <w:vAlign w:val="bottom"/>
            <w:shd w:val="clear" w:color="auto" w:fill="CCEEFF"/>
          </w:tcPr>
          <w:p>
            <w:pPr>
              <w:spacing w:after="0"/>
              <w:rPr>
                <w:sz w:val="18"/>
                <w:szCs w:val="18"/>
                <w:color w:val="auto"/>
              </w:rPr>
            </w:pPr>
          </w:p>
        </w:tc>
      </w:tr>
      <w:tr>
        <w:trPr>
          <w:trHeight w:val="216"/>
        </w:trPr>
        <w:tc>
          <w:tcPr>
            <w:tcW w:w="7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Borders>
              <w:bottom w:val="single" w:sz="8" w:color="CCEEFF"/>
            </w:tcBorders>
          </w:tcPr>
          <w:p>
            <w:pPr>
              <w:spacing w:after="0"/>
              <w:rPr>
                <w:sz w:val="18"/>
                <w:szCs w:val="18"/>
                <w:color w:val="auto"/>
              </w:rPr>
            </w:pPr>
          </w:p>
        </w:tc>
      </w:tr>
      <w:tr>
        <w:trPr>
          <w:trHeight w:val="210"/>
        </w:trPr>
        <w:tc>
          <w:tcPr>
            <w:tcW w:w="7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307,964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309,459</w:t>
            </w:r>
          </w:p>
        </w:tc>
        <w:tc>
          <w:tcPr>
            <w:tcW w:w="20" w:type="dxa"/>
            <w:vAlign w:val="bottom"/>
            <w:shd w:val="clear" w:color="auto" w:fill="CCEEFF"/>
          </w:tcPr>
          <w:p>
            <w:pPr>
              <w:spacing w:after="0"/>
              <w:rPr>
                <w:sz w:val="18"/>
                <w:szCs w:val="18"/>
                <w:color w:val="auto"/>
              </w:rPr>
            </w:pPr>
          </w:p>
        </w:tc>
      </w:tr>
      <w:tr>
        <w:trPr>
          <w:trHeight w:val="210"/>
        </w:trPr>
        <w:tc>
          <w:tcPr>
            <w:tcW w:w="7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1,803,941</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1,598,474</w:t>
            </w:r>
          </w:p>
        </w:tc>
        <w:tc>
          <w:tcPr>
            <w:tcW w:w="20" w:type="dxa"/>
            <w:vAlign w:val="bottom"/>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9100"/>
          </w:cols>
          <w:pgMar w:left="1400" w:top="513" w:right="139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360680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00" w:top="513" w:right="139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PAYLOCITY HOLDING CORPORATION Unaudited Consolidated Statements of Operations and Comprehensive Income (in thousands, except per share data)</w:t>
      </w:r>
    </w:p>
    <w:p>
      <w:pPr>
        <w:spacing w:after="0" w:line="182"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6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180" w:type="dxa"/>
            <w:vAlign w:val="bottom"/>
            <w:tcBorders>
              <w:bottom w:val="single" w:sz="8" w:color="CCEEFF"/>
            </w:tcBorders>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1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9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64,562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84,090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income</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9,852</w:t>
            </w:r>
          </w:p>
        </w:tc>
        <w:tc>
          <w:tcPr>
            <w:tcW w:w="2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income, net of tax</w:t>
            </w:r>
          </w:p>
        </w:tc>
        <w:tc>
          <w:tcPr>
            <w:tcW w:w="19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Unrealized gains on securities, net of tax</w:t>
            </w:r>
          </w:p>
        </w:tc>
        <w:tc>
          <w:tcPr>
            <w:tcW w:w="19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1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9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2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8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9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tcBorders>
              <w:bottom w:val="single" w:sz="8" w:color="CCEEFF"/>
            </w:tcBorders>
            <w:vMerge w:val="continue"/>
          </w:tcPr>
          <w:p>
            <w:pPr>
              <w:spacing w:after="0"/>
              <w:rPr>
                <w:sz w:val="20"/>
                <w:szCs w:val="20"/>
                <w:color w:val="auto"/>
              </w:rPr>
            </w:pPr>
          </w:p>
        </w:tc>
        <w:tc>
          <w:tcPr>
            <w:tcW w:w="19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0.18</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52,865</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53,287</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20" w:type="dxa"/>
            <w:vAlign w:val="bottom"/>
            <w:vMerge w:val="continue"/>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55,487</w:t>
            </w:r>
          </w:p>
        </w:tc>
        <w:tc>
          <w:tcPr>
            <w:tcW w:w="200" w:type="dxa"/>
            <w:vAlign w:val="bottom"/>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55,713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PAYLOCITY HOLDING CORPORATION Unaudited Consolidated Statement of Changes in Stockholders’ Equity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2018</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4"/>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9"/>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9"/>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5"/>
                <w:szCs w:val="15"/>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5"/>
                <w:szCs w:val="15"/>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tcBorders>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Deficit)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2018</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52,758</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$ 219,588</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212,824</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Cumulative effect of change in accounting</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policy (adoption of Topic 606)</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vesting of</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1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Net settlement for taxes and/or exercise</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price related to equity awards</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(20,037)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(20,037)</w:t>
            </w:r>
          </w:p>
        </w:tc>
        <w:tc>
          <w:tcPr>
            <w:tcW w:w="0" w:type="dxa"/>
            <w:vAlign w:val="bottom"/>
          </w:tcPr>
          <w:p>
            <w:pPr>
              <w:spacing w:after="0"/>
              <w:rPr>
                <w:sz w:val="1"/>
                <w:szCs w:val="1"/>
                <w:color w:val="auto"/>
              </w:rPr>
            </w:pPr>
          </w:p>
        </w:tc>
      </w:tr>
      <w:tr>
        <w:trPr>
          <w:trHeight w:val="216"/>
        </w:trPr>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shares</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(34,991)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(34,991)</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Unrealized gains on securities, net of tax</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30, 2018</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52,796</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$ 176,851</w:t>
            </w:r>
          </w:p>
        </w:tc>
        <w:tc>
          <w:tcPr>
            <w:tcW w:w="4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55,846</w:t>
            </w:r>
          </w:p>
        </w:tc>
        <w:tc>
          <w:tcPr>
            <w:tcW w:w="4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232,626</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4"/>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9"/>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9"/>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2019</w:t>
            </w:r>
          </w:p>
        </w:tc>
        <w:tc>
          <w:tcPr>
            <w:tcW w:w="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53,075</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$ 207,982</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99,817</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12,718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4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vesting of</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restricted stock units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4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settlement for taxes and/or exercise</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 related to equity awards</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(25,253)</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gains on securities, net of tax</w:t>
            </w: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at September 30, 2019</w:t>
            </w:r>
          </w:p>
        </w:tc>
        <w:tc>
          <w:tcPr>
            <w:tcW w:w="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53,511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$ 195,566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113,723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4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6"/>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2018 </w:t>
            </w:r>
            <w:r>
              <w:rPr>
                <w:rFonts w:ascii="Times New Roman" w:cs="Times New Roman" w:eastAsia="Times New Roman" w:hAnsi="Times New Roman"/>
                <w:sz w:val="10"/>
                <w:szCs w:val="10"/>
                <w:b w:val="1"/>
                <w:bCs w:val="1"/>
                <w:color w:val="auto"/>
              </w:rPr>
              <w:t>(1)</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9,852</w:t>
            </w:r>
          </w:p>
        </w:tc>
        <w:tc>
          <w:tcPr>
            <w:tcW w:w="160" w:type="dxa"/>
            <w:vAlign w:val="bottom"/>
          </w:tcPr>
          <w:p>
            <w:pPr>
              <w:spacing w:after="0"/>
              <w:rPr>
                <w:sz w:val="18"/>
                <w:szCs w:val="18"/>
                <w:color w:val="auto"/>
              </w:rPr>
            </w:pPr>
          </w:p>
        </w:tc>
        <w:tc>
          <w:tcPr>
            <w:tcW w:w="140" w:type="dxa"/>
            <w:vAlign w:val="bottom"/>
            <w:gridSpan w:val="2"/>
          </w:tcPr>
          <w:p>
            <w:pPr>
              <w:jc w:val="right"/>
              <w:ind w:right="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Deferred income tax benefit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doubtful accounts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accretion of discounts and amortization of premiums on available-for-sale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Loss on disposal of equipment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Accounts receivable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Deferred contract costs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Prepaid expenses and 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Accounts payable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7"/>
                <w:szCs w:val="17"/>
                <w:color w:val="auto"/>
              </w:rPr>
              <w:t>Accrued expenses and other</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(6,214)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(9,253)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Purchases of available-for-sale securities and other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sales and maturities of available-for-sale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Capitalized internal-use software costs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(8,033)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(33,214)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change in client fund obligations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(239,942)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Repurchases of common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Taxes paid related to net share settlement of equity awards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(17,880)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(109,932)</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(265,360)</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change in cash, cash equivalents and funds held for clients' cash and cash equivalents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(129,378)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(290,309)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cash equivalents and funds held for clients' cash and cash equivalents—beginning of period</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1,239,731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1,426,143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funds held for clients' cash and cash equivalents—end of period</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1,110,353</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1,135,834</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Supplemental Disclosure of Non-Cash Investing and Financing Activities</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Purchases of property and equipment, accrued but not paid</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w:t>
            </w:r>
          </w:p>
        </w:tc>
        <w:tc>
          <w:tcPr>
            <w:tcW w:w="1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7"/>
                <w:szCs w:val="17"/>
                <w:color w:val="auto"/>
              </w:rPr>
              <w:t>Repurchases of common shares, accrued but not paid</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313</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Cash paid for income taxes, net of refunds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160" w:type="dxa"/>
            <w:vAlign w:val="bottom"/>
          </w:tcPr>
          <w:p>
            <w:pPr>
              <w:spacing w:after="0"/>
              <w:rPr>
                <w:sz w:val="21"/>
                <w:szCs w:val="21"/>
                <w:color w:val="auto"/>
              </w:rPr>
            </w:pPr>
          </w:p>
        </w:tc>
        <w:tc>
          <w:tcPr>
            <w:tcW w:w="140" w:type="dxa"/>
            <w:vAlign w:val="bottom"/>
            <w:gridSpan w:val="2"/>
          </w:tcPr>
          <w:p>
            <w:pPr>
              <w:jc w:val="right"/>
              <w:ind w:right="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900" w:type="dxa"/>
            <w:vAlign w:val="bottom"/>
            <w:tcBorders>
              <w:top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5"/>
                <w:szCs w:val="15"/>
                <w:color w:val="auto"/>
              </w:rPr>
              <w:t>Reconciliation of cash, cash equivalents and funds held for clients' cash and cash equivalents to the</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Consolidated Balance Sheets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63,662</w:t>
            </w:r>
          </w:p>
        </w:tc>
        <w:tc>
          <w:tcPr>
            <w:tcW w:w="160" w:type="dxa"/>
            <w:vAlign w:val="bottom"/>
          </w:tcPr>
          <w:p>
            <w:pPr>
              <w:spacing w:after="0"/>
              <w:rPr>
                <w:sz w:val="19"/>
                <w:szCs w:val="19"/>
                <w:color w:val="auto"/>
              </w:rPr>
            </w:pPr>
          </w:p>
        </w:tc>
        <w:tc>
          <w:tcPr>
            <w:tcW w:w="140" w:type="dxa"/>
            <w:vAlign w:val="bottom"/>
            <w:gridSpan w:val="2"/>
          </w:tcPr>
          <w:p>
            <w:pPr>
              <w:jc w:val="right"/>
              <w:ind w:right="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100,529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Funds held for clients' cash and cash equivalents</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1,046,691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1,035,305</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cash, cash equivalents and funds held for clients' cash and cash equivalents</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1,110,353</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1,135,834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ind w:left="220" w:right="360" w:hanging="211"/>
        <w:spacing w:after="0" w:line="243" w:lineRule="auto"/>
        <w:tabs>
          <w:tab w:leader="none" w:pos="22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rPr>
        <w:t>Certain amounts have been reclassified to reflect the adoption of Accounting Standards Update (“ASU”) No. 2016-18, “Statement of Cash Flows (Topic 230): Restricted Cash (a consensus of the FASB Emerging Issues Task Force).” Refer to Note 2 of the audited consolidated financial statements included in the Annual Report on Form 10-K for the fiscal year ended June 30, 2019.</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per share data)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Paylocity Holding Corporation (the “Company”) is a cloud-based provider of payroll and human capital management software solutions for medium-sized organizations. Services are provided in a Software-as-a-Service (“SaaS”) delivery model utilizing the Company’s cloud-based platform. The Company’s comprehensive product suite delivers a unified platform that allows clients to make strategic decisions in the areas of payroll, core HR, workforce management, talent and benefits.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300" w:hanging="291"/>
        <w:spacing w:after="0"/>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Basis of Presentation, Consolidation and Use of Estimates</w:t>
      </w:r>
    </w:p>
    <w:p>
      <w:pPr>
        <w:spacing w:after="0" w:line="22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These unaudited consolidated financial statements have been prepared in accordance with U.S. generally accepted accounting principles (“GAAP”). The unaudited consolidated financial statements include the accounts of the Company and its wholly owned subsidiaries. All intercompany accounts and transactions have been eliminated in consolidation.</w:t>
      </w:r>
    </w:p>
    <w:p>
      <w:pPr>
        <w:spacing w:after="0" w:line="176"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change as new events occur, as more experience is acquired, as additional information is obtained and as the operating environment changes.</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Beginning in fiscal 2020, the Company simplified the presentation of revenue and cost of revenues on its Unaudited Consolidated Statements of Operations and Comprehensive Income. The line items “Recurring fees” and “Implementation services and other” have been consolidated into one revenue line: “Recurring and other revenue”. Likewise, the line items “Cost of revenues – recurring revenues” and “Cost of revenues – implementation services and other” have been consolidated into one line: “Cost of revenues”. The Company changed the presentation of revenue and cost of revenues as Implementation services and other has become a smaller component of its overall revenue mix due to the human capital management (“HCM”) suite becoming a larger part of the portfolio. Previously reported results for the three-month period ended September 30, 2018 have been reclassified to conform to the current presentation.</w:t>
      </w:r>
    </w:p>
    <w:p>
      <w:pPr>
        <w:spacing w:after="0" w:line="181" w:lineRule="exact"/>
        <w:rPr>
          <w:sz w:val="20"/>
          <w:szCs w:val="20"/>
          <w:color w:val="auto"/>
        </w:rPr>
      </w:pPr>
    </w:p>
    <w:p>
      <w:pPr>
        <w:ind w:left="300" w:hanging="291"/>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Interim Unaudited Consolidated Financial Information</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three months ended September 30, 2019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2019 included in the Company’s Annual Report on Form 10-K filed with the SEC on August 9, 2019.</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0" w:hanging="291"/>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Income taxes are accounted for in accordance with ASC 740, Income Taxes, using the asset and liability method. The Company’s provision for income taxes is based on the annual effective rate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net-recorded amount, it would make an adjustment to the deferred tax asset valuation allowance, which would reduce the provision for income taxes.</w:t>
      </w:r>
    </w:p>
    <w:p>
      <w:pPr>
        <w:spacing w:after="0" w:line="184" w:lineRule="exact"/>
        <w:rPr>
          <w:sz w:val="20"/>
          <w:szCs w:val="20"/>
          <w:color w:val="auto"/>
        </w:rPr>
      </w:pPr>
    </w:p>
    <w:p>
      <w:pPr>
        <w:ind w:left="300" w:hanging="291"/>
        <w:spacing w:after="0"/>
        <w:tabs>
          <w:tab w:leader="none" w:pos="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7" w:lineRule="exact"/>
        <w:rPr>
          <w:sz w:val="20"/>
          <w:szCs w:val="20"/>
          <w:color w:val="auto"/>
        </w:rPr>
      </w:pPr>
    </w:p>
    <w:p>
      <w:pPr>
        <w:ind w:right="220" w:firstLine="648"/>
        <w:spacing w:after="0" w:line="259"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requires lessees to recognize leases on-balance sheet and disclose key information about leasing arrangements. The new standard establishes a right-of-use (“ROU”) model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w:t>
      </w:r>
    </w:p>
    <w:p>
      <w:pPr>
        <w:spacing w:after="0" w:line="18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Company adopted the new standard on July 1, 2019 using the modified retrospective method and the transition relief guidance provided by the FASB in ASU 2018-11, Leases (Topic 842): Targeted Improvements. Consequently, the Company did not update financial information or provide disclosures required under the new standard for dates and periods prior to July 1, 2019. The Company elected the package of practical expedients and did not reassess prior conclusions on whether contracts are or contain a lease, lease classification, and initial direct costs. In addition, the Company adopted the lessee practical expedient to combine lease and non-lease components for all asset classes and elected to not recognize ROU assets and lease liabilities for leases with a term of 12 months or less.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Adoption of the new standard resulted in the Company recording of operating lease ROU assets and operating lease liabilities of $52,083 and $83,852, respectively, as of July 1, 2019. The ROU assets were recorded net of $31,769 in deferred rent adjustments that were previously recorded in Accrued expenses and Deferred rent on the Consolidated Balance Sheets as of June 30, 2019. The adoption of this standard did not result in any cumulative-effect adjustments to Retained earnings.</w:t>
      </w:r>
    </w:p>
    <w:p>
      <w:pPr>
        <w:spacing w:after="0" w:line="3"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Additionally, there was no impact on the Company’s unaudited consolidated statements of operations and comprehensive income or the unaudited statement of cash flows as a result of the adoption of Topic 842 for the three months ended September 30, 2019.</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8 for additional disclosures over the Company’s leases.</w:t>
      </w:r>
    </w:p>
    <w:p>
      <w:pPr>
        <w:spacing w:after="0" w:line="221" w:lineRule="exact"/>
        <w:rPr>
          <w:sz w:val="20"/>
          <w:szCs w:val="20"/>
          <w:color w:val="auto"/>
        </w:rPr>
      </w:pPr>
    </w:p>
    <w:p>
      <w:pPr>
        <w:ind w:left="300" w:hanging="291"/>
        <w:spacing w:after="0"/>
        <w:tabs>
          <w:tab w:leader="none" w:pos="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ind w:right="60" w:firstLine="778"/>
        <w:spacing w:after="0" w:line="255" w:lineRule="auto"/>
        <w:rPr>
          <w:sz w:val="20"/>
          <w:szCs w:val="20"/>
          <w:color w:val="auto"/>
        </w:rPr>
      </w:pPr>
      <w:r>
        <w:rPr>
          <w:rFonts w:ascii="Times New Roman" w:cs="Times New Roman" w:eastAsia="Times New Roman" w:hAnsi="Times New Roman"/>
          <w:sz w:val="18"/>
          <w:szCs w:val="18"/>
          <w:color w:val="auto"/>
        </w:rPr>
        <w:t>In August 2018, the FASB issued ASU 2018-13, Fair Value Measurement (Topic 820): Disclosure Framework – Changes to the Disclosure Requirements for Fair Value Measurement (“ASU 2018-13”), which amends the requirements for fair value measurement disclosures. ASU 2018-13 removes, modifies or adds certain disclosure requirements under GAAP. This standard is effective for fiscal years beginning after December 15, 2019, with early adoption permitted. Any new disclosure requirements must be applied on a prospective basis in the interim and annual periods of initial adoption; all removed or modified requirements must be applied retrospectively to all periods presented. The Company plans to adopt this standard at the effective date and does not expect any material impact from adoption.</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are adopted by the Company as of the specified effective date. Unless otherwise discussed, the Company believes</w:t>
      </w: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that the impact of other recently issued standards that are not yet effective will not have a material impact on the Company’s consolidated financial statements upon adoption.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Company derives its revenue from contracts predominantly from recurring and non-recurring service fees. While the majority of its agreements are generally cancellable by the client on 60 days’ notice or less, the Company also has term arrangements, which are generally two years in length. Recurring fees are derived from payroll, timekeeping, and HR-related cloud-based computing services. The majority of the Company’s recurring fees are satisfied over time as services are provided. The performance obligations related to payroll services are satisfied upon the processing of the client’s payroll with the fee charged and collected based on a per employee per payroll frequency fee. The performance obligations related to time and attendance services and HR related services are satisfied over time each month with the fee charged and collected based on a per employee per month fee. For subscription based fees which can include payroll, time and attendance, and HR related services, the Company recognizes the applicable recurring fees over time each month with the fee charged and collected based on a per employee per month fee. Non-recurring service fees consist mainly of nonrefundable implementation fees, which involve setting the client up in, and loading data into, the Company’s cloud-based modules. These implementation activities are considered set-up activities. The Company has determined that the nonrefundable upfront fees provide certain clients with a material right to renew the contract. Implementation fees are deferred and amortized generally over a period up to 24 months.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revenue by Recurring fees and Implementation services and other, which it believes depicts the nature, amount and timing of its revenue:</w:t>
      </w:r>
    </w:p>
    <w:p>
      <w:pPr>
        <w:spacing w:after="0" w:line="16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6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71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fees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95,761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117,777</w:t>
            </w:r>
          </w:p>
        </w:tc>
      </w:tr>
      <w:tr>
        <w:trPr>
          <w:trHeight w:val="230"/>
        </w:trPr>
        <w:tc>
          <w:tcPr>
            <w:tcW w:w="7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4,096</w:t>
            </w:r>
          </w:p>
        </w:tc>
      </w:tr>
      <w:tr>
        <w:trPr>
          <w:trHeight w:val="210"/>
        </w:trPr>
        <w:tc>
          <w:tcPr>
            <w:tcW w:w="7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 from contracts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97,002</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121,873</w:t>
            </w:r>
          </w:p>
        </w:tc>
      </w:tr>
      <w:tr>
        <w:trPr>
          <w:trHeight w:val="20"/>
        </w:trPr>
        <w:tc>
          <w:tcPr>
            <w:tcW w:w="7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for recurring revenue is consistent with the timing of invoicing as they occur simultaneously upon the client payroll-processing period or by month. As such, the Company does not recognize contract assets or liabilities related to recurring revenue.</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nonrefundable upfront fees related to implementation services are invoiced with the client’s first payroll period. The Company defers and recognizes these nonrefundable upfront fees generally over a period up to 24 months based on the type of contract. The following table summarizes the changes in deferred revenue (i.e. contract liability) related to these nonrefundable upfront fees as follows:</w:t>
      </w:r>
    </w:p>
    <w:p>
      <w:pPr>
        <w:spacing w:after="0" w:line="18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6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71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w:t>
            </w: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Deferral of revenue</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w:t>
            </w:r>
          </w:p>
        </w:tc>
      </w:tr>
      <w:tr>
        <w:trPr>
          <w:trHeight w:val="23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(499)</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r>
      <w:tr>
        <w:trPr>
          <w:trHeight w:val="21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6,580</w:t>
            </w:r>
          </w:p>
        </w:tc>
      </w:tr>
      <w:tr>
        <w:trPr>
          <w:trHeight w:val="20"/>
        </w:trPr>
        <w:tc>
          <w:tcPr>
            <w:tcW w:w="7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Deferred revenue related to these nonrefundable upfront fees are recorded within Accrued expenses and Other long-term liabilities on the Unaudited Consolidated Balance Sheets. The Company expects to recognize these deferred revenue balances of $4,402 in fiscal 2020, $1,962 in fiscal 2021, $216 in fiscal 2022 and thereafter.</w:t>
      </w:r>
    </w:p>
    <w:p>
      <w:pPr>
        <w:sectPr>
          <w:pgSz w:w="11900" w:h="16838" w:orient="portrait"/>
          <w:cols w:equalWidth="0" w:num="1">
            <w:col w:w="9060"/>
          </w:cols>
          <w:pgMar w:left="1420" w:top="513" w:right="141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8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Company utilizes the portfolio approach to account for both the cost of obtaining a contract and the cost of fulfilling a contract. These capitalized costs are amortized over the expected period of benefit, which has been determined to be over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w:t>
      </w:r>
    </w:p>
    <w:p>
      <w:pPr>
        <w:spacing w:after="0" w:line="18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deferred contract costs and the related amortization expense for these deferred contract costs: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60" w:type="dxa"/>
            <w:vAlign w:val="bottom"/>
          </w:tcPr>
          <w:p>
            <w:pPr>
              <w:spacing w:after="0"/>
              <w:rPr>
                <w:sz w:val="12"/>
                <w:szCs w:val="12"/>
                <w:color w:val="auto"/>
              </w:rPr>
            </w:pPr>
          </w:p>
        </w:tc>
        <w:tc>
          <w:tcPr>
            <w:tcW w:w="108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69,933</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20" w:type="dxa"/>
            <w:vAlign w:val="bottom"/>
          </w:tcPr>
          <w:p>
            <w:pPr>
              <w:spacing w:after="0"/>
              <w:rPr>
                <w:sz w:val="24"/>
                <w:szCs w:val="24"/>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60" w:type="dxa"/>
            <w:vAlign w:val="bottom"/>
          </w:tcPr>
          <w:p>
            <w:pPr>
              <w:spacing w:after="0"/>
              <w:rPr>
                <w:sz w:val="12"/>
                <w:szCs w:val="12"/>
                <w:color w:val="auto"/>
              </w:rPr>
            </w:pPr>
          </w:p>
        </w:tc>
        <w:tc>
          <w:tcPr>
            <w:tcW w:w="108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July 1, 2019</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86,688</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(964)</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26,398</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113,086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Deferred contract costs are recorded within Deferred contract costs and Long-term deferred contract costs on the Unaudited Consolidated Balance Sheets. Amortization of deferred contract costs is recorded in Cost of revenues, Sales and marketing, and General and administrative in the Unaudited Consolidated Statements of Operations and Comprehensive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Company’s remaining performance obligations related to minimum monthly fees on its term based contracts was approximately $43,142 as of September 30, 2019, which will be generally recognized over the next 24 months. This balance excludes the value of unsatisfied performance obligations for contracts that have an original expected duration of one year or less and contracts for which the variable consideration is allocated entirely to wholly unsatisfied performance obligations.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(4) Balance Sheet Information</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following tables provide details of selected consolidated balance sheet items: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Activity in the allowance for doubtful accounts was as follows: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Charged to expense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Capitalized internal-use software and accumulated amortization were as follows:</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20" w:type="dxa"/>
            <w:vAlign w:val="bottom"/>
            <w:gridSpan w:val="4"/>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90,991</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97,507</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(63,505)</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(67,873)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29,634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18"/>
          <w:szCs w:val="18"/>
          <w:color w:val="auto"/>
        </w:rPr>
        <w:t>Amortization of capitalized internal-use software costs is included in Cost of revenues and amounted to $4,212 and $4,457 for the three months ended September 30, 2018 and 2019,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20" w:type="dxa"/>
            <w:vAlign w:val="bottom"/>
          </w:tcPr>
          <w:p>
            <w:pPr>
              <w:spacing w:after="0"/>
              <w:rPr>
                <w:sz w:val="15"/>
                <w:szCs w:val="15"/>
                <w:color w:val="auto"/>
              </w:rPr>
            </w:pPr>
          </w:p>
        </w:tc>
        <w:tc>
          <w:tcPr>
            <w:tcW w:w="4580" w:type="dxa"/>
            <w:vAlign w:val="bottom"/>
            <w:tcBorders>
              <w:bottom w:val="single" w:sz="8" w:color="CCEEFF"/>
            </w:tcBorders>
          </w:tcPr>
          <w:p>
            <w:pPr>
              <w:spacing w:after="0"/>
              <w:rPr>
                <w:sz w:val="15"/>
                <w:szCs w:val="15"/>
                <w:color w:val="auto"/>
              </w:rPr>
            </w:pPr>
          </w:p>
        </w:tc>
        <w:tc>
          <w:tcPr>
            <w:tcW w:w="24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Time clocks rented by clients</w:t>
            </w:r>
          </w:p>
        </w:tc>
        <w:tc>
          <w:tcPr>
            <w:tcW w:w="2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114,259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(38,366)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(41,675)</w:t>
            </w:r>
          </w:p>
        </w:tc>
        <w:tc>
          <w:tcPr>
            <w:tcW w:w="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72,584</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amounted to $3,457 and $3,913 for the three months ended September 30, 2018 and 2019,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amortizable intangible assets and estimated useful lives are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Useful</w:t>
            </w:r>
          </w:p>
        </w:tc>
      </w:tr>
      <w:tr>
        <w:trPr>
          <w:trHeight w:val="16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Life</w:t>
            </w: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Client relationships</w:t>
            </w:r>
          </w:p>
        </w:tc>
        <w:tc>
          <w:tcPr>
            <w:tcW w:w="1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18,130</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7 - 9 years</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Non-solicitation agreements</w:t>
            </w:r>
          </w:p>
        </w:tc>
        <w:tc>
          <w:tcPr>
            <w:tcW w:w="1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2 - 4 years</w:t>
            </w: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9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10,751</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10,188</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for acquired intangible assets was $563 for both the three months ended September 30, 2018 and 2019.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4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Future amortization expense for acquired intangible assets as of September 30, 2019 is as follows: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2020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Fiscal 2021</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2022</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Fiscal 2023</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2024</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10,188</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The components of accrued expenses were as follows:</w:t>
            </w: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0" w:type="dxa"/>
            <w:vAlign w:val="bottom"/>
            <w:tcBorders>
              <w:bottom w:val="single" w:sz="8" w:color="CCEEFF"/>
            </w:tcBorders>
          </w:tcPr>
          <w:p>
            <w:pPr>
              <w:spacing w:after="0"/>
              <w:rPr>
                <w:sz w:val="15"/>
                <w:szCs w:val="15"/>
                <w:color w:val="auto"/>
              </w:rPr>
            </w:pPr>
          </w:p>
        </w:tc>
        <w:tc>
          <w:tcPr>
            <w:tcW w:w="69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personnel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39,095</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12,958</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57,625</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51,496</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Corporate Investments and Funds Held for Clients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Corporate investments and funds held for clients consist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158"/>
        </w:trPr>
        <w:tc>
          <w:tcPr>
            <w:tcW w:w="5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6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0"/>
        </w:trPr>
        <w:tc>
          <w:tcPr>
            <w:tcW w:w="5460" w:type="dxa"/>
            <w:vAlign w:val="bottom"/>
            <w:gridSpan w:val="2"/>
          </w:tcPr>
          <w:p>
            <w:pPr>
              <w:ind w:left="2280"/>
              <w:spacing w:after="0" w:line="160" w:lineRule="exact"/>
              <w:rPr>
                <w:sz w:val="20"/>
                <w:szCs w:val="20"/>
                <w:color w:val="auto"/>
              </w:rPr>
            </w:pPr>
            <w:r>
              <w:rPr>
                <w:rFonts w:ascii="Times New Roman" w:cs="Times New Roman" w:eastAsia="Times New Roman" w:hAnsi="Times New Roman"/>
                <w:sz w:val="14"/>
                <w:szCs w:val="14"/>
                <w:b w:val="1"/>
                <w:bCs w:val="1"/>
                <w:color w:val="auto"/>
              </w:rPr>
              <w:t>Type of Issue</w:t>
            </w:r>
          </w:p>
        </w:tc>
        <w:tc>
          <w:tcPr>
            <w:tcW w:w="120" w:type="dxa"/>
            <w:vAlign w:val="bottom"/>
          </w:tcPr>
          <w:p>
            <w:pPr>
              <w:spacing w:after="0"/>
              <w:rPr>
                <w:sz w:val="13"/>
                <w:szCs w:val="13"/>
                <w:color w:val="auto"/>
              </w:rPr>
            </w:pPr>
          </w:p>
        </w:tc>
        <w:tc>
          <w:tcPr>
            <w:tcW w:w="9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3"/>
                <w:szCs w:val="13"/>
                <w:color w:val="auto"/>
              </w:rPr>
            </w:pPr>
          </w:p>
        </w:tc>
        <w:tc>
          <w:tcPr>
            <w:tcW w:w="68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3"/>
                <w:szCs w:val="13"/>
                <w:color w:val="auto"/>
              </w:rPr>
            </w:pPr>
          </w:p>
        </w:tc>
        <w:tc>
          <w:tcPr>
            <w:tcW w:w="68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3"/>
                <w:szCs w:val="13"/>
                <w:color w:val="auto"/>
              </w:rPr>
            </w:pPr>
          </w:p>
        </w:tc>
        <w:tc>
          <w:tcPr>
            <w:tcW w:w="820" w:type="dxa"/>
            <w:vAlign w:val="bottom"/>
          </w:tcPr>
          <w:p>
            <w:pPr>
              <w:jc w:val="right"/>
              <w:ind w:right="72"/>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5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132,478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132,476</w:t>
            </w:r>
          </w:p>
        </w:tc>
      </w:tr>
      <w:tr>
        <w:trPr>
          <w:trHeight w:val="23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1,293,673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1,293,667</w:t>
            </w:r>
          </w:p>
        </w:tc>
      </w:tr>
      <w:tr>
        <w:trPr>
          <w:trHeight w:val="230"/>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5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63,428</w:t>
            </w:r>
          </w:p>
        </w:tc>
      </w:tr>
      <w:tr>
        <w:trPr>
          <w:trHeight w:val="230"/>
        </w:trPr>
        <w:tc>
          <w:tcPr>
            <w:tcW w:w="5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27,099</w:t>
            </w:r>
          </w:p>
        </w:tc>
      </w:tr>
      <w:tr>
        <w:trPr>
          <w:trHeight w:val="230"/>
        </w:trPr>
        <w:tc>
          <w:tcPr>
            <w:tcW w:w="5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26,540</w:t>
            </w:r>
          </w:p>
        </w:tc>
      </w:tr>
      <w:tr>
        <w:trPr>
          <w:trHeight w:val="230"/>
        </w:trPr>
        <w:tc>
          <w:tcPr>
            <w:tcW w:w="5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13,757</w:t>
            </w:r>
          </w:p>
        </w:tc>
      </w:tr>
      <w:tr>
        <w:trPr>
          <w:trHeight w:val="223"/>
        </w:trPr>
        <w:tc>
          <w:tcPr>
            <w:tcW w:w="5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available-for-sale securities (1)</w:t>
            </w: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130,665</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130,824</w:t>
            </w:r>
          </w:p>
        </w:tc>
      </w:tr>
      <w:tr>
        <w:trPr>
          <w:trHeight w:val="210"/>
        </w:trPr>
        <w:tc>
          <w:tcPr>
            <w:tcW w:w="5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1,556,816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1,556,967</w:t>
            </w:r>
          </w:p>
        </w:tc>
      </w:tr>
      <w:tr>
        <w:trPr>
          <w:trHeight w:val="20"/>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80" w:right="260" w:hanging="320"/>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the fair value of total available-for-sale securities above is $30,022 of corporate investments and $100,802 of funds held for clients.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158"/>
        </w:trPr>
        <w:tc>
          <w:tcPr>
            <w:tcW w:w="5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6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2"/>
        </w:trPr>
        <w:tc>
          <w:tcPr>
            <w:tcW w:w="5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0"/>
        </w:trPr>
        <w:tc>
          <w:tcPr>
            <w:tcW w:w="5440" w:type="dxa"/>
            <w:vAlign w:val="bottom"/>
            <w:gridSpan w:val="2"/>
          </w:tcPr>
          <w:p>
            <w:pPr>
              <w:ind w:left="2280"/>
              <w:spacing w:after="0" w:line="160" w:lineRule="exact"/>
              <w:rPr>
                <w:sz w:val="20"/>
                <w:szCs w:val="20"/>
                <w:color w:val="auto"/>
              </w:rPr>
            </w:pPr>
            <w:r>
              <w:rPr>
                <w:rFonts w:ascii="Times New Roman" w:cs="Times New Roman" w:eastAsia="Times New Roman" w:hAnsi="Times New Roman"/>
                <w:sz w:val="14"/>
                <w:szCs w:val="14"/>
                <w:b w:val="1"/>
                <w:bCs w:val="1"/>
                <w:color w:val="auto"/>
              </w:rPr>
              <w:t>Type of Issue</w:t>
            </w:r>
          </w:p>
        </w:tc>
        <w:tc>
          <w:tcPr>
            <w:tcW w:w="140" w:type="dxa"/>
            <w:vAlign w:val="bottom"/>
          </w:tcPr>
          <w:p>
            <w:pPr>
              <w:spacing w:after="0"/>
              <w:rPr>
                <w:sz w:val="13"/>
                <w:szCs w:val="13"/>
                <w:color w:val="auto"/>
              </w:rPr>
            </w:pPr>
          </w:p>
        </w:tc>
        <w:tc>
          <w:tcPr>
            <w:tcW w:w="92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3"/>
                <w:szCs w:val="13"/>
                <w:color w:val="auto"/>
              </w:rPr>
            </w:pPr>
          </w:p>
        </w:tc>
        <w:tc>
          <w:tcPr>
            <w:tcW w:w="68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3"/>
                <w:szCs w:val="13"/>
                <w:color w:val="auto"/>
              </w:rPr>
            </w:pPr>
          </w:p>
        </w:tc>
        <w:tc>
          <w:tcPr>
            <w:tcW w:w="68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3"/>
                <w:szCs w:val="13"/>
                <w:color w:val="auto"/>
              </w:rPr>
            </w:pPr>
          </w:p>
        </w:tc>
        <w:tc>
          <w:tcPr>
            <w:tcW w:w="820" w:type="dxa"/>
            <w:vAlign w:val="bottom"/>
          </w:tcPr>
          <w:p>
            <w:pPr>
              <w:jc w:val="right"/>
              <w:ind w:right="72"/>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5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100,530</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100,529</w:t>
            </w:r>
          </w:p>
        </w:tc>
      </w:tr>
      <w:tr>
        <w:trPr>
          <w:trHeight w:val="230"/>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1,035,307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1,035,305</w:t>
            </w:r>
          </w:p>
        </w:tc>
      </w:tr>
      <w:tr>
        <w:trPr>
          <w:trHeight w:val="230"/>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81,510</w:t>
            </w:r>
          </w:p>
        </w:tc>
      </w:tr>
      <w:tr>
        <w:trPr>
          <w:trHeight w:val="230"/>
        </w:trPr>
        <w:tc>
          <w:tcPr>
            <w:tcW w:w="5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17,647</w:t>
            </w:r>
          </w:p>
        </w:tc>
      </w:tr>
      <w:tr>
        <w:trPr>
          <w:trHeight w:val="230"/>
        </w:trPr>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29,597</w:t>
            </w:r>
          </w:p>
        </w:tc>
      </w:tr>
      <w:tr>
        <w:trPr>
          <w:trHeight w:val="230"/>
        </w:trPr>
        <w:tc>
          <w:tcPr>
            <w:tcW w:w="5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21,021</w:t>
            </w:r>
          </w:p>
        </w:tc>
      </w:tr>
      <w:tr>
        <w:trPr>
          <w:trHeight w:val="223"/>
        </w:trPr>
        <w:tc>
          <w:tcPr>
            <w:tcW w:w="5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available-for-sale securities (2)</w:t>
            </w: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149,616</w:t>
            </w:r>
          </w:p>
        </w:tc>
        <w:tc>
          <w:tcPr>
            <w:tcW w:w="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149,775</w:t>
            </w:r>
          </w:p>
        </w:tc>
      </w:tr>
      <w:tr>
        <w:trPr>
          <w:trHeight w:val="210"/>
        </w:trPr>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1,285,453</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1,285,609</w:t>
            </w:r>
          </w:p>
        </w:tc>
      </w:tr>
      <w:tr>
        <w:trPr>
          <w:trHeight w:val="20"/>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80" w:right="260" w:hanging="320"/>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the fair value of total available-for-sale securities above is $30,553 of corporate investments and $119,222 of funds held for clients.</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and funds held for clients’ cash and cash equivalents include demand deposit accounts, money market funds, commercial paper and short-term U.S. treasury securities as of June 30, 2019 and September 30, 2019.</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Classification of investments on the unaudited consolidated balance sheets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69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100,529</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Corporate investments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29,130</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Funds held for clients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1,394,469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1,154,527</w:t>
            </w:r>
          </w:p>
        </w:tc>
      </w:tr>
      <w:tr>
        <w:trPr>
          <w:trHeight w:val="216"/>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prepaid expenses and other</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r>
      <w:tr>
        <w:trPr>
          <w:trHeight w:val="210"/>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1,556,967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1,285,609</w:t>
            </w:r>
          </w:p>
        </w:tc>
      </w:tr>
      <w:tr>
        <w:trPr>
          <w:trHeight w:val="20"/>
        </w:trPr>
        <w:tc>
          <w:tcPr>
            <w:tcW w:w="6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Available-for-sale securities that have been in an unrealized loss position for a period of less and greater than 12 months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40" w:type="dxa"/>
            <w:vAlign w:val="bottom"/>
            <w:gridSpan w:val="4"/>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Securities in an</w:t>
            </w:r>
          </w:p>
        </w:tc>
        <w:tc>
          <w:tcPr>
            <w:tcW w:w="140" w:type="dxa"/>
            <w:vAlign w:val="bottom"/>
          </w:tcPr>
          <w:p>
            <w:pPr>
              <w:spacing w:after="0"/>
              <w:rPr>
                <w:sz w:val="10"/>
                <w:szCs w:val="10"/>
                <w:color w:val="auto"/>
              </w:rPr>
            </w:pPr>
          </w:p>
        </w:tc>
        <w:tc>
          <w:tcPr>
            <w:tcW w:w="1620" w:type="dxa"/>
            <w:vAlign w:val="bottom"/>
            <w:gridSpan w:val="5"/>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Securities in an</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 loss</w:t>
            </w:r>
          </w:p>
        </w:tc>
        <w:tc>
          <w:tcPr>
            <w:tcW w:w="140" w:type="dxa"/>
            <w:vAlign w:val="bottom"/>
          </w:tcPr>
          <w:p>
            <w:pPr>
              <w:spacing w:after="0"/>
              <w:rPr>
                <w:sz w:val="12"/>
                <w:szCs w:val="12"/>
                <w:color w:val="auto"/>
              </w:rPr>
            </w:pPr>
          </w:p>
        </w:tc>
        <w:tc>
          <w:tcPr>
            <w:tcW w:w="1620" w:type="dxa"/>
            <w:vAlign w:val="bottom"/>
            <w:gridSpan w:val="5"/>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 loss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position for less</w:t>
            </w:r>
          </w:p>
        </w:tc>
        <w:tc>
          <w:tcPr>
            <w:tcW w:w="140" w:type="dxa"/>
            <w:vAlign w:val="bottom"/>
          </w:tcPr>
          <w:p>
            <w:pPr>
              <w:spacing w:after="0"/>
              <w:rPr>
                <w:sz w:val="12"/>
                <w:szCs w:val="12"/>
                <w:color w:val="auto"/>
              </w:rPr>
            </w:pPr>
          </w:p>
        </w:tc>
        <w:tc>
          <w:tcPr>
            <w:tcW w:w="1620" w:type="dxa"/>
            <w:vAlign w:val="bottom"/>
            <w:gridSpan w:val="5"/>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position for greater</w:t>
            </w:r>
          </w:p>
        </w:tc>
        <w:tc>
          <w:tcPr>
            <w:tcW w:w="140" w:type="dxa"/>
            <w:vAlign w:val="bottom"/>
          </w:tcPr>
          <w:p>
            <w:pPr>
              <w:spacing w:after="0"/>
              <w:rPr>
                <w:sz w:val="12"/>
                <w:szCs w:val="12"/>
                <w:color w:val="auto"/>
              </w:rPr>
            </w:pPr>
          </w:p>
        </w:tc>
        <w:tc>
          <w:tcPr>
            <w:tcW w:w="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than 12 months</w:t>
            </w:r>
          </w:p>
        </w:tc>
        <w:tc>
          <w:tcPr>
            <w:tcW w:w="140" w:type="dxa"/>
            <w:vAlign w:val="bottom"/>
          </w:tcPr>
          <w:p>
            <w:pPr>
              <w:spacing w:after="0"/>
              <w:rPr>
                <w:sz w:val="15"/>
                <w:szCs w:val="15"/>
                <w:color w:val="auto"/>
              </w:rPr>
            </w:pPr>
          </w:p>
        </w:tc>
        <w:tc>
          <w:tcPr>
            <w:tcW w:w="16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than 12 months</w:t>
            </w:r>
          </w:p>
        </w:tc>
        <w:tc>
          <w:tcPr>
            <w:tcW w:w="14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7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9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center"/>
              <w:ind w:left="321"/>
              <w:spacing w:after="0"/>
              <w:rPr>
                <w:sz w:val="20"/>
                <w:szCs w:val="20"/>
                <w:color w:val="auto"/>
              </w:rPr>
            </w:pPr>
            <w:r>
              <w:rPr>
                <w:rFonts w:ascii="Times New Roman" w:cs="Times New Roman" w:eastAsia="Times New Roman" w:hAnsi="Times New Roman"/>
                <w:sz w:val="18"/>
                <w:szCs w:val="18"/>
                <w:color w:val="auto"/>
                <w:w w:val="95"/>
              </w:rPr>
              <w:t>(2)</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$ 19,055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5"/>
              </w:rPr>
              <w:t>(2)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19,055</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9"/>
                <w:szCs w:val="19"/>
                <w:color w:val="auto"/>
              </w:rPr>
            </w:pPr>
          </w:p>
        </w:tc>
        <w:tc>
          <w:tcPr>
            <w:tcW w:w="760" w:type="dxa"/>
            <w:vAlign w:val="bottom"/>
            <w:gridSpan w:val="2"/>
          </w:tcPr>
          <w:p>
            <w:pPr>
              <w:jc w:val="center"/>
              <w:ind w:left="161"/>
              <w:spacing w:after="0"/>
              <w:rPr>
                <w:sz w:val="20"/>
                <w:szCs w:val="20"/>
                <w:color w:val="auto"/>
              </w:rPr>
            </w:pPr>
            <w:r>
              <w:rPr>
                <w:rFonts w:ascii="Times New Roman" w:cs="Times New Roman" w:eastAsia="Times New Roman" w:hAnsi="Times New Roman"/>
                <w:sz w:val="18"/>
                <w:szCs w:val="18"/>
                <w:color w:val="auto"/>
                <w:w w:val="95"/>
              </w:rPr>
              <w:t>(1)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left="161"/>
              <w:spacing w:after="0"/>
              <w:rPr>
                <w:sz w:val="20"/>
                <w:szCs w:val="20"/>
                <w:color w:val="auto"/>
              </w:rPr>
            </w:pPr>
            <w:r>
              <w:rPr>
                <w:rFonts w:ascii="Times New Roman" w:cs="Times New Roman" w:eastAsia="Times New Roman" w:hAnsi="Times New Roman"/>
                <w:sz w:val="18"/>
                <w:szCs w:val="18"/>
                <w:color w:val="auto"/>
                <w:w w:val="95"/>
              </w:rPr>
              <w:t>(1)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center"/>
              <w:ind w:left="321"/>
              <w:spacing w:after="0"/>
              <w:rPr>
                <w:sz w:val="20"/>
                <w:szCs w:val="20"/>
                <w:color w:val="auto"/>
              </w:rPr>
            </w:pPr>
            <w:r>
              <w:rPr>
                <w:rFonts w:ascii="Times New Roman" w:cs="Times New Roman" w:eastAsia="Times New Roman" w:hAnsi="Times New Roman"/>
                <w:sz w:val="18"/>
                <w:szCs w:val="18"/>
                <w:color w:val="auto"/>
                <w:w w:val="95"/>
              </w:rPr>
              <w:t>(4)</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$ 20,941</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5"/>
              </w:rPr>
              <w:t>(9)</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center"/>
              <w:ind w:left="301"/>
              <w:spacing w:after="0"/>
              <w:rPr>
                <w:sz w:val="20"/>
                <w:szCs w:val="20"/>
                <w:color w:val="auto"/>
              </w:rPr>
            </w:pPr>
            <w:r>
              <w:rPr>
                <w:rFonts w:ascii="Times New Roman" w:cs="Times New Roman" w:eastAsia="Times New Roman" w:hAnsi="Times New Roman"/>
                <w:sz w:val="18"/>
                <w:szCs w:val="18"/>
                <w:color w:val="auto"/>
                <w:w w:val="99"/>
              </w:rPr>
              <w:t>12</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3" w:right="141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gridSpan w:val="4"/>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Securities in an</w:t>
            </w:r>
          </w:p>
        </w:tc>
        <w:tc>
          <w:tcPr>
            <w:tcW w:w="120" w:type="dxa"/>
            <w:vAlign w:val="bottom"/>
          </w:tcPr>
          <w:p>
            <w:pPr>
              <w:spacing w:after="0"/>
              <w:rPr>
                <w:sz w:val="10"/>
                <w:szCs w:val="10"/>
                <w:color w:val="auto"/>
              </w:rPr>
            </w:pPr>
          </w:p>
        </w:tc>
        <w:tc>
          <w:tcPr>
            <w:tcW w:w="1640" w:type="dxa"/>
            <w:vAlign w:val="bottom"/>
            <w:gridSpan w:val="5"/>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Securities in an</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4"/>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 loss</w:t>
            </w:r>
          </w:p>
        </w:tc>
        <w:tc>
          <w:tcPr>
            <w:tcW w:w="120" w:type="dxa"/>
            <w:vAlign w:val="bottom"/>
          </w:tcPr>
          <w:p>
            <w:pPr>
              <w:spacing w:after="0"/>
              <w:rPr>
                <w:sz w:val="12"/>
                <w:szCs w:val="12"/>
                <w:color w:val="auto"/>
              </w:rPr>
            </w:pPr>
          </w:p>
        </w:tc>
        <w:tc>
          <w:tcPr>
            <w:tcW w:w="1640" w:type="dxa"/>
            <w:vAlign w:val="bottom"/>
            <w:gridSpan w:val="5"/>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 loss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4"/>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position for less</w:t>
            </w:r>
          </w:p>
        </w:tc>
        <w:tc>
          <w:tcPr>
            <w:tcW w:w="120" w:type="dxa"/>
            <w:vAlign w:val="bottom"/>
          </w:tcPr>
          <w:p>
            <w:pPr>
              <w:spacing w:after="0"/>
              <w:rPr>
                <w:sz w:val="12"/>
                <w:szCs w:val="12"/>
                <w:color w:val="auto"/>
              </w:rPr>
            </w:pPr>
          </w:p>
        </w:tc>
        <w:tc>
          <w:tcPr>
            <w:tcW w:w="1640" w:type="dxa"/>
            <w:vAlign w:val="bottom"/>
            <w:gridSpan w:val="5"/>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position for greater</w:t>
            </w:r>
          </w:p>
        </w:tc>
        <w:tc>
          <w:tcPr>
            <w:tcW w:w="140" w:type="dxa"/>
            <w:vAlign w:val="bottom"/>
          </w:tcPr>
          <w:p>
            <w:pPr>
              <w:spacing w:after="0"/>
              <w:rPr>
                <w:sz w:val="12"/>
                <w:szCs w:val="12"/>
                <w:color w:val="auto"/>
              </w:rPr>
            </w:pPr>
          </w:p>
        </w:tc>
        <w:tc>
          <w:tcPr>
            <w:tcW w:w="86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than 12 months</w:t>
            </w:r>
          </w:p>
        </w:tc>
        <w:tc>
          <w:tcPr>
            <w:tcW w:w="120" w:type="dxa"/>
            <w:vAlign w:val="bottom"/>
          </w:tcPr>
          <w:p>
            <w:pPr>
              <w:spacing w:after="0"/>
              <w:rPr>
                <w:sz w:val="15"/>
                <w:szCs w:val="15"/>
                <w:color w:val="auto"/>
              </w:rPr>
            </w:pPr>
          </w:p>
        </w:tc>
        <w:tc>
          <w:tcPr>
            <w:tcW w:w="16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than 12 months</w:t>
            </w:r>
          </w:p>
        </w:tc>
        <w:tc>
          <w:tcPr>
            <w:tcW w:w="14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7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9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9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$ 33,468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33,468</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$ 39,757</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41,274</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regularly reviews the composition of its portfolio to determine the existence of other-than-temporary-impairment (“OTTI”). The Company did not recognize any OTTI charges in accumulated other comprehensive income during the three months ended September 30, 2018 or 2019, nor does it believe that OTTI exists in its portfolio as of September 30, 2019. The Company plans to retain the securities in an unrealized loss position for a period of time sufficient enough to recover their amortized cost basis or until their maturity date. The Company believes that the unrealized losses on these securities were not due to deterioration in credit risk. The securities in an unrealized loss position held an A-1 rating or better as of September 30, 2019.</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make any material reclassification adjustments out of accumulated other comprehensive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for realized gains and losses on the sale of available-for-sale securities during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2018 or 2019. Gross realized gains and losses on the sale of available-for-sale securities were immaterial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the three months ended September 30, 2018 and 2019.</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Expected maturities of available-for-sale securities at September 30, 2019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76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7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One year or less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132,958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133,041</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One year to two years</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16,658</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16,734</w:t>
            </w:r>
          </w:p>
        </w:tc>
        <w:tc>
          <w:tcPr>
            <w:tcW w:w="0" w:type="dxa"/>
            <w:vAlign w:val="bottom"/>
          </w:tcPr>
          <w:p>
            <w:pPr>
              <w:spacing w:after="0"/>
              <w:rPr>
                <w:sz w:val="1"/>
                <w:szCs w:val="1"/>
                <w:color w:val="auto"/>
              </w:rPr>
            </w:pPr>
          </w:p>
        </w:tc>
      </w:tr>
      <w:tr>
        <w:trPr>
          <w:trHeight w:val="210"/>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149,616</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149,775</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Company applies the fair value measurement and disclosure provisions of ASC 820, Fair Value Measurements and Disclosures, and ASU 2011-04, Fair Value Measurement (Topic 820): Amendments to Achieve Common Fair Value Measurement and Disclosure Requirements in U.S. GAAP and IFRS.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89" w:lineRule="exact"/>
        <w:rPr>
          <w:sz w:val="20"/>
          <w:szCs w:val="20"/>
          <w:color w:val="auto"/>
        </w:rPr>
      </w:pPr>
    </w:p>
    <w:p>
      <w:pPr>
        <w:ind w:left="1000" w:hanging="316"/>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225" w:lineRule="exact"/>
        <w:rPr>
          <w:rFonts w:ascii="Times New Roman" w:cs="Times New Roman" w:eastAsia="Times New Roman" w:hAnsi="Times New Roman"/>
          <w:sz w:val="18"/>
          <w:szCs w:val="18"/>
          <w:color w:val="auto"/>
        </w:rPr>
      </w:pPr>
    </w:p>
    <w:p>
      <w:pPr>
        <w:jc w:val="both"/>
        <w:ind w:left="1000" w:right="200" w:hanging="316"/>
        <w:spacing w:after="0" w:line="313" w:lineRule="auto"/>
        <w:tabs>
          <w:tab w:leader="none" w:pos="10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38" w:lineRule="exact"/>
        <w:rPr>
          <w:rFonts w:ascii="Times New Roman" w:cs="Times New Roman" w:eastAsia="Times New Roman" w:hAnsi="Times New Roman"/>
          <w:sz w:val="17"/>
          <w:szCs w:val="17"/>
          <w:color w:val="auto"/>
        </w:rPr>
      </w:pPr>
    </w:p>
    <w:p>
      <w:pPr>
        <w:ind w:left="1000" w:right="220" w:hanging="316"/>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76"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Company measures certain cash and cash equivalents, accounts receivable, accounts payable and client fund obligations at fair value on a recurring basis using Level 1 inputs. The Company considers the recorded value of</w:t>
      </w: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these financial assets and liabilities to approximate the fair value of the respective assets and liabilities at June 30, 2019 and September 30, 2019 based upon the short-term nature of these assets and liabilities.</w:t>
      </w:r>
    </w:p>
    <w:p>
      <w:pPr>
        <w:spacing w:after="0" w:line="16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Marketable securities, consisting of securities classified as available-for-sale as well as certain cash equivalents, are recorded at fair value on a recurring basis using Level 2 inputs obtained from an independent pricing service. Available-for-sale securities include commercial paper, corporate bonds, asset-backed securities and U.S. treasury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2019 or September 30, 2019, and the Company did not transfer assets between Levels during the three months ended September 30, 2018 or 2019.</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level for the Company’s cash and cash equivalents and available-for-sale securities is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102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9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2"/>
                <w:szCs w:val="12"/>
                <w:color w:val="auto"/>
              </w:rPr>
            </w:pPr>
          </w:p>
        </w:tc>
        <w:tc>
          <w:tcPr>
            <w:tcW w:w="7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132,476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116,387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1,293,667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1,244,856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63,428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63,428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7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130,824</w:t>
            </w:r>
          </w:p>
        </w:tc>
        <w:tc>
          <w:tcPr>
            <w:tcW w:w="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130,824</w:t>
            </w:r>
          </w:p>
        </w:tc>
        <w:tc>
          <w:tcPr>
            <w:tcW w:w="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1,556,967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1,361,243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195,724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102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9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2"/>
                <w:szCs w:val="12"/>
                <w:color w:val="auto"/>
              </w:rPr>
            </w:pPr>
          </w:p>
        </w:tc>
        <w:tc>
          <w:tcPr>
            <w:tcW w:w="7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100,529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1,035,305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1,004,692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7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149,775</w:t>
            </w:r>
          </w:p>
        </w:tc>
        <w:tc>
          <w:tcPr>
            <w:tcW w:w="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149,775</w:t>
            </w:r>
          </w:p>
        </w:tc>
        <w:tc>
          <w:tcPr>
            <w:tcW w:w="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1,285,609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1,085,102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200,507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7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39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3" w:right="141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July 2019, the Company entered into a five-year revolving credit agreement with PNC Bank, National Association, and other lenders, which is secured by substantially all of the Company’s assets, subject to certain restrictions. The revolving credit agreement provides for a senior secured revolving credit facility (the “credit facility”) under which the Company may borrow up to $250,000, which may be increased to up to $375,000, subject to obtaining additional lender commitments and certain approvals and satisfying other requirements. The credit facility is scheduled to mature in July 2024. As of September 30, 2019, no amounts have been drawn on the credit facility.</w:t>
      </w:r>
    </w:p>
    <w:p>
      <w:pPr>
        <w:spacing w:after="0" w:line="18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proceeds of any borrowings are to be used to fund working capital, capital expenditures and general corporate purposes, including permitted acquisitions, permitted investments, permitted distributions and share repurchases. The Company may generally borrow, prepay and reborrow under the credit facility and terminate or reduce the lenders’ commitments at any time prior to revolving credit facility expiration without a premium or a penalty, other than customary “breakage” costs with respect to London Interbank Offered Rate (“LIBOR”) revolving loans.</w:t>
      </w:r>
    </w:p>
    <w:p>
      <w:pPr>
        <w:spacing w:after="0" w:line="184"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Any borrowings under the credit facility will generally bear interest, at the Company’s option, at a rate per annum determined by reference to either the LIBOR (or a replacement index for the LIBOR rate) or an adjusted base rate, in each case plus an applicable margin ranging from 0.875% to 1.375% and 0.0% to 0.375%, respectively, based on the then-applicable net senior secured leverage ratio. Additionally, the Company is required to pay certain commitment, letter of credit fronting and letter of credit participation fees on available and/or undrawn portions of the credit facility.</w:t>
      </w:r>
    </w:p>
    <w:p>
      <w:pPr>
        <w:spacing w:after="0" w:line="11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Under the credit facility, the Company is required to comply with certain customary affirmative and negative covenants, including a requirement to maintain a maximum net total leverage ratio of not greater than 4.00 to 1.00, a maximum net senior secured leverage ratio of not greater than 3.50 to 1.00 and a minimum interest coverage ratio of not less than 3.00 to 1.00. As of September 30, 2019, the Company was in compliance with all of the aforementioned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assets, Accrued expenses, and Long-term operating lease liabilities in the Unaudited Consolidated Balance Sheets. 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In determining the present value of lease payments, the Company uses its incremental borrowing rate based on the information available at the lease commencement date. The operating lease right-of-use assets also include any lease payments made at or before the commencement date and are reduced by any lease incentives received. The Company’s lease terms may include options to extend or not terminate the lease when it is reasonably certain that it will exercise any such options. For the majority of its leases, the Company concluded that it is not reasonably certain that any renewal options would be exercised, and, therefore, the amounts are not recognized as part of Operating lease right-of-use assets nor Operating lease liabilities. Leases with an initial term of 12 months or less are not recorded on the balance sheet. Lease expense is recognized on a straight-line basis over the expected lease term.</w:t>
      </w:r>
    </w:p>
    <w:p>
      <w:pPr>
        <w:spacing w:after="0" w:line="8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Company’s most significant leases are real estate leases of office space. The remaining operating leases are primarily comprised of leases of printers and other equipment. For all leases, the Company has elected the practical expedient permitted under Topic 842 to combine lease and non-lease components. As a result, non-lease components, such as common area or equipment maintenance charges, are accounted for as a single lease element. The Company does not have any finance leases.</w:t>
      </w:r>
    </w:p>
    <w:p>
      <w:pPr>
        <w:spacing w:after="0" w:line="7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Fixed lease expense payments are recognized on a straight-line basis over the lease term. Variable lease payments vary because of changes in facts or circumstances occurring after the commencement date, other than the passage of time, and are often due to changes in an external market rate or the value of an index (e.g. Consumer Price Index). Certain of the Company’s operating lease agreements include variable payments that are passed through by the landlord, such as insurance, taxes, and common area maintenance, payments based on the usage of the asset, and rental payments adjusted periodically for inflation. Variable payments are expensed as incurred and included within variable rent expense.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Company’s lease agreements do not contain material residual value guarantees, restrictions, or covenants.</w:t>
      </w: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operating lease expense were as follows:</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Short-term lease cost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costs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246"/>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5" w:lineRule="exact"/>
        <w:rPr>
          <w:sz w:val="20"/>
          <w:szCs w:val="20"/>
          <w:color w:val="auto"/>
        </w:rPr>
      </w:pPr>
    </w:p>
    <w:p>
      <w:pPr>
        <w:ind w:left="266"/>
        <w:spacing w:after="0"/>
        <w:rPr>
          <w:sz w:val="20"/>
          <w:szCs w:val="20"/>
          <w:color w:val="auto"/>
        </w:rPr>
      </w:pPr>
      <w:r>
        <w:rPr>
          <w:rFonts w:ascii="Times New Roman" w:cs="Times New Roman" w:eastAsia="Times New Roman" w:hAnsi="Times New Roman"/>
          <w:sz w:val="14"/>
          <w:szCs w:val="14"/>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-8890</wp:posOffset>
            </wp:positionV>
            <wp:extent cx="574611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46115" cy="146050"/>
                    </a:xfrm>
                    <a:prstGeom prst="rect">
                      <a:avLst/>
                    </a:prstGeom>
                    <a:noFill/>
                  </pic:spPr>
                </pic:pic>
              </a:graphicData>
            </a:graphic>
          </wp:anchor>
        </w:drawing>
      </w:r>
    </w:p>
    <w:p>
      <w:pPr>
        <w:ind w:left="1286" w:hanging="1286"/>
        <w:spacing w:after="0"/>
        <w:tabs>
          <w:tab w:leader="none" w:pos="128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2,263</w:t>
      </w:r>
    </w:p>
    <w:p>
      <w:pPr>
        <w:spacing w:after="0" w:line="18" w:lineRule="exact"/>
        <w:rPr>
          <w:rFonts w:ascii="Times New Roman" w:cs="Times New Roman" w:eastAsia="Times New Roman" w:hAnsi="Times New Roman"/>
          <w:sz w:val="17"/>
          <w:szCs w:val="17"/>
          <w:color w:val="auto"/>
        </w:rPr>
      </w:pPr>
    </w:p>
    <w:p>
      <w:pPr>
        <w:ind w:left="150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w:t>
      </w:r>
    </w:p>
    <w:p>
      <w:pPr>
        <w:spacing w:after="0" w:line="23" w:lineRule="exact"/>
        <w:rPr>
          <w:sz w:val="20"/>
          <w:szCs w:val="20"/>
          <w:color w:val="auto"/>
        </w:rPr>
      </w:pPr>
    </w:p>
    <w:p>
      <w:pPr>
        <w:ind w:left="1426"/>
        <w:spacing w:after="0"/>
        <w:rPr>
          <w:sz w:val="20"/>
          <w:szCs w:val="20"/>
          <w:color w:val="auto"/>
        </w:rPr>
      </w:pPr>
      <w:r>
        <w:rPr>
          <w:rFonts w:ascii="Times New Roman" w:cs="Times New Roman" w:eastAsia="Times New Roman" w:hAnsi="Times New Roman"/>
          <w:sz w:val="17"/>
          <w:szCs w:val="17"/>
          <w:color w:val="auto"/>
        </w:rPr>
        <w:t>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-123190</wp:posOffset>
            </wp:positionV>
            <wp:extent cx="574611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46115" cy="146050"/>
                    </a:xfrm>
                    <a:prstGeom prst="rect">
                      <a:avLst/>
                    </a:prstGeom>
                    <a:noFill/>
                  </pic:spPr>
                </pic:pic>
              </a:graphicData>
            </a:graphic>
          </wp:anchor>
        </w:drawing>
      </w:r>
    </w:p>
    <w:p>
      <w:pPr>
        <w:spacing w:after="0" w:line="14" w:lineRule="exact"/>
        <w:rPr>
          <w:sz w:val="20"/>
          <w:szCs w:val="20"/>
          <w:color w:val="auto"/>
        </w:rPr>
      </w:pPr>
    </w:p>
    <w:p>
      <w:pPr>
        <w:ind w:left="1286" w:hanging="1286"/>
        <w:spacing w:after="0"/>
        <w:tabs>
          <w:tab w:leader="none" w:pos="128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11061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38735</wp:posOffset>
            </wp:positionV>
            <wp:extent cx="11061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-123190</wp:posOffset>
            </wp:positionV>
            <wp:extent cx="11061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6514" w:space="720"/>
            <w:col w:w="1826"/>
          </w:cols>
          <w:pgMar w:left="1420" w:top="513" w:right="1419" w:bottom="1440" w:gutter="0" w:footer="0" w:header="0"/>
          <w:type w:val="continuous"/>
        </w:sectPr>
      </w:pPr>
    </w:p>
    <w:p>
      <w:pPr>
        <w:spacing w:after="0" w:line="5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classification of the Company’s operating lease right-of-use assets and operating lease liabilities and other supplemental information related to the Company’s operating leases are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50,865</w:t>
            </w:r>
          </w:p>
        </w:tc>
        <w:tc>
          <w:tcPr>
            <w:tcW w:w="240" w:type="dxa"/>
            <w:vAlign w:val="bottom"/>
            <w:tcBorders>
              <w:top w:val="single" w:sz="8" w:color="CCEEFF"/>
            </w:tcBorders>
            <w:shd w:val="clear" w:color="auto" w:fill="CCEEFF"/>
          </w:tcPr>
          <w:p>
            <w:pPr>
              <w:spacing w:after="0"/>
              <w:rPr>
                <w:sz w:val="18"/>
                <w:szCs w:val="18"/>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240" w:type="dxa"/>
            <w:vAlign w:val="bottom"/>
          </w:tcPr>
          <w:p>
            <w:pPr>
              <w:spacing w:after="0"/>
              <w:rPr>
                <w:sz w:val="19"/>
                <w:szCs w:val="19"/>
                <w:color w:val="auto"/>
              </w:rPr>
            </w:pPr>
          </w:p>
        </w:tc>
      </w:tr>
      <w:tr>
        <w:trPr>
          <w:trHeight w:val="23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76,347</w:t>
            </w:r>
          </w:p>
        </w:tc>
        <w:tc>
          <w:tcPr>
            <w:tcW w:w="240" w:type="dxa"/>
            <w:vAlign w:val="bottom"/>
            <w:shd w:val="clear" w:color="auto" w:fill="CCEEFF"/>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40" w:type="dxa"/>
            <w:vAlign w:val="bottom"/>
          </w:tcPr>
          <w:p>
            <w:pPr>
              <w:spacing w:after="0"/>
              <w:rPr>
                <w:sz w:val="19"/>
                <w:szCs w:val="19"/>
                <w:color w:val="auto"/>
              </w:rPr>
            </w:pPr>
          </w:p>
        </w:tc>
      </w:tr>
      <w:tr>
        <w:trPr>
          <w:trHeight w:val="23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3.85 %</w:t>
            </w:r>
          </w:p>
        </w:tc>
      </w:tr>
    </w:tbl>
    <w:p>
      <w:pPr>
        <w:spacing w:after="0" w:line="19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supplemental cash flow information related to the Company’s operating leases as of September 30, 2019:</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13"/>
        </w:trPr>
        <w:tc>
          <w:tcPr>
            <w:tcW w:w="7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10"/>
        </w:trPr>
        <w:tc>
          <w:tcPr>
            <w:tcW w:w="7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80" w:type="dxa"/>
            <w:vAlign w:val="bottom"/>
            <w:tcBorders>
              <w:top w:val="single" w:sz="8" w:color="CCEEFF"/>
            </w:tcBorders>
            <w:shd w:val="clear" w:color="auto" w:fill="CCEEFF"/>
          </w:tcPr>
          <w:p>
            <w:pPr>
              <w:spacing w:after="0"/>
              <w:rPr>
                <w:sz w:val="18"/>
                <w:szCs w:val="18"/>
                <w:color w:val="auto"/>
              </w:rPr>
            </w:pP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 obtained in exchange for new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Pr>
          <w:p>
            <w:pPr>
              <w:spacing w:after="0"/>
              <w:rPr>
                <w:sz w:val="20"/>
                <w:szCs w:val="20"/>
                <w:color w:val="auto"/>
              </w:rPr>
            </w:pPr>
          </w:p>
        </w:tc>
      </w:tr>
    </w:tbl>
    <w:p>
      <w:pPr>
        <w:spacing w:after="0" w:line="19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undiscounted cash flows for future maturities of the Company’s operating lease liabilities and the reconciliation to the balance of operating lease liabilities reflected on the Company’s balance sheet are as follows as of September 30, 2019: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2020</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8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Fiscal 2021</w:t>
            </w: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10,705</w:t>
            </w:r>
          </w:p>
        </w:tc>
        <w:tc>
          <w:tcPr>
            <w:tcW w:w="8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2022</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8,997</w:t>
            </w:r>
          </w:p>
        </w:tc>
        <w:tc>
          <w:tcPr>
            <w:tcW w:w="8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Fiscal 2023</w:t>
            </w: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8,684</w:t>
            </w:r>
          </w:p>
        </w:tc>
        <w:tc>
          <w:tcPr>
            <w:tcW w:w="8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2024</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80" w:type="dxa"/>
            <w:vAlign w:val="bottom"/>
            <w:shd w:val="clear" w:color="auto" w:fill="CCEEFF"/>
          </w:tcPr>
          <w:p>
            <w:pPr>
              <w:spacing w:after="0"/>
              <w:rPr>
                <w:sz w:val="18"/>
                <w:szCs w:val="18"/>
                <w:color w:val="auto"/>
              </w:rPr>
            </w:pPr>
          </w:p>
        </w:tc>
      </w:tr>
      <w:tr>
        <w:trPr>
          <w:trHeight w:val="216"/>
        </w:trPr>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59,152</w:t>
            </w:r>
          </w:p>
        </w:tc>
        <w:tc>
          <w:tcPr>
            <w:tcW w:w="80" w:type="dxa"/>
            <w:vAlign w:val="bottom"/>
            <w:tcBorders>
              <w:bottom w:val="single" w:sz="8" w:color="CCEEFF"/>
            </w:tcBorders>
          </w:tcPr>
          <w:p>
            <w:pPr>
              <w:spacing w:after="0"/>
              <w:rPr>
                <w:sz w:val="18"/>
                <w:szCs w:val="18"/>
                <w:color w:val="auto"/>
              </w:rPr>
            </w:pPr>
          </w:p>
        </w:tc>
      </w:tr>
      <w:tr>
        <w:trPr>
          <w:trHeight w:val="21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104,214</w:t>
            </w:r>
          </w:p>
        </w:tc>
        <w:tc>
          <w:tcPr>
            <w:tcW w:w="8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6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(20,136)</w:t>
            </w:r>
          </w:p>
        </w:tc>
      </w:tr>
      <w:tr>
        <w:trPr>
          <w:trHeight w:val="210"/>
        </w:trPr>
        <w:tc>
          <w:tcPr>
            <w:tcW w:w="7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table above excludes $2,594 in the undiscounted future minimum lease payments for operating lease liabilities that had not yet commenced for terms up to 6.25 years.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Rent expense was $2,133 for the three months ended September 30, 2018.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non-cancellable operating leases (with initial or remaining terms in excess of one year) as of June 30, 2019 under ASC 840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Fiscal 2020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10,449</w:t>
            </w:r>
          </w:p>
        </w:tc>
        <w:tc>
          <w:tcPr>
            <w:tcW w:w="160" w:type="dxa"/>
            <w:vAlign w:val="bottom"/>
            <w:shd w:val="clear" w:color="auto" w:fill="CCEEFF"/>
          </w:tcPr>
          <w:p>
            <w:pPr>
              <w:spacing w:after="0"/>
              <w:rPr>
                <w:sz w:val="18"/>
                <w:szCs w:val="18"/>
                <w:color w:val="auto"/>
              </w:rPr>
            </w:pPr>
          </w:p>
        </w:tc>
      </w:tr>
      <w:tr>
        <w:trPr>
          <w:trHeight w:val="216"/>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Fiscal 2021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160" w:type="dxa"/>
            <w:vAlign w:val="bottom"/>
          </w:tcPr>
          <w:p>
            <w:pPr>
              <w:spacing w:after="0"/>
              <w:rPr>
                <w:sz w:val="18"/>
                <w:szCs w:val="18"/>
                <w:color w:val="auto"/>
              </w:rPr>
            </w:pPr>
          </w:p>
        </w:tc>
      </w:tr>
      <w:tr>
        <w:trPr>
          <w:trHeight w:val="216"/>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Fiscal 2022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60" w:type="dxa"/>
            <w:vAlign w:val="bottom"/>
            <w:shd w:val="clear" w:color="auto" w:fill="CCEEFF"/>
          </w:tcPr>
          <w:p>
            <w:pPr>
              <w:spacing w:after="0"/>
              <w:rPr>
                <w:sz w:val="18"/>
                <w:szCs w:val="18"/>
                <w:color w:val="auto"/>
              </w:rPr>
            </w:pPr>
          </w:p>
        </w:tc>
      </w:tr>
      <w:tr>
        <w:trPr>
          <w:trHeight w:val="216"/>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Fiscal 2023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160" w:type="dxa"/>
            <w:vAlign w:val="bottom"/>
          </w:tcPr>
          <w:p>
            <w:pPr>
              <w:spacing w:after="0"/>
              <w:rPr>
                <w:sz w:val="18"/>
                <w:szCs w:val="18"/>
                <w:color w:val="auto"/>
              </w:rPr>
            </w:pPr>
          </w:p>
        </w:tc>
      </w:tr>
      <w:tr>
        <w:trPr>
          <w:trHeight w:val="216"/>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Fiscal 2024</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160" w:type="dxa"/>
            <w:vAlign w:val="bottom"/>
            <w:shd w:val="clear" w:color="auto" w:fill="CCEEFF"/>
          </w:tcPr>
          <w:p>
            <w:pPr>
              <w:spacing w:after="0"/>
              <w:rPr>
                <w:sz w:val="18"/>
                <w:szCs w:val="18"/>
                <w:color w:val="auto"/>
              </w:rPr>
            </w:pPr>
          </w:p>
        </w:tc>
      </w:tr>
      <w:tr>
        <w:trPr>
          <w:trHeight w:val="216"/>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59,401</w:t>
            </w:r>
          </w:p>
        </w:tc>
        <w:tc>
          <w:tcPr>
            <w:tcW w:w="160" w:type="dxa"/>
            <w:vAlign w:val="bottom"/>
            <w:tcBorders>
              <w:bottom w:val="single" w:sz="8" w:color="CCEEFF"/>
            </w:tcBorders>
          </w:tcPr>
          <w:p>
            <w:pPr>
              <w:spacing w:after="0"/>
              <w:rPr>
                <w:sz w:val="18"/>
                <w:szCs w:val="18"/>
                <w:color w:val="auto"/>
              </w:rPr>
            </w:pPr>
          </w:p>
        </w:tc>
      </w:tr>
      <w:tr>
        <w:trPr>
          <w:trHeight w:val="210"/>
        </w:trPr>
        <w:tc>
          <w:tcPr>
            <w:tcW w:w="8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108,178</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Benefit Plans</w:t>
      </w:r>
    </w:p>
    <w:p>
      <w:pPr>
        <w:spacing w:after="0" w:line="225" w:lineRule="exact"/>
        <w:rPr>
          <w:sz w:val="20"/>
          <w:szCs w:val="20"/>
          <w:color w:val="auto"/>
        </w:rPr>
      </w:pPr>
    </w:p>
    <w:p>
      <w:pPr>
        <w:ind w:left="300" w:hanging="291"/>
        <w:spacing w:after="0"/>
        <w:tabs>
          <w:tab w:leader="none" w:pos="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Equity Incentive Plan</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options to purchase common stock and other equity incentives at the discretion of the compensation committee of the Company’s board of directors. No new awards have been or will be issued under the 2008 Plan since the effective date of the 2014 Plan. Outstanding awards under the 2008 Plan continue to be subject to the terms and conditions of the 2008 Plan. The number of shares of common stock reserved for issuance under the 2014 Plan may increase each calendar year, continuing through and including January 1, 2024. The number of shares added each year may be equal to the lesser of (a) four and five tenths percent (4.5%) of the number of shares of common stock of the Company issued and outstanding on the immediately preceding December 31, or (b) an amount determined by the Company’s board of directors.</w:t>
      </w:r>
    </w:p>
    <w:p>
      <w:pPr>
        <w:spacing w:after="0" w:line="18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2019, the Company had 12,660 shares allocated to the plans, of which 3,221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w:t>
      </w:r>
    </w:p>
    <w:p>
      <w:pPr>
        <w:spacing w:after="0" w:line="18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in the number of shares available for grant under the Company’s equity incentive plans during the three months ended September 30,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60" w:type="dxa"/>
            <w:vAlign w:val="bottom"/>
          </w:tcPr>
          <w:p>
            <w:pPr>
              <w:spacing w:after="0"/>
              <w:rPr>
                <w:sz w:val="13"/>
                <w:szCs w:val="13"/>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grant at July 1, 2019</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withheld in settlement of taxes and/or exercise price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Forfeitures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removed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r>
      <w:tr>
        <w:trPr>
          <w:trHeight w:val="210"/>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 for grant at September 30, 2019</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Shares removed represents forfeitures of shares and shares withheld in settlement of taxes and/or payment of exercise price related to grants made under the 2008 Plan. As noted above, no new awards will be issued under the 2008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stock options, restricted stock units (“RSUs”), and the Employee Stock Purchase Plan (as described below) is included in the following line items in the accompanying unaudited consolidated statements of operations and comprehensive income: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7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1,238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1,697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1,278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5,212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9,425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capitalized $625 and $656 in the three months ended September 30, 2018 and 2019, respectively.</w:t>
      </w:r>
    </w:p>
    <w:p>
      <w:pPr>
        <w:spacing w:after="0" w:line="16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Under the 2008 and 2014 Plans, the exercise price of each option cannot be less than the fair value of a share of common stock on the grant date. The options vested ratably over a three or four year period and expire 10 years from the grant date. Stock-based compensation expense for the fair value of the options at their grant date is recognized ratably over the vesting schedule for each separately vesting portion of the award.</w:t>
      </w:r>
    </w:p>
    <w:p>
      <w:pPr>
        <w:spacing w:after="0" w:line="18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There were no stock options granted during the three months ended September 30, 2018 or 2019. The table below presents stock option activity during the three months ended September 30, 2019: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7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1, 2019</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$ 12.24</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$ 15.93</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$ 12.23</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129,492</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vested and exercisable at September 30, 2019</w:t>
            </w:r>
          </w:p>
        </w:tc>
        <w:tc>
          <w:tcPr>
            <w:tcW w:w="700" w:type="dxa"/>
            <w:vAlign w:val="bottom"/>
            <w:tcBorders>
              <w:bottom w:val="single" w:sz="8" w:color="auto"/>
            </w:tcBorders>
          </w:tcPr>
          <w:p>
            <w:pPr>
              <w:spacing w:after="0" w:line="20" w:lineRule="exact"/>
              <w:rPr>
                <w:sz w:val="1"/>
                <w:szCs w:val="1"/>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$ 12.23</w:t>
            </w:r>
          </w:p>
        </w:tc>
        <w:tc>
          <w:tcPr>
            <w:tcW w:w="1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129,492</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gridSpan w:val="2"/>
            <w:vMerge w:val="continue"/>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1,517</w:t>
            </w: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80" w:firstLine="648"/>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was $12,203 and $671 during the three months ended September 30, 2018 and 2019, respectively. At September 30, 2019, the Company had recognized all stock-based compensation cost related to outstanding stock options and all outstanding options had vested.</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may also grant RSUs under the 2014 Plan with terms determined at the discretion of the compensation committee of the Company’s board of directors. RSUs generally vest over four years following the grant date. Certain RSU awards have time-based vesting conditions while other RSUs vest based on the achievement of certain revenue growth and Adjusted EBITDA margin targets in future fiscal years.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restricted stock unit activity during the three months ended September 30,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7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balance at July 1, 2019</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vested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RSUs forfeited</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balance at September 30, 2019</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RSUs expected to vest at September 30, 2019</w:t>
            </w:r>
          </w:p>
        </w:tc>
        <w:tc>
          <w:tcPr>
            <w:tcW w:w="72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20" w:type="dxa"/>
            <w:vAlign w:val="bottom"/>
            <w:gridSpan w:val="2"/>
            <w:vMerge w:val="continue"/>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1,553</w:t>
            </w:r>
          </w:p>
        </w:tc>
        <w:tc>
          <w:tcPr>
            <w:tcW w:w="30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At September 30, 2019, there was $79,298 of total unrecognized compensation cost, net of estimated forfeitures, related to unvested restricted stock units granted. That cost is expected to be recognized over a weighted average period of 2.17 years.</w:t>
      </w:r>
    </w:p>
    <w:p>
      <w:pPr>
        <w:spacing w:after="0" w:line="172" w:lineRule="exact"/>
        <w:rPr>
          <w:sz w:val="20"/>
          <w:szCs w:val="20"/>
          <w:color w:val="auto"/>
        </w:rPr>
      </w:pPr>
    </w:p>
    <w:p>
      <w:pPr>
        <w:ind w:left="300" w:hanging="291"/>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Under the Company’s Employee Stock Purchase Plan (“ESPP”), the Company can grant stock purchase rights to all eligible employees during specific offering periods not to exceed twenty-seven months. Each offering period will begin on the trading day closest to May 16 and November 16 of each year. Shares are purchased through employees’ payroll deductions, up to a maximum of 10% of employees’ compensation for each purchase period, at a purchase price equal to</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85% of the lesser of the fair market value of the Company’s common stock at the first trading day of the applicable offering period or the purchase date. Participants may purchase up to $25 worth of common stock or 2 shares of common stock in any one year. The ESPP is considered compensatory and results in compensation expense.</w:t>
      </w:r>
    </w:p>
    <w:p>
      <w:pPr>
        <w:spacing w:after="0" w:line="18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2019, a total of 995 shares of common stock were reserved for future issuances under the ESPP. The number of shares of common stock reserved for issuance under the ESPP may increase each calendar year, continuing through and including January 1, 2024. The number of shares added each year may be equal to the lesser of (a) 400, (b) seventy-five one hundredths percent (0.75%) of the number of shares of common stock of the Company issued and outstanding on the immediately preceding December 31, or (c) an amount determined by the Company’s board of directors.</w:t>
      </w:r>
    </w:p>
    <w:p>
      <w:pPr>
        <w:spacing w:after="0" w:line="18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compensation expense attributable to the ESPP of $439 and $662 for the three months ended September 30, 2018 and 2019, respectively, which is included in the summary of stock-based compensation expense above. The grant date fair value of the ESPP offering periods was estimated using the following weighted average assumptions: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20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480" w:type="dxa"/>
            <w:vAlign w:val="bottom"/>
            <w:tcBorders>
              <w:bottom w:val="single" w:sz="8" w:color="auto"/>
            </w:tcBorders>
            <w:gridSpan w:val="3"/>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assumptions:</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30"/>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i w:val="1"/>
          <w:iCs w:val="1"/>
          <w:color w:val="auto"/>
        </w:rPr>
        <w:t>401(k) Plan</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a 401(k) plan with a matching provision that covers all eligible employees. The Company matches 50% of employees’ contributions up to 8% of their gross pay. Contributions were $1,394 and $2,003 for the three months ended September 30, 2018 and 2019,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Litigation</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On July 12, 2019, a former employee filed a class and collective action complaint under federal and state law alleging that certain employees of the Company were misclassified as salaried exempt employees. The complaint seeks unpaid overtime and other damages. The Company’s management does not believe that the final outcome of this claim will have a material impact to its financial position, results of operations, or liquidity.</w:t>
      </w:r>
    </w:p>
    <w:p>
      <w:pPr>
        <w:spacing w:after="0" w:line="180" w:lineRule="exact"/>
        <w:rPr>
          <w:sz w:val="20"/>
          <w:szCs w:val="20"/>
          <w:color w:val="auto"/>
        </w:rPr>
      </w:pPr>
    </w:p>
    <w:p>
      <w:pPr>
        <w:ind w:right="140" w:firstLine="648"/>
        <w:spacing w:after="0" w:line="277" w:lineRule="auto"/>
        <w:rPr>
          <w:sz w:val="20"/>
          <w:szCs w:val="20"/>
          <w:color w:val="auto"/>
        </w:rPr>
      </w:pPr>
      <w:r>
        <w:rPr>
          <w:rFonts w:ascii="Times New Roman" w:cs="Times New Roman" w:eastAsia="Times New Roman" w:hAnsi="Times New Roman"/>
          <w:sz w:val="17"/>
          <w:szCs w:val="17"/>
          <w:color w:val="auto"/>
        </w:rPr>
        <w:t>From time to time, the Company is subject to litigation arising in the ordinary course of business. Many of these matters are covered in whole or in part by insurance. In the opinion of the Company’s management, the ultimate disposition of any matters currently outstanding or threatened will not have a material adverse effect on the Company’s financial position, results of operations, or liquidity. However, these matters are subject to inherent uncertainties and could materially impact the Company’s financial position, results of operations, or liquidity based on the final disposition of these matters.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Company’s quarterly provision for income taxes is based on the annual effective rate method. The Company’s quarterly provision for income taxes also includes the tax impact of certain unusual or infrequently occurring items, if any, including changes in judgment about valuation allowances and effects of changes in tax laws or rates, and other discrete items in the interim period in which they occur.</w:t>
      </w:r>
    </w:p>
    <w:p>
      <w:pPr>
        <w:spacing w:after="0" w:line="180"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was (143.6)% and (114.8)% for the three months ended September 30, 2018 and 2019, respectively. The Company’s effective tax rates for the three months ended September 30, 2018 and 2019 were lower than the federal statutory rate of 21% primarily due to excess tax benefits from employee stock-based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Per Share</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Basic net income per common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the shares purchasable via the employee stock purchase plan as of the balance sheet date. The following table presents the calculation of basic and diluted net income per share:</w:t>
      </w:r>
    </w:p>
    <w:p>
      <w:pPr>
        <w:spacing w:after="0" w:line="195"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7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9,852</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effect of potentially dilutive shares: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Employee stock options, restricted stock units and employee stock purchase plan shares</w:t>
            </w:r>
          </w:p>
        </w:tc>
        <w:tc>
          <w:tcPr>
            <w:tcW w:w="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6940" w:type="dxa"/>
            <w:vAlign w:val="bottom"/>
            <w:gridSpan w:val="2"/>
          </w:tcPr>
          <w:p>
            <w:pPr>
              <w:jc w:val="right"/>
              <w:ind w:right="2230"/>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3" w:right="141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 excluded 687 and 624 outstanding restricted stock units from the diluted per share calculation during the three months ended September 30, 2018 and 2019, respectively, because to include them would have been anti-dilutive.</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August 2018, the Company announced that its board of directors approved a program to repurchase up to $35,000 of the Company’s common stock, with authorization through August 14, 2019. The Company completed the repurchase program during the first quarter of fiscal 2019 and repurchased 442 shares for $34,991. All shares of common stock repurchased were retired.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Part II, Item 1A. “Risk Factors.”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are a cloud-based provider of payroll and human capital management (“HCM”) software solutions for medium-sized organizations, which we define as those having between 20 and 1,000 employees. Our comprehensive and easy-to-use solutions enable our clients to manage their workforces more effectively. Our product suite delivers a unified platform for professionals to make strategic decisions in the areas of payroll, core HR, workforce management, talent and benefits, all while promoting a modern workplace and improving employee engagement.</w:t>
      </w:r>
    </w:p>
    <w:p>
      <w:pPr>
        <w:spacing w:after="0" w:line="17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Effective management of human capital is a core function in all organizations and requires a significant commitment of resources. Our solutions were specifically designed to meet the payroll and HCM needs of medium-sized organizations. We designed our cloud-based platform to provide a unified suite of modules using a multi-tenant architecture. Our solutions are highly flexible and configurable and feature a modern, intuitive user experience. Our platform offers automated data integration with over 300 related third-party systems, such as 401(k), benefits and insurance provider systems.</w:t>
      </w:r>
    </w:p>
    <w:p>
      <w:pPr>
        <w:spacing w:after="0" w:line="17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payroll solution was the first of our current offerings introduced into the market. We believe payroll is the most critical system of record for medium-sized organizations and an essential gateway to other HCM functionalities. We have invested in, and we intend to continue to invest in, research and development to expand our product offerings and advance our platform.</w:t>
      </w:r>
    </w:p>
    <w:p>
      <w:pPr>
        <w:spacing w:after="0" w:line="16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believe there is a significant opportunity to grow our business by increasing our number of clients and we intend to invest in our business to achieve this purpose. We market and sell our solutions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and quality of products that clients purchase from us. To do so, we must continue to enhance and grow the number of solutions we offer to advance our platform.</w:t>
      </w:r>
    </w:p>
    <w:p>
      <w:pPr>
        <w:spacing w:after="0" w:line="18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mid-market organizations. We expect to continue to invest in and grow our implementation and client service organization as our client base grows.</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believe we have the opportunity to continue to grow our business over the long term, and to do so we have invested, and intend to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8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As our business has grown, we have become increasingly subject to the risks arising from adverse changes in domestic and global economic conditions. If general economic conditions were to deteriorate, including declines in private sector employment growth and business productivity, increases in the unemployment rate and changes in interest rates, we may experience delays in our sales cycles, increased pressure from prospective clients to offer discounts and increased pressure from existing clients to renew expiring recurring revenue agreements for lower amounts.</w:t>
      </w:r>
    </w:p>
    <w:p>
      <w:pPr>
        <w:sectPr>
          <w:pgSz w:w="11900" w:h="16838" w:orient="portrait"/>
          <w:cols w:equalWidth="0" w:num="1">
            <w:col w:w="9060"/>
          </w:cols>
          <w:pgMar w:left="1420" w:top="513" w:right="141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Paylocity Holding Corporation is a Delaware corporation, which was formed in November 2013. Our business operations, excluding interest earned on certain cash holdings and expenses associated with certain secondary stock offerings, have historically been, and are currently, conducted by its wholly owned subsidiaries, and the financial results presented herein are entirely attributable to the results of its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29" w:lineRule="exact"/>
        <w:rPr>
          <w:sz w:val="20"/>
          <w:szCs w:val="20"/>
          <w:color w:val="auto"/>
        </w:rPr>
      </w:pPr>
    </w:p>
    <w:p>
      <w:pPr>
        <w:ind w:right="280" w:firstLine="648"/>
        <w:spacing w:after="0" w:line="313" w:lineRule="auto"/>
        <w:rPr>
          <w:sz w:val="20"/>
          <w:szCs w:val="20"/>
          <w:color w:val="auto"/>
        </w:rPr>
      </w:pPr>
      <w:r>
        <w:rPr>
          <w:rFonts w:ascii="Times New Roman" w:cs="Times New Roman" w:eastAsia="Times New Roman" w:hAnsi="Times New Roman"/>
          <w:sz w:val="17"/>
          <w:szCs w:val="17"/>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Growth</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recurring revenue model and high annual revenue retention rates provide significant visibility into our future operating results and cash flow from operations. This visibility enables us to better manage and invest in our business. Total revenues increased from $100.5 million for the three months ended September 30, 2018 to $126.7 million for the three months ended September 30, 2019, representing a 26% year-over-year increase.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EBITDA</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disclose Adjusted Gross Profit and Adjusted EBITDA because we use them to evaluate our performance, and we believe Adjusted Gross Profit and Adjusted EBITDA assist in the comparison of our performance across reporting periods by excluding certain items that we do not believe are indicative of our core operating performance. We believe these metrics are used in the financial community, and we present them to enhance investors’ understanding of our operating performance and cash flows.</w:t>
      </w:r>
    </w:p>
    <w:p>
      <w:pPr>
        <w:spacing w:after="0" w:line="184"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Adjusted Gross Profit and Adjusted EBITDA are not measurements of financial performance under generally accepted accounting principles in the United States (“GAAP”), and you should not consider Adjusted Gross Profit as an alternative to gross profit or Adjusted EBITDA as an alternative to net income or cash provided by operating activities, in each case as determined in accordance with GAAP. In addition, our definition of Adjusted Gross Profit and Adjusted EBITDA may be different than the definition utilized for similarly-titled measures used by other companies.</w:t>
      </w:r>
    </w:p>
    <w:p>
      <w:pPr>
        <w:spacing w:after="0" w:line="18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define Adjusted Gross Profit as gross profit before amortization of capitalized internal-use software costs, stock-based compensation expense and employer payroll taxes related to stock releases and option exercises. We define Adjusted EBITDA as net income before interest expense, income tax benefit, depreciation and amortization expense, stock-based compensation expense and employer payroll taxes related to stock releases and option exercises and other items as defined below. The table below sets forth our Adjusted Gross Profit and Adjusted EBITDA for the periods presented.</w:t>
      </w:r>
    </w:p>
    <w:p>
      <w:pPr>
        <w:spacing w:after="0" w:line="191"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6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4"/>
          </w:tcPr>
          <w:p>
            <w:pPr>
              <w:jc w:val="center"/>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5"/>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from Gross Profit to Adjusted Gross Profit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capitalized internal-use software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and employer payroll taxes related to stock releases and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 exercises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Adjusted Gross Profit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jc w:val="right"/>
              <w:ind w:right="255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3" w:right="141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68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4"/>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from Net Income to Adjusted EBITDA</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15,492</w:t>
            </w:r>
          </w:p>
        </w:tc>
        <w:tc>
          <w:tcPr>
            <w:tcW w:w="6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and employer payroll taxes related to stock releases and</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 exercises</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14,029</w:t>
            </w:r>
          </w:p>
        </w:tc>
        <w:tc>
          <w:tcPr>
            <w:tcW w:w="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items*</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23,263</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30,477</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1"/>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nonrecurring costs including certain litigation costs, lease exit costs and certain other transaction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Beginning in fiscal 2020, we simplified the presentation of revenue. Recurring fees and Implementation services and other have been consolidated into one revenue line: Recurring and other revenue. We changed the presentation of revenue as Implementation services and other has become a smaller component of our overall revenue mix as our HCM suite has become a larger part of the portfolio. Previously reported results for the three-month period ended September 30, 2018 have been reclassified to conform to the current presentation.</w:t>
      </w:r>
    </w:p>
    <w:p>
      <w:pPr>
        <w:spacing w:after="0" w:line="18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and implementation fees for professional services provided to implement our payroll and HCM solutions. Implementations of our payroll solutions typically require only three to four weeks at which point the new client’s payroll is first processed using our solution. We implement additional HCM products as requested by clients and leverage the data within our payroll solution to accelerate our implementation processes. Our average client size has continued to be over 100 employees.</w:t>
      </w:r>
    </w:p>
    <w:p>
      <w:pPr>
        <w:spacing w:after="0" w:line="18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derive revenue from a client based on the solutions purchased by the client, the number of client employees as well as the amount, type and timing of services provided with respect to those client employees. As such, the number of client employees on our system is not a good indicator of our financial results in any period. Recurring and other revenue accounted for 96% of our total revenues during both the three months ended September 30, 2018 and 2019.</w:t>
      </w:r>
    </w:p>
    <w:p>
      <w:pPr>
        <w:spacing w:after="0" w:line="180"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While the majority of our agreements with clients are generally cancellable by the client on 60 days’ notice or less, we also have entered into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27"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have automated clearing house, or ACH, arrangements. We also earn interest by investing a portion of funds held for clients in highly liquid, investment-grade marketable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To correspond with the simplification of the presentation of revenue discussed above, we also simplified the presentation of cost of revenue. As a result, Cost of revenues – recurring revenues and Cost of revenues – implementation services and other have been consolidated into one line: Cost of revenues. Cost of revenues includes costs to provide our payroll and other HCM solutions which primarily consists of employee-related expenses, including wages, stock-based compensation, bonuses and benefits, relating to the provision of ongoing client support and implementation activities, payroll tax filing, distribution of printed checks and other materials as well as delivery costs, computing costs, and bank fees associated with client fund transfers. Employee costs for recurring support are generally expensed as incurred whereas such costs for implementation of our proprietary products are capitalized and amortized over a period of 7 years.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19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also capitalize a portion of our internal-use software costs, which are then all amortized as Cost of revenues. We amortized $4.2 million and $4.5 million of capitalized internal-use software costs during the three months ended September 30, 2018 and 2019,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expenses for our direct sales and marketing staff, including wages, commissions, stock-based compensation, bonuses and benefits, marketing expenses and other related costs. We capitalize certain selling and commission costs related to new contracts or purchases of additional services by our existing clients. Commissions are typically paid the following month after the start of service, and bonuses for attainment of certain annual performance criteria are subsequently paid annually in the first fiscal quarter of the following year. We generally recognize these costs over a period of 7 years.</w:t>
      </w:r>
    </w:p>
    <w:p>
      <w:pPr>
        <w:spacing w:after="0" w:line="188"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months ended September 30, 2018 and 2019.</w:t>
      </w:r>
    </w:p>
    <w:p>
      <w:pPr>
        <w:spacing w:after="0" w:line="187"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7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73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7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4"/>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portion of research and 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60" w:type="dxa"/>
            <w:vAlign w:val="bottom"/>
            <w:shd w:val="clear" w:color="auto" w:fill="CCEEFF"/>
          </w:tcPr>
          <w:p>
            <w:pPr>
              <w:spacing w:after="0"/>
              <w:rPr>
                <w:sz w:val="18"/>
                <w:szCs w:val="18"/>
                <w:color w:val="auto"/>
              </w:rPr>
            </w:pPr>
          </w:p>
        </w:tc>
      </w:tr>
      <w:tr>
        <w:trPr>
          <w:trHeight w:val="216"/>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Expensed portion of research and development</w:t>
            </w: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14,394</w:t>
            </w:r>
          </w:p>
        </w:tc>
        <w:tc>
          <w:tcPr>
            <w:tcW w:w="60" w:type="dxa"/>
            <w:vAlign w:val="bottom"/>
            <w:tcBorders>
              <w:bottom w:val="single" w:sz="8" w:color="CCEEFF"/>
            </w:tcBorders>
          </w:tcPr>
          <w:p>
            <w:pPr>
              <w:spacing w:after="0"/>
              <w:rPr>
                <w:sz w:val="18"/>
                <w:szCs w:val="18"/>
                <w:color w:val="auto"/>
              </w:rPr>
            </w:pP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General and administrative expenses consist primarily of employee-related costs, including wages, stock-based compensation, bonuses and benefits for our administrative, finance, accounting, and human resources departments. Additional expenses include consulting and professional fees, occupancy costs, insurance and other corporate expenses. We expect our general and administrative expenses to continue to increase in absolute dollars as our company continues to grow.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Other income generally consists of interest income related to interest earned on our cash and cash equivalents and corporate investments, net of losses on disposal of property and equipment and interest expense related to our revolving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for each of the periods indicated.</w:t>
      </w:r>
    </w:p>
    <w:p>
      <w:pPr>
        <w:spacing w:after="0" w:line="232"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6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7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7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121,873</w:t>
            </w:r>
          </w:p>
        </w:tc>
        <w:tc>
          <w:tcPr>
            <w:tcW w:w="60" w:type="dxa"/>
            <w:vAlign w:val="bottom"/>
            <w:shd w:val="clear" w:color="auto" w:fill="CCEEFF"/>
          </w:tcPr>
          <w:p>
            <w:pPr>
              <w:spacing w:after="0"/>
              <w:rPr>
                <w:sz w:val="18"/>
                <w:szCs w:val="18"/>
                <w:color w:val="auto"/>
              </w:rPr>
            </w:pPr>
          </w:p>
        </w:tc>
      </w:tr>
      <w:tr>
        <w:trPr>
          <w:trHeight w:val="216"/>
        </w:trPr>
        <w:tc>
          <w:tcPr>
            <w:tcW w:w="7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60" w:type="dxa"/>
            <w:vAlign w:val="bottom"/>
            <w:tcBorders>
              <w:bottom w:val="single" w:sz="8" w:color="CCEEFF"/>
            </w:tcBorders>
          </w:tcPr>
          <w:p>
            <w:pPr>
              <w:spacing w:after="0"/>
              <w:rPr>
                <w:sz w:val="18"/>
                <w:szCs w:val="18"/>
                <w:color w:val="auto"/>
              </w:rPr>
            </w:pPr>
          </w:p>
        </w:tc>
      </w:tr>
      <w:tr>
        <w:trPr>
          <w:trHeight w:val="21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126,720</w:t>
            </w:r>
          </w:p>
        </w:tc>
        <w:tc>
          <w:tcPr>
            <w:tcW w:w="60" w:type="dxa"/>
            <w:vAlign w:val="bottom"/>
            <w:shd w:val="clear" w:color="auto" w:fill="CCEEFF"/>
          </w:tcPr>
          <w:p>
            <w:pPr>
              <w:spacing w:after="0"/>
              <w:rPr>
                <w:sz w:val="18"/>
                <w:szCs w:val="18"/>
                <w:color w:val="auto"/>
              </w:rPr>
            </w:pPr>
          </w:p>
        </w:tc>
      </w:tr>
      <w:tr>
        <w:trPr>
          <w:trHeight w:val="216"/>
        </w:trPr>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42,630</w:t>
            </w:r>
          </w:p>
        </w:tc>
        <w:tc>
          <w:tcPr>
            <w:tcW w:w="60" w:type="dxa"/>
            <w:vAlign w:val="bottom"/>
            <w:tcBorders>
              <w:bottom w:val="single" w:sz="8" w:color="CCEEFF"/>
            </w:tcBorders>
          </w:tcPr>
          <w:p>
            <w:pPr>
              <w:spacing w:after="0"/>
              <w:rPr>
                <w:sz w:val="18"/>
                <w:szCs w:val="18"/>
                <w:color w:val="auto"/>
              </w:rPr>
            </w:pPr>
          </w:p>
        </w:tc>
      </w:tr>
      <w:tr>
        <w:trPr>
          <w:trHeight w:val="21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84,090</w:t>
            </w:r>
          </w:p>
        </w:tc>
        <w:tc>
          <w:tcPr>
            <w:tcW w:w="60" w:type="dxa"/>
            <w:vAlign w:val="bottom"/>
            <w:shd w:val="clear" w:color="auto" w:fill="CCEEFF"/>
          </w:tcPr>
          <w:p>
            <w:pPr>
              <w:spacing w:after="0"/>
              <w:rPr>
                <w:sz w:val="18"/>
                <w:szCs w:val="18"/>
                <w:color w:val="auto"/>
              </w:rPr>
            </w:pPr>
          </w:p>
        </w:tc>
      </w:tr>
      <w:tr>
        <w:trPr>
          <w:trHeight w:val="21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36,957</w:t>
            </w:r>
          </w:p>
        </w:tc>
        <w:tc>
          <w:tcPr>
            <w:tcW w:w="60" w:type="dxa"/>
            <w:vAlign w:val="bottom"/>
            <w:shd w:val="clear" w:color="auto" w:fill="CCEEFF"/>
          </w:tcPr>
          <w:p>
            <w:pPr>
              <w:spacing w:after="0"/>
              <w:rPr>
                <w:sz w:val="18"/>
                <w:szCs w:val="18"/>
                <w:color w:val="auto"/>
              </w:rPr>
            </w:pPr>
          </w:p>
        </w:tc>
      </w:tr>
      <w:tr>
        <w:trPr>
          <w:trHeight w:val="216"/>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14,394</w:t>
            </w:r>
          </w:p>
        </w:tc>
        <w:tc>
          <w:tcPr>
            <w:tcW w:w="60" w:type="dxa"/>
            <w:vAlign w:val="bottom"/>
          </w:tcPr>
          <w:p>
            <w:pPr>
              <w:spacing w:after="0"/>
              <w:rPr>
                <w:sz w:val="18"/>
                <w:szCs w:val="18"/>
                <w:color w:val="auto"/>
              </w:rPr>
            </w:pPr>
          </w:p>
        </w:tc>
      </w:tr>
      <w:tr>
        <w:trPr>
          <w:trHeight w:val="216"/>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26,739</w:t>
            </w:r>
          </w:p>
        </w:tc>
        <w:tc>
          <w:tcPr>
            <w:tcW w:w="60" w:type="dxa"/>
            <w:vAlign w:val="bottom"/>
            <w:shd w:val="clear" w:color="auto" w:fill="CCEEFF"/>
          </w:tcPr>
          <w:p>
            <w:pPr>
              <w:spacing w:after="0"/>
              <w:rPr>
                <w:sz w:val="18"/>
                <w:szCs w:val="18"/>
                <w:color w:val="auto"/>
              </w:rPr>
            </w:pPr>
          </w:p>
        </w:tc>
      </w:tr>
      <w:tr>
        <w:trPr>
          <w:trHeight w:val="210"/>
        </w:trPr>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60,786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78,090</w:t>
            </w:r>
          </w:p>
        </w:tc>
        <w:tc>
          <w:tcPr>
            <w:tcW w:w="60" w:type="dxa"/>
            <w:vAlign w:val="bottom"/>
            <w:tcBorders>
              <w:bottom w:val="single" w:sz="8" w:color="CCEEFF"/>
            </w:tcBorders>
          </w:tcPr>
          <w:p>
            <w:pPr>
              <w:spacing w:after="0"/>
              <w:rPr>
                <w:sz w:val="18"/>
                <w:szCs w:val="18"/>
                <w:color w:val="auto"/>
              </w:rPr>
            </w:pPr>
          </w:p>
        </w:tc>
      </w:tr>
      <w:tr>
        <w:trPr>
          <w:trHeight w:val="210"/>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60" w:type="dxa"/>
            <w:vAlign w:val="bottom"/>
            <w:shd w:val="clear" w:color="auto" w:fill="CCEEFF"/>
          </w:tcPr>
          <w:p>
            <w:pPr>
              <w:spacing w:after="0"/>
              <w:rPr>
                <w:sz w:val="18"/>
                <w:szCs w:val="18"/>
                <w:color w:val="auto"/>
              </w:rPr>
            </w:pPr>
          </w:p>
        </w:tc>
      </w:tr>
      <w:tr>
        <w:trPr>
          <w:trHeight w:val="216"/>
        </w:trPr>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60" w:type="dxa"/>
            <w:vAlign w:val="bottom"/>
            <w:tcBorders>
              <w:bottom w:val="single" w:sz="8" w:color="CCEEFF"/>
            </w:tcBorders>
          </w:tcPr>
          <w:p>
            <w:pPr>
              <w:spacing w:after="0"/>
              <w:rPr>
                <w:sz w:val="18"/>
                <w:szCs w:val="18"/>
                <w:color w:val="auto"/>
              </w:rPr>
            </w:pPr>
          </w:p>
        </w:tc>
      </w:tr>
      <w:tr>
        <w:trPr>
          <w:trHeight w:val="210"/>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(5,807)</w:t>
            </w: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(7,432)</w:t>
            </w:r>
          </w:p>
        </w:tc>
      </w:tr>
      <w:tr>
        <w:trPr>
          <w:trHeight w:val="210"/>
        </w:trPr>
        <w:tc>
          <w:tcPr>
            <w:tcW w:w="7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9060"/>
          </w:cols>
          <w:pgMar w:left="1420" w:top="513" w:right="141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statements of operations data as a percentage of total revenues for each of the periods indicated.</w:t>
      </w:r>
    </w:p>
    <w:p>
      <w:pPr>
        <w:spacing w:after="0" w:line="16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5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54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60" w:type="dxa"/>
            <w:vAlign w:val="bottom"/>
          </w:tcPr>
          <w:p>
            <w:pPr>
              <w:spacing w:after="0"/>
              <w:rPr>
                <w:sz w:val="18"/>
                <w:szCs w:val="18"/>
                <w:color w:val="auto"/>
              </w:rPr>
            </w:pPr>
          </w:p>
        </w:tc>
        <w:tc>
          <w:tcPr>
            <w:tcW w:w="9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Borders>
              <w:top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60" w:type="dxa"/>
            <w:vAlign w:val="bottom"/>
          </w:tcPr>
          <w:p>
            <w:pPr>
              <w:spacing w:after="0"/>
              <w:rPr>
                <w:sz w:val="18"/>
                <w:szCs w:val="18"/>
                <w:color w:val="auto"/>
              </w:rPr>
            </w:pPr>
          </w:p>
        </w:tc>
        <w:tc>
          <w:tcPr>
            <w:tcW w:w="9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tcBorders>
              <w:top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60" w:type="dxa"/>
            <w:vAlign w:val="bottom"/>
          </w:tcPr>
          <w:p>
            <w:pPr>
              <w:spacing w:after="0"/>
              <w:rPr>
                <w:sz w:val="18"/>
                <w:szCs w:val="18"/>
                <w:color w:val="auto"/>
              </w:rPr>
            </w:pPr>
          </w:p>
        </w:tc>
        <w:tc>
          <w:tcPr>
            <w:tcW w:w="9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10"/>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4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Borders>
              <w:top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9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top w:val="single" w:sz="8" w:color="CCEEFF"/>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September 30, 2018 and 2019</w:t>
            </w: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gridSpan w:val="6"/>
            <w:vMerge w:val="restart"/>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97,002</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$ 121,873</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$ 24,871</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96 %</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96 %</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4,847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1,345</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34"/>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4 %</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22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Recurring and other revenue for the three months ended September 30, 2019 increased by $24.9 million, or 26%, to $121.9 million from $97.0 million for the three months ended September 30, 2018. Recurring and other revenue increased primarily as a result of incremental revenues from new and existing clients.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Interest income on funds held for clients for the three months ended September 30, 2019 increased by $1.3 million, or 38% to $4.8 million from $3.5 million for the three months ended September 30, 2018. Interest income on funds held for clients increased primarily as a result of higher average interest rates and increased average daily balances for funds held due to the addition of new clients to our client base.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8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80" w:type="dxa"/>
            <w:vAlign w:val="bottom"/>
          </w:tcPr>
          <w:p>
            <w:pPr>
              <w:spacing w:after="0"/>
              <w:rPr>
                <w:sz w:val="15"/>
                <w:szCs w:val="15"/>
                <w:color w:val="auto"/>
              </w:rPr>
            </w:pPr>
          </w:p>
        </w:tc>
        <w:tc>
          <w:tcPr>
            <w:tcW w:w="188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$ 35,942</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$ 42,630</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36 %</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34 %</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64 %</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66 %</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revenues for the three months ended September 30, 2019 increased by $6.7 million, or 19%, to</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$42.6 million from $35.9 million for the three months ended September 30, 2018. Cost of revenues increased primarily as a result of the continued growth of our business, in particular, $4.5 million in additional employee-related costs resulting from additional personnel necessary to provide services to new and existing clients and $1.4 million in delivery and other processing-related fees. Gross margin increased from 64% to 66% for the three months ended September 30, 2018 and 2019,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8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20" w:type="dxa"/>
            <w:vAlign w:val="bottom"/>
          </w:tcPr>
          <w:p>
            <w:pPr>
              <w:spacing w:after="0"/>
              <w:rPr>
                <w:sz w:val="15"/>
                <w:szCs w:val="15"/>
                <w:color w:val="auto"/>
              </w:rPr>
            </w:pPr>
          </w:p>
        </w:tc>
        <w:tc>
          <w:tcPr>
            <w:tcW w:w="188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$ 26,418</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$ 36,957</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$ 10,539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26 %</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29 %</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expenses for the three months ended September 30, 2019 increased by $10.5 million, or 40%, to $37.0 million from $26.4 million for the three months ended September 30, 2018. The increase in sales and marketing expense was primarily the result of $6.4 million additional employee-related costs from the expansion of our sales team (including management, sales engineers, sales force, sales administration and sales lead generation support) and $2.3 million of additional stock-based compensation associated with our equity incentive plan.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90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190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$ 11,400</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$ 14,394</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11 %</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11 %</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60" w:firstLine="648"/>
        <w:spacing w:after="0" w:line="281" w:lineRule="auto"/>
        <w:rPr>
          <w:sz w:val="20"/>
          <w:szCs w:val="20"/>
          <w:color w:val="auto"/>
        </w:rPr>
      </w:pPr>
      <w:r>
        <w:rPr>
          <w:rFonts w:ascii="Times New Roman" w:cs="Times New Roman" w:eastAsia="Times New Roman" w:hAnsi="Times New Roman"/>
          <w:sz w:val="17"/>
          <w:szCs w:val="17"/>
          <w:color w:val="auto"/>
        </w:rPr>
        <w:t>Research and development expenses for the three months ended September 30, 2019 increased by $3.0 million, or 26%, to $14.4 million from $11.4 million for the three months ended September 30, 2018. The increase in research and development expenses was primarily the result of $4.1 million of additional employee-related costs related to additional development personnel, partially offset by higher period-over-period capitalized internal-use software costs of $1.5 million.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90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190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$ 22,968</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$ 26,739</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23 %</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21 %</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September 30, 2019 increased by $3.8 million, or 16%, to $26.7 million from $23.0 million for the three months ended September 30, 2018. The increase in general and administrative expense was primarily the result of $1.4 million of additional employee-related costs, $1.0 million of increased occupancy costs incurred as a result of our requirement for additional office space, $1.0 million in nonrecurring costs including certain litigation costs, lease exit costs and certain other transaction costs, and $0.4 million in additional stock-based compensation associated with our equity incentive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82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8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80" w:type="dxa"/>
            <w:vAlign w:val="bottom"/>
          </w:tcPr>
          <w:p>
            <w:pPr>
              <w:spacing w:after="0"/>
              <w:rPr>
                <w:sz w:val="15"/>
                <w:szCs w:val="15"/>
                <w:color w:val="auto"/>
              </w:rPr>
            </w:pPr>
          </w:p>
        </w:tc>
        <w:tc>
          <w:tcPr>
            <w:tcW w:w="182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269</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474</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0 %</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0 %</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Other income for the three months ended September 30, 2019 increased by $0.2 million as compared to the three months ended September 30, 2018. The increase in other income was primarily due to interest income earned on our cash and cash equivalents and corporate investments.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Company’s effective tax rate was (143.6)% and (114.8)% for the three months ended September 30, 2018 and September 30, 2019, respectively. The Company’s effective tax rates for the three months ended September 30, 2018 and September 30, 2019 were lower than the federal statutory rate of 21% primarily due to excess tax benefits from employee stock-based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Trends and Seasonality</w:t>
      </w:r>
    </w:p>
    <w:p>
      <w:pPr>
        <w:spacing w:after="0" w:line="229" w:lineRule="exact"/>
        <w:rPr>
          <w:sz w:val="20"/>
          <w:szCs w:val="20"/>
          <w:color w:val="auto"/>
        </w:rPr>
      </w:pPr>
    </w:p>
    <w:p>
      <w:pPr>
        <w:jc w:val="both"/>
        <w:ind w:right="160" w:firstLine="648"/>
        <w:spacing w:after="0" w:line="282" w:lineRule="auto"/>
        <w:rPr>
          <w:sz w:val="20"/>
          <w:szCs w:val="20"/>
          <w:color w:val="auto"/>
        </w:rPr>
      </w:pPr>
      <w:r>
        <w:rPr>
          <w:rFonts w:ascii="Times New Roman" w:cs="Times New Roman" w:eastAsia="Times New Roman" w:hAnsi="Times New Roman"/>
          <w:sz w:val="18"/>
          <w:szCs w:val="18"/>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62"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The seasonal fluctuations in revenues also positively impact gross profits during our fiscal third quarter. Our historical results for our fiscal third quarter should not be considered a reliable indicator of our future results of operations.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60" w:firstLine="648"/>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experience and on various other assumptions that we believe are reasonable under the circumstances. Actual results might differ from these estimates under different assumptions or conditions and, to the extent that there are differences between our estimates and actual results, our future financial statement presentation, financial condition, results of operations and cash flows will be affected. Our critical accounting policies and use of estimates are disclosed in our audited consolidated financial statements for the year ended June 30, 2019 included in our Annual Report on Form 10-K filed with the SEC on August 9, 2019.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Our primary liquidity needs are related to the funding of general business requirements, including working capital requirements, research and development, and capital expenditures. The share repurchase program completed during the first quarter of fiscal 2019 was funded by our cash flows from operations. As of September 30, 2019, our principal sources of liquidity were $100.5 million of cash and cash equivalents and $30.6 million of total corporate investments. We invest portions of our excess cash and cash equivalents in highly liquid, investment-grade marketable securities. These investments consist of commercial paper, asset-backed debt securities, corporate debt issuances and U.S. Treasury securities with credit quality ratings of A-1 or higher. We believe that our investments in unrealized loss positions as of September 30, 2019 were not other-than-temporarily impaired, nor has any event occurred subsequent to that date that would change that conclusion.</w:t>
      </w:r>
    </w:p>
    <w:p>
      <w:pPr>
        <w:spacing w:after="0" w:line="18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order to grow our business, we intend to increase our personnel and related expenses and to make significant investments in our platform, data centers and general infrastructure. The timing and amount of these investments will vary based on the rate at which we can add new clients and new personnel and the scale of our module development, data centers and other activities.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and corporate investments or utilize our credit facility that we recently entered into in July 2019 to satisfy those needs. Refer to Note 7 of the Notes to the Unaudited Consolidated Financial Statements for additional detail on the credit agreement.</w:t>
      </w:r>
    </w:p>
    <w:p>
      <w:pPr>
        <w:spacing w:after="0" w:line="18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Funds held for clients and client fund obligations will vary substantially from period to period as a result of the timing of payroll and tax obligations due. Our payroll processing activities involve the movement of significant funds from accounts of employers to employees and relevant taxing authorities.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eleven banks to execute ACH and wire transfers to support our client payroll and tax services. We believe we have sufficient capacity under these ACH arrangements to handle transaction volumes for the foreseeable future.</w:t>
      </w:r>
    </w:p>
    <w:p>
      <w:pPr>
        <w:spacing w:after="0" w:line="18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believe our current cash and cash equivalents, corporate investments and cash flow from operations will be sufficient to meet our working capital, capital expenditure, share repurchases, if any, and other investment requirements for at least the next 12 months.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data regarding cash flows for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8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6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68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2018 </w:t>
            </w:r>
            <w:r>
              <w:rPr>
                <w:rFonts w:ascii="Times New Roman" w:cs="Times New Roman" w:eastAsia="Times New Roman" w:hAnsi="Times New Roman"/>
                <w:sz w:val="10"/>
                <w:szCs w:val="10"/>
                <w:b w:val="1"/>
                <w:bCs w:val="1"/>
                <w:color w:val="auto"/>
              </w:rPr>
              <w:t>(1)</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available-for-sale securities and other</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(75,807)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(63,621)</w:t>
            </w:r>
          </w:p>
        </w:tc>
      </w:tr>
      <w:tr>
        <w:trPr>
          <w:trHeight w:val="216"/>
        </w:trPr>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sales and maturities of available-for-sale securities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45,154</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(6,714)</w:t>
            </w:r>
          </w:p>
        </w:tc>
      </w:tr>
      <w:tr>
        <w:trPr>
          <w:trHeight w:val="216"/>
        </w:trPr>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(2,428)</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(8,033)</w:t>
            </w:r>
          </w:p>
        </w:tc>
      </w:tr>
      <w:tr>
        <w:trPr>
          <w:trHeight w:val="210"/>
        </w:trPr>
        <w:tc>
          <w:tcPr>
            <w:tcW w:w="68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 in client fund obligations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(57,458)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(239,942)</w:t>
            </w:r>
          </w:p>
        </w:tc>
      </w:tr>
      <w:tr>
        <w:trPr>
          <w:trHeight w:val="216"/>
        </w:trPr>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Repurchases of common shares</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(34,679)</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(17,880)</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(24,749)</w:t>
            </w:r>
          </w:p>
        </w:tc>
      </w:tr>
      <w:tr>
        <w:trPr>
          <w:trHeight w:val="216"/>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w:t>
            </w:r>
          </w:p>
        </w:tc>
      </w:tr>
      <w:tr>
        <w:trPr>
          <w:trHeight w:val="210"/>
        </w:trPr>
        <w:tc>
          <w:tcPr>
            <w:tcW w:w="68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(109,932)</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(265,360)</w:t>
            </w:r>
          </w:p>
        </w:tc>
        <w:tc>
          <w:tcPr>
            <w:tcW w:w="100" w:type="dxa"/>
            <w:vAlign w:val="bottom"/>
            <w:tcBorders>
              <w:bottom w:val="single" w:sz="8" w:color="CCEEFF"/>
            </w:tcBorders>
          </w:tcPr>
          <w:p>
            <w:pPr>
              <w:spacing w:after="0"/>
              <w:rPr>
                <w:sz w:val="18"/>
                <w:szCs w:val="18"/>
                <w:color w:val="auto"/>
              </w:rPr>
            </w:pPr>
          </w:p>
        </w:tc>
      </w:tr>
      <w:tr>
        <w:trPr>
          <w:trHeight w:val="210"/>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cash equivalents and funds held for clients'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(129,378)</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(290,309)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9"/>
        <w:spacing w:after="0" w:line="227" w:lineRule="auto"/>
        <w:tabs>
          <w:tab w:leader="none" w:pos="280"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Certain amounts have been reclassified to reflect the adoption of Accounting Standards Update (“ASU”) No. 2016-18, “Statement of Cash Flows (Topic 230): Restricted Cash (a consensus of the FASB Emerging Issues Task Force).” Refer to Note 2 of the audited consolidated financial statements included in the Annual Report on Form 10-K for the fiscal year ended June 30, 2019.</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$7.3 million and $8.3 million for the three months ended September 30, 2018 and 2019, respectively. The increase in net cash provided by operating activities from the three months ended September 30, 2018 to the three months ended September 30, 2019 was primarily due to improved operating results after adjusting for non-cash items including stock-based compensation expense, depreciation and amortization expense and deferred income tax expense (benefit), partially offset by changes in operating assets and liabilities, mostly driven by changes in deferred contract costs and accrued expenses and other during the three months ended September 30, 2019.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 was $26.8 million and $33.2 million for the three months ended</w:t>
      </w:r>
    </w:p>
    <w:p>
      <w:pPr>
        <w:spacing w:after="0" w:line="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September 30, 2018 and 2019, respectively. The net cash used in investing activities is significantly impacted by the timing of purchases and sales and maturities of investments as we invest portions of excess corporate cash and funds held for clients in highly liquid, investment-grade marketable securities. The amount of funds held for clients invested will vary based on timing of client funds collected and payments due to client employees and taxing and other regulatory authorities.</w:t>
      </w:r>
    </w:p>
    <w:p>
      <w:pPr>
        <w:spacing w:after="0" w:line="186"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change in net cash used in investing activities was primarily due to a decrease in proceeds from sales and maturities of available-for-sale securities of $11.3 million and increases in purchases of property and equipment of $5.6 million and capitalized internal-use software costs of $1.7 million, partially offset by fewer purchases of available-for-sale securities of $12.2 million during the three months ended September 30, 2019 as compared to the three months ended September 30, 2018.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 was $109.9 million and $265.4 million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2018 and 2019, respectively. The change in net cash used in financing activities was primarily the result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client fund obligations of $182.5 million due to the timing of client funds collected and related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remittance of those funds to client employees and taxing authorities and $6.9 million in increased taxes paid related to net share settlement of equity awards during the three months ended September 30, 2019 as compared to September 30, 2018, partially offset by $34.7 million of repurchases of common shares during the three months ended September 30,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Our principal commitments consist of operating lease obligations. The following table summarizes our contractual obligations at September 30, 2019: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Payment Due By Fiscal Period</w:t>
            </w:r>
          </w:p>
        </w:tc>
        <w:tc>
          <w:tcPr>
            <w:tcW w:w="7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80" w:type="dxa"/>
            <w:vAlign w:val="bottom"/>
          </w:tcPr>
          <w:p>
            <w:pPr>
              <w:spacing w:after="0"/>
              <w:rPr>
                <w:sz w:val="10"/>
                <w:szCs w:val="10"/>
                <w:color w:val="auto"/>
              </w:rPr>
            </w:pPr>
          </w:p>
        </w:tc>
        <w:tc>
          <w:tcPr>
            <w:tcW w:w="9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Less than 1</w:t>
            </w: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4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$ 104,214</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$ 10,748</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$ 19,038</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$ 17,423</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$ 57,005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Unconditional purchase obligations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9,610</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$ 113,824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$ 16,777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$ 22,619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$ 17,423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$ 57,005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$2.4 million and $8.0 million for the three months ended September 30, 2018 and 2019, respectively, exclusive of capitalized internal-use software costs of $5.0 million and $6.7 million for the same periods,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Refer to Note 2 of the Notes to the Unaudited Consolidated Financial Statements for a discussion of recently issued accounting standards.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9" w:lineRule="exact"/>
        <w:rPr>
          <w:sz w:val="20"/>
          <w:szCs w:val="20"/>
          <w:color w:val="auto"/>
        </w:rPr>
      </w:pPr>
    </w:p>
    <w:p>
      <w:pPr>
        <w:ind w:right="339" w:firstLine="648"/>
        <w:spacing w:after="0" w:line="261" w:lineRule="auto"/>
        <w:rPr>
          <w:sz w:val="20"/>
          <w:szCs w:val="20"/>
          <w:color w:val="auto"/>
        </w:rPr>
      </w:pPr>
      <w:r>
        <w:rPr>
          <w:rFonts w:ascii="Times New Roman" w:cs="Times New Roman" w:eastAsia="Times New Roman" w:hAnsi="Times New Roman"/>
          <w:sz w:val="18"/>
          <w:szCs w:val="18"/>
          <w:color w:val="auto"/>
        </w:rPr>
        <w:t>We have operations solely in the United States and are exposed to market risks in the ordinary course of our business. These risks primarily include interest rate and certain other exposures as well as risks relating to changes in the general economic conditions in the United States. We have not used, nor do we intend to use, derivatives to mitigate the impact of interest rate or other exposure or for trading or speculative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2019, we had cash and cash equivalents of $100.5 million, corporate investments of $30.6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and funds held for clients of $1,154.5 million. We deposit our cash and cash equivalents and significant portions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funds held for clients in demand deposit accounts with various financial institutions. We invest portions of our excess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and funds held for clients in marketable securities including commercial paper, corporate bonds,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asset-backed securities and U.S. treasury securities, which were classified as available-for-sale securities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Our investment policy is focused on generating higher yields from these investments while preserving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and capital. However, as a result of our investing activities, we are exposed to changes in interest rates that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materially affect our financial statements.</w:t>
      </w:r>
    </w:p>
    <w:p>
      <w:pPr>
        <w:spacing w:after="0" w:line="207" w:lineRule="exact"/>
        <w:rPr>
          <w:sz w:val="20"/>
          <w:szCs w:val="20"/>
          <w:color w:val="auto"/>
        </w:rPr>
      </w:pPr>
    </w:p>
    <w:p>
      <w:pPr>
        <w:ind w:right="19" w:firstLine="648"/>
        <w:spacing w:after="0" w:line="256" w:lineRule="auto"/>
        <w:rPr>
          <w:sz w:val="20"/>
          <w:szCs w:val="20"/>
          <w:color w:val="auto"/>
        </w:rPr>
      </w:pPr>
      <w:r>
        <w:rPr>
          <w:rFonts w:ascii="Times New Roman" w:cs="Times New Roman" w:eastAsia="Times New Roman" w:hAnsi="Times New Roman"/>
          <w:sz w:val="18"/>
          <w:szCs w:val="18"/>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to be other-than-temporary. We have not recorded any other-than-temporary impairment losses to date.</w:t>
      </w:r>
    </w:p>
    <w:p>
      <w:pPr>
        <w:spacing w:after="0" w:line="188" w:lineRule="exact"/>
        <w:rPr>
          <w:sz w:val="20"/>
          <w:szCs w:val="20"/>
          <w:color w:val="auto"/>
        </w:rPr>
      </w:pPr>
    </w:p>
    <w:p>
      <w:pPr>
        <w:ind w:right="39" w:firstLine="648"/>
        <w:spacing w:after="0" w:line="255" w:lineRule="auto"/>
        <w:rPr>
          <w:sz w:val="20"/>
          <w:szCs w:val="20"/>
          <w:color w:val="auto"/>
        </w:rPr>
      </w:pPr>
      <w:r>
        <w:rPr>
          <w:rFonts w:ascii="Times New Roman" w:cs="Times New Roman" w:eastAsia="Times New Roman" w:hAnsi="Times New Roman"/>
          <w:sz w:val="18"/>
          <w:szCs w:val="18"/>
          <w:color w:val="auto"/>
        </w:rPr>
        <w:t>Based upon a sensitivity model that measures market value changes caused by interest rate fluctuations, an immediate 25-basis point increase in interest rates would have resulted in a decrease in the market value of our available-for-sale securities included in funds held for clients by $0.1 million as of September 30, 2019. A 25-basis point decrease in interest rates would have resulted in a $0.1 million increase in the market value of our available-for-sale securities included in funds held for clients as of September 30, 2019. Fluctuations in the value of our available-for-sale securities caused by changes in interest rates are recorded in other comprehensive income and are only realized if we sell the underlying securities.</w:t>
      </w:r>
    </w:p>
    <w:p>
      <w:pPr>
        <w:spacing w:after="0" w:line="189" w:lineRule="exact"/>
        <w:rPr>
          <w:sz w:val="20"/>
          <w:szCs w:val="20"/>
          <w:color w:val="auto"/>
        </w:rPr>
      </w:pPr>
    </w:p>
    <w:p>
      <w:pPr>
        <w:ind w:right="59" w:firstLine="648"/>
        <w:spacing w:after="0" w:line="255" w:lineRule="auto"/>
        <w:rPr>
          <w:sz w:val="20"/>
          <w:szCs w:val="20"/>
          <w:color w:val="auto"/>
        </w:rPr>
      </w:pPr>
      <w:r>
        <w:rPr>
          <w:rFonts w:ascii="Times New Roman" w:cs="Times New Roman" w:eastAsia="Times New Roman" w:hAnsi="Times New Roman"/>
          <w:sz w:val="18"/>
          <w:szCs w:val="18"/>
          <w:color w:val="auto"/>
        </w:rPr>
        <w:t>Additionally, as described in Note 7 of the Notes to the Unaudited Consolidated Financial Statements, we entered into a credit agreement that provides for a revolving credit facility (“credit facility”) in the aggregate amount of $250.0 million, which may be increased up to $375.0 million. Borrowings under the credit facility will generally bear interest at a rate based upon the London Interbank Offered Rate (“LIBOR”) (or a replacement rate for LIBOR) or, at our sole option, an adjusted base rate plus an applicable margin based on our then-applicable net senior secured leverage ratio. As of September 30, 2019, we have not drawn any amounts under the credit facility. To the extent that we draw upon the borrowing capacity available through the credit facility, we may be exposed to increased interest rate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29" w:lineRule="exact"/>
        <w:rPr>
          <w:sz w:val="20"/>
          <w:szCs w:val="20"/>
          <w:color w:val="auto"/>
        </w:rPr>
      </w:pPr>
    </w:p>
    <w:p>
      <w:pPr>
        <w:ind w:right="39" w:firstLine="648"/>
        <w:spacing w:after="0" w:line="261"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3" w:right="1440"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89"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September 30, 2019,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Effective July 1, 2019, we adopted Accounting Standard Codification Topic 842, Leases. Changes were made to the relevant business processes and the related control activities in order to monitor and maintain appropriate controls over financial reporting. There were no other changes in our internal control over financial reporting during the three-month period covered by this Quarterly Report on Form 10-Q that have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6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Our business, prospects, financial condition or operating results could be materially adversely affected by any of these risks, as well as other risks not currently known to us or that are currently considered immaterial. The trading price of our common stock could decline due to any of the risks and uncertainties described below, and you may lose all or part of your investment. In assessing these risks, you should also refer to the other information contained in this Quarterly Report on Form 10-Q, including our consolidated financial statements and related notes.</w:t>
      </w:r>
    </w:p>
    <w:p>
      <w:pPr>
        <w:spacing w:after="0" w:line="17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have fluctuated in the past and may continue to fluctuate, which may cause the value of our common stock to decline substantially.</w:t>
      </w:r>
    </w:p>
    <w:p>
      <w:pPr>
        <w:spacing w:after="0" w:line="15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Our quarterly operating results may fluctuate due to a variety of factors, many of which are outside of our control. As a result, comparing our operating results on a period-to-period basis may not be meaningful. Moreover, our stock price might be based on expectations of future performance that are unrealistic or that we might not meet and, if our revenue or operating results fall below such expectations, the price of our common stock could decline substantially.</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number of new clients typically increases more during our third fiscal quarter ending March 31 than during the rest of our fiscal year, primarily because many new clients prefer to start using our payroll and human capital management, or HCM, solutions at the beginning of a calendar year. In addition, client funds and year-end activities are traditionally higher during our third fiscal quarter. As a result of these factors, our total revenue and expenses have historically grown disproportionately during our third fiscal quarter as compared to other quarters.</w:t>
      </w:r>
    </w:p>
    <w:p>
      <w:pPr>
        <w:spacing w:after="0" w:line="184"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 addition to other risk factors listed in this section, some of the important factors that may cause fluctuations in our quarterly operating results include:</w:t>
      </w:r>
    </w:p>
    <w:p>
      <w:pPr>
        <w:spacing w:after="0" w:line="162" w:lineRule="exact"/>
        <w:rPr>
          <w:sz w:val="20"/>
          <w:szCs w:val="20"/>
          <w:color w:val="auto"/>
        </w:rPr>
      </w:pPr>
    </w:p>
    <w:p>
      <w:pPr>
        <w:ind w:left="1340" w:hanging="331"/>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products achieve or maintain market acceptance;</w:t>
      </w:r>
    </w:p>
    <w:p>
      <w:pPr>
        <w:spacing w:after="0" w:line="225" w:lineRule="exact"/>
        <w:rPr>
          <w:rFonts w:ascii="Times New Roman" w:cs="Times New Roman" w:eastAsia="Times New Roman" w:hAnsi="Times New Roman"/>
          <w:sz w:val="18"/>
          <w:szCs w:val="18"/>
          <w:color w:val="auto"/>
        </w:rPr>
      </w:pPr>
    </w:p>
    <w:p>
      <w:pPr>
        <w:ind w:left="1340" w:right="140" w:hanging="331"/>
        <w:spacing w:after="0" w:line="282" w:lineRule="auto"/>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and enhancements and updates to our existing products on a timely basis;</w:t>
      </w:r>
    </w:p>
    <w:p>
      <w:pPr>
        <w:spacing w:after="0" w:line="161" w:lineRule="exact"/>
        <w:rPr>
          <w:rFonts w:ascii="Times New Roman" w:cs="Times New Roman" w:eastAsia="Times New Roman" w:hAnsi="Times New Roman"/>
          <w:sz w:val="18"/>
          <w:szCs w:val="18"/>
          <w:color w:val="auto"/>
        </w:rPr>
      </w:pPr>
    </w:p>
    <w:p>
      <w:pPr>
        <w:ind w:left="1340" w:hanging="331"/>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and the introduction of enhanced products and services from competitors;</w:t>
      </w:r>
    </w:p>
    <w:p>
      <w:pPr>
        <w:spacing w:after="0" w:line="225" w:lineRule="exact"/>
        <w:rPr>
          <w:rFonts w:ascii="Times New Roman" w:cs="Times New Roman" w:eastAsia="Times New Roman" w:hAnsi="Times New Roman"/>
          <w:sz w:val="18"/>
          <w:szCs w:val="18"/>
          <w:color w:val="auto"/>
        </w:rPr>
      </w:pPr>
    </w:p>
    <w:p>
      <w:pPr>
        <w:ind w:left="1340" w:hanging="331"/>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 budgets and procurement policies;</w:t>
      </w:r>
    </w:p>
    <w:p>
      <w:pPr>
        <w:spacing w:after="0" w:line="225" w:lineRule="exact"/>
        <w:rPr>
          <w:rFonts w:ascii="Times New Roman" w:cs="Times New Roman" w:eastAsia="Times New Roman" w:hAnsi="Times New Roman"/>
          <w:sz w:val="18"/>
          <w:szCs w:val="18"/>
          <w:color w:val="auto"/>
        </w:rPr>
      </w:pPr>
    </w:p>
    <w:p>
      <w:pPr>
        <w:ind w:left="1340" w:right="620" w:hanging="331"/>
        <w:spacing w:after="0" w:line="282" w:lineRule="auto"/>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investment in research and development activities and whether such investments are capitalized or expensed as incurred;</w:t>
      </w:r>
    </w:p>
    <w:p>
      <w:pPr>
        <w:spacing w:after="0" w:line="161" w:lineRule="exact"/>
        <w:rPr>
          <w:rFonts w:ascii="Times New Roman" w:cs="Times New Roman" w:eastAsia="Times New Roman" w:hAnsi="Times New Roman"/>
          <w:sz w:val="18"/>
          <w:szCs w:val="18"/>
          <w:color w:val="auto"/>
        </w:rPr>
      </w:pPr>
    </w:p>
    <w:p>
      <w:pPr>
        <w:ind w:left="1340" w:hanging="331"/>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our clients’ employees;</w:t>
      </w:r>
    </w:p>
    <w:p>
      <w:pPr>
        <w:spacing w:after="0" w:line="225" w:lineRule="exact"/>
        <w:rPr>
          <w:rFonts w:ascii="Times New Roman" w:cs="Times New Roman" w:eastAsia="Times New Roman" w:hAnsi="Times New Roman"/>
          <w:sz w:val="18"/>
          <w:szCs w:val="18"/>
          <w:color w:val="auto"/>
        </w:rPr>
      </w:pPr>
    </w:p>
    <w:p>
      <w:pPr>
        <w:ind w:left="1340" w:hanging="331"/>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recognition of revenues and expenses;</w:t>
      </w:r>
    </w:p>
    <w:p>
      <w:pPr>
        <w:spacing w:after="0" w:line="225" w:lineRule="exact"/>
        <w:rPr>
          <w:rFonts w:ascii="Times New Roman" w:cs="Times New Roman" w:eastAsia="Times New Roman" w:hAnsi="Times New Roman"/>
          <w:sz w:val="18"/>
          <w:szCs w:val="18"/>
          <w:color w:val="auto"/>
        </w:rPr>
      </w:pPr>
    </w:p>
    <w:p>
      <w:pPr>
        <w:ind w:left="1340" w:hanging="331"/>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renewal rates;</w:t>
      </w:r>
    </w:p>
    <w:p>
      <w:pPr>
        <w:spacing w:after="0" w:line="225" w:lineRule="exact"/>
        <w:rPr>
          <w:rFonts w:ascii="Times New Roman" w:cs="Times New Roman" w:eastAsia="Times New Roman" w:hAnsi="Times New Roman"/>
          <w:sz w:val="18"/>
          <w:szCs w:val="18"/>
          <w:color w:val="auto"/>
        </w:rPr>
      </w:pPr>
    </w:p>
    <w:p>
      <w:pPr>
        <w:ind w:left="1340" w:hanging="331"/>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in our business;</w:t>
      </w:r>
    </w:p>
    <w:p>
      <w:pPr>
        <w:spacing w:after="0" w:line="225" w:lineRule="exact"/>
        <w:rPr>
          <w:rFonts w:ascii="Times New Roman" w:cs="Times New Roman" w:eastAsia="Times New Roman" w:hAnsi="Times New Roman"/>
          <w:sz w:val="18"/>
          <w:szCs w:val="18"/>
          <w:color w:val="auto"/>
        </w:rPr>
      </w:pPr>
    </w:p>
    <w:p>
      <w:pPr>
        <w:ind w:left="1340" w:hanging="331"/>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difficulties with our products or interruptions in our services;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340" w:hanging="331"/>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qualified personnel;</w:t>
      </w:r>
    </w:p>
    <w:p>
      <w:pPr>
        <w:spacing w:after="0" w:line="225" w:lineRule="exact"/>
        <w:rPr>
          <w:rFonts w:ascii="Times New Roman" w:cs="Times New Roman" w:eastAsia="Times New Roman" w:hAnsi="Times New Roman"/>
          <w:sz w:val="18"/>
          <w:szCs w:val="18"/>
          <w:color w:val="auto"/>
        </w:rPr>
      </w:pPr>
    </w:p>
    <w:p>
      <w:pPr>
        <w:ind w:left="1340" w:hanging="331"/>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repeal of or changes to the laws and regulations related to the products and services which we offer;</w:t>
      </w:r>
    </w:p>
    <w:p>
      <w:pPr>
        <w:spacing w:after="0" w:line="225" w:lineRule="exact"/>
        <w:rPr>
          <w:rFonts w:ascii="Times New Roman" w:cs="Times New Roman" w:eastAsia="Times New Roman" w:hAnsi="Times New Roman"/>
          <w:sz w:val="18"/>
          <w:szCs w:val="18"/>
          <w:color w:val="auto"/>
        </w:rPr>
      </w:pPr>
    </w:p>
    <w:p>
      <w:pPr>
        <w:ind w:left="1340" w:hanging="331"/>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225" w:lineRule="exact"/>
        <w:rPr>
          <w:rFonts w:ascii="Times New Roman" w:cs="Times New Roman" w:eastAsia="Times New Roman" w:hAnsi="Times New Roman"/>
          <w:sz w:val="18"/>
          <w:szCs w:val="18"/>
          <w:color w:val="auto"/>
        </w:rPr>
      </w:pPr>
    </w:p>
    <w:p>
      <w:pPr>
        <w:ind w:left="1340" w:hanging="331"/>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legal expenses, including litigation and settlement costs.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majority of our agreements with clients do not have a specified term and are generally cancellable by our clients upon 60 days’ or less notice. In fiscal 2018, the Company also began entering into term agreements, which are generally two years in length. If a significant number of clients elected to terminate their agreements with us, our operating results and our business would be adversely affected.</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a significant portion of our operating expenses are related to compensation and other items which are relatively fixed in the short-term, and we plan expenditures based in part on our expectations regarding future needs and opportunities. Accordingly, changes in our business or revenue shortfalls could decrease our gross and operating margins and could cause significant changes in our operating results from period to period. If this occurs, the trading price of our common stock could fall substantially, either suddenly or over time.</w:t>
      </w:r>
    </w:p>
    <w:p>
      <w:pPr>
        <w:spacing w:after="0" w:line="18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operating results for previous fiscal quarters are not necessarily indicative of our operating results for the full fiscal years or for any future periods. We believe that, due to the underlying factors for quarterly fluctuations, quarter-to-quarter comparisons of our operations are not necessarily meaningful and that such comparisons should not be relied upon as indications of future performance.</w:t>
      </w:r>
    </w:p>
    <w:p>
      <w:pPr>
        <w:spacing w:after="0" w:line="17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manage our growth effectively could increase our expenses, decrease our revenue, and prevent us from implementing our business strategy and sustaining our revenue growth rates.</w:t>
      </w:r>
    </w:p>
    <w:p>
      <w:pPr>
        <w:spacing w:after="0" w:line="15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have been rapidly growing our revenue and number of clients, and we will seek to do the same for the foreseeable future. However, the growth in our number of clients puts significant strain on our business, requires significant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If we fail to effectively manage our growth or we over-invest or under-invest in our business, our business and results of operations could suffer from the resultant weaknesses in our infrastructure, systems or controls. We could also suffer operational mistakes, a loss of business opportunities and employee losses. If our management is unable to effectively manage our growth, our expenses might increase more than expected, our revenue could decline or might grow more slowly than expected, and we might be unable to implement our business strategy. In addition, our revenue growth rates may decline in future periods as a result of various factors, including our failure to manage our growth effectively, our increased market penetration and the maturation of our business, slowing demand for our services, and a decrease in the growth of the overall market, among others.</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highly competitive, and if we do not compete effectively, our operating results could be adversely affected.</w:t>
      </w:r>
    </w:p>
    <w:p>
      <w:pPr>
        <w:spacing w:after="0" w:line="159" w:lineRule="exact"/>
        <w:rPr>
          <w:sz w:val="20"/>
          <w:szCs w:val="20"/>
          <w:color w:val="auto"/>
        </w:rPr>
      </w:pPr>
    </w:p>
    <w:p>
      <w:pPr>
        <w:ind w:right="40" w:firstLine="259"/>
        <w:spacing w:after="0" w:line="261" w:lineRule="auto"/>
        <w:rPr>
          <w:sz w:val="20"/>
          <w:szCs w:val="20"/>
          <w:color w:val="auto"/>
        </w:rPr>
      </w:pPr>
      <w:r>
        <w:rPr>
          <w:rFonts w:ascii="Times New Roman" w:cs="Times New Roman" w:eastAsia="Times New Roman" w:hAnsi="Times New Roman"/>
          <w:sz w:val="18"/>
          <w:szCs w:val="18"/>
          <w:color w:val="auto"/>
        </w:rPr>
        <w:t>The market for payroll and HCM solutions is fragmented, highly competitive and rapidly changing. Our competitors vary for each of our solutions and primarily include payroll and HR service and software providers, such as Automatic Data Processing, Inc., Paychex, Inc., Paycom Software, Inc., Paycor, Inc., Ultimate Software Group, Inc. and other local and regional providers.</w:t>
      </w:r>
    </w:p>
    <w:p>
      <w:pPr>
        <w:spacing w:after="0" w:line="180"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Several of our competitors are larger, have greater name recognition, longer operating histories and significantly greater resources than we do. Many of these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As a result, our competitors may be able to develop products and services better received by our markets or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may be able to respond more quickly and effectively than we can to new or changing opportunities, technologies, regulations or client requirements.</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 marketing expertise, greater financial resources, and larger sales forces than we have, which could put us at a competitive disadvantage. In light of these advantages, current or potential clients might accept competitive offerings in lieu of purchasing our offerings. We expect intense competition to continue for these reasons, and such competition could negatively impact our sales, profitability or market share.</w:t>
      </w:r>
    </w:p>
    <w:p>
      <w:pPr>
        <w:spacing w:after="0" w:line="18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15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market for our solutions is characterized by rapid technological advancements,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could undermine our current market position.</w:t>
      </w:r>
    </w:p>
    <w:p>
      <w:pPr>
        <w:spacing w:after="0" w:line="180"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in substantial part on our continuing ability to provide products and services that medium-sized organizations will find superior to our competitors’ offerings and will continue to use. We intend to continue to invest significant resources in research and development in order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sales may suffer.</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may experience difficulties with software development, industry standards, design, or marketing that could delay or prevent our development, introduction or implementation of new solutions and enhancements. The introduction of new solutions by competitors, the emergence of new industry standards or the development of entirely new technologies to replace existing offerings could render our existing or future solutions obsolete.</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may not have sufficient resources to make the necessary investments in software development and we may experience difficulties that could delay or prevent the successful development, introduction or marketing of new products or enhancements. In addition, our products or enhancements may not meet the increasingly complex client requirements of the marketplace or achieve market acceptance at the rate we expect, or at all. Any failure by us to anticipate or respond adequately to technological advancements, client requirements and changing industry standards, or any significant delays in the development, introduction or availability of new products or enhancements, could undermine our current market position.</w:t>
      </w:r>
    </w:p>
    <w:p>
      <w:pPr>
        <w:spacing w:after="0" w:line="184"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release periodic updates on a timely basis to reflect changes in tax, benefit and other laws and regulations that our products help our clients address, the market acceptance of our products may be adversely affected and our revenues could decline.</w:t>
      </w:r>
    </w:p>
    <w:p>
      <w:pPr>
        <w:spacing w:after="0" w:line="17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solutions are affected by changes in tax, benefit and other laws and regulations and generally must be updated regularly to maintain their accuracy and competitiveness. Although we believe our SaaS platform provides us with flexibility to release updates in response to these changes, we cannot be certain that we will be able to make the necessary changes to our solutions and release updates on a timely basis, or at all. Failure to do so could have an adverse effect on the functionality and market acceptance of our solutions. Changes in tax, benefit and other laws and regulations could require us to make significant modifications to our products or delay or cease sales of certain products, which could result in reduced revenues or revenue growth and our incurring substantial expenses and write-offs.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technical operations infrastructure, including operation of our data centers, our existing clients may experience service outages and our new clients may experience delays in the deployment of our modules.</w:t>
      </w:r>
    </w:p>
    <w:p>
      <w:pPr>
        <w:spacing w:after="0" w:line="15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have experienced significant growth in the number of users, transactions and data that our operations infrastructure supports. We seek to maintain sufficient excess capacity in our data centers and other operations infrastructure to meet the needs of all of our clients. We also seek to maintain excess capacity to facilitate the rapid provision of new client deployments and the expansion of existing client deployments. In addition, we need to properly manage our technological operations infrastructure in order to support version control, changes in hardware and software parameters and the evolution of our modules. However, the provision of new hosting infrastructure requires significant lead time. We have experienced, and may in the future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identify the cause or causes of these performance problems within an acceptable period of time. If we do not accurately predict our infrastructure requirements, our existing clients may experience service outages that may subject us to financial penalties, financial liabilities and client losses. If our operations infrastructure fails to keep pace with increased sales, clients may experience delays as we seek to obtain additional capacity, which could adversely affect our reputation and our revenues.</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our ability to deliver our cloud-based modules depends on the development and maintenance of Internet infrastructure by third parties. This includes maintenance of a reliable network backbone with the necessary speed, data capacity, bandwidth capacity, and security. Our services are designed to operate without interruption. However, we have experienced and expect that we will experience future interruptions and delays in services and availability from time to time. In the event of a catastrophic event with respect to one or more of our systems, we may experience an extended period of system unavailability, which could negatively impact our relationship with clients. To operate without interruption, both we and our clients must guard against:</w:t>
      </w:r>
    </w:p>
    <w:p>
      <w:pPr>
        <w:spacing w:after="0" w:line="189" w:lineRule="exact"/>
        <w:rPr>
          <w:sz w:val="20"/>
          <w:szCs w:val="20"/>
          <w:color w:val="auto"/>
        </w:rPr>
      </w:pPr>
    </w:p>
    <w:p>
      <w:pPr>
        <w:ind w:left="1340" w:hanging="331"/>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from fire, power loss, natural disasters and other force majeure events outside our control;</w:t>
      </w:r>
    </w:p>
    <w:p>
      <w:pPr>
        <w:spacing w:after="0" w:line="225" w:lineRule="exact"/>
        <w:rPr>
          <w:rFonts w:ascii="Times New Roman" w:cs="Times New Roman" w:eastAsia="Times New Roman" w:hAnsi="Times New Roman"/>
          <w:sz w:val="18"/>
          <w:szCs w:val="18"/>
          <w:color w:val="auto"/>
        </w:rPr>
      </w:pPr>
    </w:p>
    <w:p>
      <w:pPr>
        <w:ind w:left="1340" w:hanging="331"/>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failures;</w:t>
      </w:r>
    </w:p>
    <w:p>
      <w:pPr>
        <w:spacing w:after="0" w:line="225" w:lineRule="exact"/>
        <w:rPr>
          <w:rFonts w:ascii="Times New Roman" w:cs="Times New Roman" w:eastAsia="Times New Roman" w:hAnsi="Times New Roman"/>
          <w:sz w:val="18"/>
          <w:szCs w:val="18"/>
          <w:color w:val="auto"/>
        </w:rPr>
      </w:pPr>
    </w:p>
    <w:p>
      <w:pPr>
        <w:ind w:left="1340" w:hanging="331"/>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and hardware errors, failures and crashes;</w:t>
      </w:r>
    </w:p>
    <w:p>
      <w:pPr>
        <w:spacing w:after="0" w:line="225" w:lineRule="exact"/>
        <w:rPr>
          <w:rFonts w:ascii="Times New Roman" w:cs="Times New Roman" w:eastAsia="Times New Roman" w:hAnsi="Times New Roman"/>
          <w:sz w:val="18"/>
          <w:szCs w:val="18"/>
          <w:color w:val="auto"/>
        </w:rPr>
      </w:pPr>
    </w:p>
    <w:p>
      <w:pPr>
        <w:ind w:left="1340" w:right="40" w:hanging="331"/>
        <w:spacing w:after="0" w:line="282" w:lineRule="auto"/>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computer viruses, hacking, worms, malware, ransomware, denial-of-service attacks and similar disruptive problems; and</w:t>
      </w:r>
    </w:p>
    <w:p>
      <w:pPr>
        <w:spacing w:after="0" w:line="161" w:lineRule="exact"/>
        <w:rPr>
          <w:rFonts w:ascii="Times New Roman" w:cs="Times New Roman" w:eastAsia="Times New Roman" w:hAnsi="Times New Roman"/>
          <w:sz w:val="18"/>
          <w:szCs w:val="18"/>
          <w:color w:val="auto"/>
        </w:rPr>
      </w:pPr>
    </w:p>
    <w:p>
      <w:pPr>
        <w:ind w:left="1340" w:hanging="331"/>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 interruptions.</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also rely on computer hardware purchased or leased and software licensed from third parties in order to offer our services. These licenses and hardware are generally commercially available on varying terms. However, it is possible that this hardware and software might not continue to be available on commercially reasonable terms, or at all. Any loss of the right to use any of this hardware or software could result in delays in the provisioning of our services until equivalent technology is either developed by us, or, if available, is identified, obtained and integrated.</w:t>
      </w:r>
    </w:p>
    <w:p>
      <w:pPr>
        <w:spacing w:after="0" w:line="184"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Furthermore, our payroll module is essential to our clients’ timely payment of wages to their employees. Any interruption in our service may affect the availability, accuracy or timeliness of these programs and could damage our reputation, cause our clients to terminate their use of our software, require us to indemnify our clients against certain losses due to our own errors and prevent us from gaining additional business from current or future clients.</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host our solutions at a third-party facility in Franklin Park, Illinois and utilize another third-party facility in Kenosha, Wisconsin for backup and disaster recovery. We also may decide to employ additional offsite data centers in the future to accommodate growth. Problems faced by our data center locations, with the telecommunications network providers with whom we or they contract, or with the systems by which our telecommunications providers allocate capacity among their clients, including us, could adversely affect the availability and processing of our solutions and related services and the experience of our clients. If our data centers are unable to keep up with our growing needs for capacity, this could have an adverse effect on our business and cause us to incur additional expense. In addition, any financial difficulties faced by our third-party data center’s operator or any of the service providers with whom we or they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contract may have negative effects on our business, the nature and extent of which are difficult to predict. Any changes in service levels at our third-party data center or any errors, defects, disruptions or other performance problems with our modules could adversely affect our reputation and may damage our clients’ stored files or result in lengthy interruptions in our services. Interruptions in our services might reduce our revenues, subject us to potential liability or other expenses or adversely affect our renewal rates.</w:t>
      </w:r>
    </w:p>
    <w:p>
      <w:pPr>
        <w:spacing w:after="0" w:line="18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addition, while we own, control and have access to our servers and all of the components of our network that are located in our backup data centers, we do not control the operation of these facilities. The operators of our third party data center facilities have no obligation to renew their agreements with us on commercially reasonable terms, or at all. If we are unable to renew these agreements on commercially reasonable terms, or if the data center operators are acquired, we may be required to transfer our servers and other infrastructure to new data center facilities, and we may incur costs and experience service interruption in doing so.</w:t>
      </w:r>
    </w:p>
    <w:p>
      <w:pPr>
        <w:spacing w:after="0" w:line="18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are breached or unauthorized access to client data or funds is otherwise obtained, our solutions may be perceived as not being secure, clients may reduce the use of or stop using our solutions and we may incur significant liabilities.</w:t>
      </w:r>
    </w:p>
    <w:p>
      <w:pPr>
        <w:spacing w:after="0" w:line="17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Our solutions involve the storage and transmission of our clients’ and their employees’ proprietary and confidential information. This information includes bank account numbers, tax return information, social security numbers, benefit information, retirement account information, payroll information, system passwords, and in the case of our benefit administration solution, BeneFLEX, health information protected by the Health Insurance Portability and Accountability Act of 1996, as amended, or HIPAA. In addition, we collect and maintain personal information on our own employees in the ordinary course of our business. Finally, our business involves the storage and transmission of funds from the accounts of our clients to their employees, taxing and regulatory authorities and others. As a result, unauthorized access or security breaches of our systems or the systems of our clients could result in the unauthorized disclosure of confidential information, theft, litigation, indemnity obligations and other significant liabilities. Because the techniques used to obtain unauthorized access or sabotage systems change frequently and generally are not identified until they are employed, we may be unable to anticipate these techniques or to implement adequate preventative measures in advance. As cyber threats continue to evolve, we are focused on ensuring that our operating environments safeguard and protect personal and business information. We may be required to invest significant additional resources to comply with evolving cybersecurity regulations and to modify and enhance our information security and controls, and to investigate and remediate any security vulnerabilities. While we have security measures and controls in place to protect confidential information, prevent data loss, theft and other security breaches, including penetration tests of our systems by independent third parties, if our security measures are breached, our business could be substantially harmed and we could incur significant liabilities. The costs of investigating, mitigating, and reporting such a breach to affected individuals (if required) can be substantial. In addition, if a high-profile security breach occurs with respect to an industry peer, our clients and potential clients may generally lose trust in the security of payroll and HCM modules. Any such breach or unauthorized access could negatively affect our ability to attract new clients, cause existing clients to terminate their agreements with us, result in reputational damage and subject us to lawsuits, regulatory fines (including, in the case of our benefit administration solution, BeneFLEX, penalties for failure to comply with HIPAA) or other actions or liabilities which could materially and adversely affect our business and operating results.</w:t>
      </w:r>
    </w:p>
    <w:p>
      <w:pPr>
        <w:spacing w:after="0" w:line="20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There can be no assurance that the limitations of liability in our contracts would be enforceable or adequate or would otherwise protect us from any such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18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of the way we recognize our revenue and our expenses over varying periods, changes in our business may not be immediately reflected in our financial statements.</w:t>
      </w:r>
    </w:p>
    <w:p>
      <w:pPr>
        <w:spacing w:after="0" w:line="15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We recognize the majority of our revenue as services are performed. The amount of revenue we recognize in any particular period is derived in significant part based on the number of employees of our clients served by our</w:t>
      </w: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solutions. As a result, our revenue is dependent in part on the success of our clients. The effect on our revenue of significant changes in sales of our solutions or in our clients’ businesses may not be fully reflected in our results of operations until future periods.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recognize our expenses over varying periods based on the nature of the expense. When a client terminates its relationship with us, we may not have derived enough revenue from that client to cover associated implementation costs. Our expenses fluctuate as a percentage of revenue, and changes in our business generally may not be immediately reflected in our results of operations.</w:t>
      </w:r>
    </w:p>
    <w:p>
      <w:pPr>
        <w:spacing w:after="0" w:line="1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expand our direct sales force with qualified and productive persons, we may not be able to grow our business effectively.</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primarily sell our products and implementation services through our direct sales force. To grow our business, we intend to focus on growing our client base for the foreseeable future. Our ability to add clients and to achieve revenue growth in the future will depend upon our ability to grow and develop our direct sales force and on their ability to productively sell our solutions. Identifying and recruiting qualified personnel and training them in the use of our software requires significant time, expense and attention. The amount of time it takes for our sales representatives to be fully-trained and to become productive varies widely. In addition, if we hire sales representatives from competitors or other companies, their former employers may attempt to assert that these employees have breached their legal obligations, resulting in a diversion of our time and resources.</w:t>
      </w:r>
    </w:p>
    <w:p>
      <w:pPr>
        <w:spacing w:after="0" w:line="18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If our sales organization does not perform as expected, our revenues and revenue growth could suffer. In addition, if we are unable to hire, develop and retain talented sales personnel, if our sales force becomes less efficient as it grows or if new sales representatives are unable to achieve desired productivity levels in a reasonable period of time, we may not be able to grow our client base and revenues and our sales and marketing expenses may increase.</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referral network participants reduce their referrals to us, we may not be able to grow our client base or revenues in the future.</w:t>
      </w:r>
    </w:p>
    <w:p>
      <w:pPr>
        <w:spacing w:after="0" w:line="15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Referrals from third-party service providers, including 401(k) advisors, benefits administrators, insurance brokers, third-party administrators and HR consultants, represent a significant source of potential clients for our products and implementation services. For example, we estimate that more than 25% of our new sales in fiscal 2019 were referred to us from our referral network participants. In most cases, our relationships with referral network participants are informal, although in some cases, we have formalized relationships where we are a recommended vendor for their clients.</w:t>
      </w:r>
    </w:p>
    <w:p>
      <w:pPr>
        <w:spacing w:after="0" w:line="18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Participants in our referral network are generally under no contractual obligation to continue to refer business to us, and we do not intend to seek contractual relationships with these participants. In addition, these participants are generally not compensated for referring potential clients to us, and may choose to instead refer potential clients to our competitors. Our ability to achieve revenue growth in the future will depend, in part, upon continued referrals from our network.</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be successful in maintaining, expanding or developing our referral network. If our relationships with participants in our referral network were to deteriorate or if any of our competitors enter into strategic relationships with our referral network participants, sales leads from these participants could be reduced or cease entirely. If we are not successful, we may lose sales opportunities and our revenues and profitability could suffer.</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for cloud-based payroll and HCM solutions among medium-sized organizations develops more slowly than we expect or declines, our business could be adversely affected.</w:t>
      </w:r>
    </w:p>
    <w:p>
      <w:pPr>
        <w:spacing w:after="0" w:line="159" w:lineRule="exact"/>
        <w:rPr>
          <w:sz w:val="20"/>
          <w:szCs w:val="20"/>
          <w:color w:val="auto"/>
        </w:rPr>
      </w:pPr>
    </w:p>
    <w:p>
      <w:pPr>
        <w:ind w:right="220" w:firstLine="648"/>
        <w:spacing w:after="0" w:line="254" w:lineRule="auto"/>
        <w:rPr>
          <w:sz w:val="20"/>
          <w:szCs w:val="20"/>
          <w:color w:val="auto"/>
        </w:rPr>
      </w:pPr>
      <w:r>
        <w:rPr>
          <w:rFonts w:ascii="Times New Roman" w:cs="Times New Roman" w:eastAsia="Times New Roman" w:hAnsi="Times New Roman"/>
          <w:sz w:val="18"/>
          <w:szCs w:val="18"/>
          <w:color w:val="auto"/>
        </w:rPr>
        <w:t>We believe that the market for cloud-based payroll and HCM solutions is not as mature among medium-sized organizations as the market for outsourced services or on-premise software and services. It is not certain that cloud-based solutions will achieve and sustain high levels of client demand and market acceptance. Our success will depend to a substantial extent on the widespread adoption by medium-sized organizations of cloud-based computing in general, and of payroll and other HCM modules in particular. It is difficult to predict client adoption rates and demand for our</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solutions, the future growth rate and size of the cloud-based market or the entry of competitive solutions. The expansion of the cloud-based market depends on a number of factors, including the cost, performance, and perceived value associated with cloud-based computing, as well as the ability of cloud-based solutions to address security and privacy concerns. If other cloud-based providers experience security incidents, loss of client data, disruptions in delivery or other problems, the market for cloud-based applications as a whole, including our solutions, may be negatively affected. If cloud-based payroll and HCM solutions do not achieve widespread adoption among medium-sized organizations, or there is a reduction in demand for cloud-based computing caused by a lack of client acceptance, technological challenges, weakening economic conditions, security or privacy concerns, competing technologies and products, decreases in corporate spending or otherwise, it could result in a loss of clients, decreased revenues and an adverse impact on our business.</w:t>
      </w:r>
    </w:p>
    <w:p>
      <w:pPr>
        <w:spacing w:after="0" w:line="185"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typically pay client employees and may pay taxing authorities amounts due for a payroll period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18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payroll processing business involves the movement of significant funds from the account of a client to employees and relevant taxing authorities. For example, in fiscal 2019 we processed over $134 billion in payroll transactions. Though we debit a client’s account prior to any disbursement on its behalf, due to Automated Clearing House, or ACH, banking regulations, funds previously credited could be reversed under certain circumstances and timeframes after our payment of amounts due to employees and taxing and other regulatory authorities. There is therefore a risk that the employer’s funds will 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substantial amounts of funds to cover such obligations. In such an event, we may be required to seek additional sources of short-term liquidity, which may not be available on reasonable terms, if at all, and our operating results and our liquidity could be adversely affected and our banking relationships could be harmed.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changes in economic or political conditions could adversely affect our operating results and our business.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recurring revenues are based in part on the number of our clients’ employees. As a result, we are subject to risks arising from adverse changes in economic and political conditions. The state of the economy and the rate of employment, which deteriorated in the recent broad recession, may deteriorate again in the future. If the current economic climate begins to decline, many clients may reduce their number of employees and delay or reduce technology purchases. This could also result in reductions in our revenues and sales of our products, longer sales cycles, increased price competition and clients’ purchasing fewer solutions than they have in the past. Any of these events would likely harm our business, results of operations, financial condition and cash flows from operations.</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Trade, monetary and fiscal policies, and political and economic conditions may substantially change, and credit markets may experience periods of constriction and volatility. When there is a slowdown in the economy, employment levels and interest rates may decrease with a corresponding impact on our businesses. Clients may react to worsening conditions by reducing their spending on payroll and other HCM solutions or renegotiating their contracts with us. We have agreements with various large banks to execute ACH and wire transfers as part of our client payroll and tax services. While we have contingency plans in place for bank failures, a failure of one of our banking partners or a systemic shutdown of the banking industry could result in the loss of client funds or impede us from accessing and processing funds on our clients’ behalf, and could have an adverse impact on our business and liquidity.</w:t>
      </w:r>
    </w:p>
    <w:p>
      <w:pPr>
        <w:spacing w:after="0" w:line="18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banks that currently provide ACH and wire transfers fail to properly transmit ACH or terminate their relationship with us or limit our ability to process funds or we are not able to increase our ACH capacity with our existing and new banks, our ability to process funds on behalf of our clients and our financial results and liquidity could be adversely affected.</w:t>
      </w:r>
    </w:p>
    <w:p>
      <w:pPr>
        <w:spacing w:after="0" w:line="181"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We currently have agreements with eleven banks to execute ACH and wire transfers to support our client payroll, benefit and tax services.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reasonable terms, if at all. If these banks terminate their relationships with us or restrict the dollar amounts of funds that they will process on behalf of our clients, their doing so may impede our ability to process funds and could have an adverse impact on our financial results and liquidity.</w:t>
      </w:r>
    </w:p>
    <w:p>
      <w:pPr>
        <w:spacing w:after="0" w:line="172"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other key employees, and the loss of these persons or an inability to attract and retain highly skilled employees, including product development and other technical persons, could adversely affect our business.</w:t>
      </w:r>
    </w:p>
    <w:p>
      <w:pPr>
        <w:spacing w:after="0" w:line="175"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17"/>
          <w:szCs w:val="17"/>
          <w:color w:val="auto"/>
        </w:rPr>
        <w:t>Our success depends largely upon the continued services of our key executive officers, including Steven R. Beauchamp, our Chief Executive Officer. We also rely on our leadership team in the areas of research and development, sales, services and general and administrative functions. From time to time, there may be changes in our executive management team resulting from the hiring or departure of executives, which could disrupt our business. While we have employment agreements with our executive officers, including Mr. Beauchamp, these employment agreements do not require them to continue to work for us for any specified period and, therefore, they could terminate their employment with us at any time. The loss of one or more of our executive officers or key employees could have an adverse effect on our business.</w:t>
      </w:r>
    </w:p>
    <w:p>
      <w:pPr>
        <w:spacing w:after="0" w:line="17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believe that to grow our business and be successful, we must continue to develop products that are technologically-advanced,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and Internet-related products and services. Competition for these personnel in the greater Chicago area and elsewhere is intense.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other research and development may be adversely affected. In addition, if we hire employees from competitors or other companies, their former employers may attempt to assert that these employees have breached their legal obligations, resulting in a diversion of our time and resources.</w:t>
      </w:r>
    </w:p>
    <w:p>
      <w:pPr>
        <w:spacing w:after="0" w:line="18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and support of products and the performance of related services by us entail the risk of product or service liability claims, which could significantly affect our financial results.</w:t>
      </w:r>
    </w:p>
    <w:p>
      <w:pPr>
        <w:spacing w:after="0" w:line="15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Clients use our products in connection with the preparation and filing of tax returns and other regulatory reports. If any of our products contain errors that produce inaccurate results upon which users rely, or cause users to misfile or fail to file required information, we could be subject to liability claims from users. Our agreements with our clients typically contain provisions intended to limit our exposure to such claims, but such provisions may not be effective in limiting our exposure. Contractual limitations we use may not be enforceable and may not provide us with adequate protection against product liability claims in certain jurisdictions. A successful claim for product or service liability brought against us could result in substantial cost to us and divert management’s attention from our operations.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Privacy concerns and laws or other domestic regulations may increase the cost of our solutions or reduce the effectiveness of our modules and adversely affect our business.</w:t>
      </w:r>
    </w:p>
    <w:p>
      <w:pPr>
        <w:spacing w:after="0" w:line="15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clients collect, use and store personal or identifying information regarding their employees and their family members in our solutions. Federal and state government bodies and agencies have adopted, are considering adopting, or may adopt laws and regulations regarding the collection, use, storage and disclosure of such personal information. In addition, HIPAA, as amended by the Health Information Technology for Economic and Clinical Health Act, and its implementing regulations, applies to our benefit administration solution, BeneFLEX, as a business associate. The costs of compliance with, and other burdens imposed by, such laws and regulations that are applicable to our clients’ businesses may limit the use and adoption of our modules and reduce overall demand, or lead to significant fines, penalties or liabilities for any noncompliance with such privacy laws. Even the perception of privacy concerns, whether or not valid, may inhibit market adoption of our solutions.</w:t>
      </w:r>
    </w:p>
    <w:p>
      <w:pPr>
        <w:spacing w:after="0" w:line="189" w:lineRule="exact"/>
        <w:rPr>
          <w:sz w:val="20"/>
          <w:szCs w:val="20"/>
          <w:color w:val="auto"/>
        </w:rPr>
      </w:pPr>
    </w:p>
    <w:p>
      <w:pPr>
        <w:ind w:right="280" w:firstLine="648"/>
        <w:spacing w:after="0" w:line="255" w:lineRule="auto"/>
        <w:rPr>
          <w:sz w:val="20"/>
          <w:szCs w:val="20"/>
          <w:color w:val="auto"/>
        </w:rPr>
      </w:pPr>
      <w:r>
        <w:rPr>
          <w:rFonts w:ascii="Times New Roman" w:cs="Times New Roman" w:eastAsia="Times New Roman" w:hAnsi="Times New Roman"/>
          <w:sz w:val="18"/>
          <w:szCs w:val="18"/>
          <w:color w:val="auto"/>
        </w:rPr>
        <w:t>Additionally, we expect that existing laws, regulations, and standards may be interpreted in new and differing manners in the future, and may be inconsistent among jurisdictions. Future laws, regulations, standards, and other obligations, and changes in the interpretation of existing laws, regulations, standards, and other obligations could result in increased regulation, increased costs of compliance and penalties for non-compliance, and limitations on data</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9"/>
        <w:spacing w:after="0" w:line="252" w:lineRule="auto"/>
        <w:rPr>
          <w:sz w:val="20"/>
          <w:szCs w:val="20"/>
          <w:color w:val="auto"/>
        </w:rPr>
      </w:pPr>
      <w:r>
        <w:rPr>
          <w:rFonts w:ascii="Times New Roman" w:cs="Times New Roman" w:eastAsia="Times New Roman" w:hAnsi="Times New Roman"/>
          <w:sz w:val="18"/>
          <w:szCs w:val="18"/>
          <w:color w:val="auto"/>
        </w:rPr>
        <w:t>collection, use, disclosure, and transfer for Paylocity and our clients. For example, in 2016, the European Union (“EU”) and United States agreed to a framework for data transferred from the EU to the United States, called the Privacy Shield, but this new framework has been challenged by private parties and may face additional challenges by national regulators or additional private parties. Additionally, in 2016 the EU adopted a new regulation governing data privacy called the General Data Protection Regulation (“GDPR”), which became effective in May 2018. The GDPR establishes new requirements applicable to the handling of personal data and imposes penalties for non-compliance of up to 4% of worldwide revenue. California also recently enacted legislation, the California Consumer Privacy Act of 2018 (“CCPA”), that will afford California residents expanded privacy protections and a private right of action for security breaches affecting their personal information when it goes into effect on January 1, 2020. While California legislators recently amended the CCPA and the California Attorney General released draft implementing regulations for public comment, there remains uncertainty in how the CCPA will be interpreted and enforced, and privacy advocates are calling for changes to the law through a voter ballot initiative and additional amendments to the CCPA. In addition, the Illinois Biometric Information Privacy Act regulates the collection, use, safeguarding and storage of “biometric identifiers” or “biometric information” by private entities, and provides a private right of action for persons who are aggrieved by violations of the regulation. All of these legislative and regulatory initiatives may adversely affect our clients’ ability to process, handle, store, use and transmit demographic and personal information regarding their employees and family members, which could reduce demand for our solutions.</w:t>
      </w:r>
    </w:p>
    <w:p>
      <w:pPr>
        <w:spacing w:after="0" w:line="196" w:lineRule="exact"/>
        <w:rPr>
          <w:sz w:val="20"/>
          <w:szCs w:val="20"/>
          <w:color w:val="auto"/>
        </w:rPr>
      </w:pPr>
    </w:p>
    <w:p>
      <w:pPr>
        <w:ind w:right="19" w:firstLine="648"/>
        <w:spacing w:after="0" w:line="261" w:lineRule="auto"/>
        <w:rPr>
          <w:sz w:val="20"/>
          <w:szCs w:val="20"/>
          <w:color w:val="auto"/>
        </w:rPr>
      </w:pPr>
      <w:r>
        <w:rPr>
          <w:rFonts w:ascii="Times New Roman" w:cs="Times New Roman" w:eastAsia="Times New Roman" w:hAnsi="Times New Roman"/>
          <w:sz w:val="18"/>
          <w:szCs w:val="18"/>
          <w:color w:val="auto"/>
        </w:rPr>
        <w:t>In addition to government activity, privacy advocacy groups and the technology and other industries are considering various new, additional or different self-regulatory standards that may place additional burdens on us. If the processing of personal information were to be curtailed in this manner, our products would be less effective, which may reduce demand for our modules and adversely affect our business.</w:t>
      </w:r>
    </w:p>
    <w:p>
      <w:pPr>
        <w:spacing w:after="0" w:line="180" w:lineRule="exact"/>
        <w:rPr>
          <w:sz w:val="20"/>
          <w:szCs w:val="20"/>
          <w:color w:val="auto"/>
        </w:rPr>
      </w:pPr>
    </w:p>
    <w:p>
      <w:pPr>
        <w:ind w:right="79" w:firstLine="648"/>
        <w:spacing w:after="0" w:line="255" w:lineRule="auto"/>
        <w:rPr>
          <w:sz w:val="20"/>
          <w:szCs w:val="20"/>
          <w:color w:val="auto"/>
        </w:rPr>
      </w:pPr>
      <w:r>
        <w:rPr>
          <w:rFonts w:ascii="Times New Roman" w:cs="Times New Roman" w:eastAsia="Times New Roman" w:hAnsi="Times New Roman"/>
          <w:sz w:val="18"/>
          <w:szCs w:val="18"/>
          <w:color w:val="auto"/>
        </w:rPr>
        <w:t>If third parties we work with violate applicable laws or regulations or our policies, such violations may also put our clients’ content at risk and could in turn have an adverse effect on our business. Any significant change to applicable laws, regulations, or industry practices regarding the collection, use, retention, security, or disclosure of our clients’ content, or regarding the manner in which the express or implied consent of clients for the collection, use, retention, or disclosure of such content is obtained, could increase our costs and require us to modify our services and features, possibly in a material manner, which we may be unable to complete, and may limit our ability to store and transmit client data or develop new services and features.</w:t>
      </w:r>
    </w:p>
    <w:p>
      <w:pPr>
        <w:spacing w:after="0" w:line="185" w:lineRule="exact"/>
        <w:rPr>
          <w:sz w:val="20"/>
          <w:szCs w:val="20"/>
          <w:color w:val="auto"/>
        </w:rPr>
      </w:pPr>
    </w:p>
    <w:p>
      <w:pPr>
        <w:ind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if we do not effectively implement and service our solutions or if we are unable to accommodate increased demand for our implementation and client services resulting from growth in our business.</w:t>
      </w:r>
    </w:p>
    <w:p>
      <w:pPr>
        <w:spacing w:after="0" w:line="159" w:lineRule="exact"/>
        <w:rPr>
          <w:sz w:val="20"/>
          <w:szCs w:val="20"/>
          <w:color w:val="auto"/>
        </w:rPr>
      </w:pPr>
    </w:p>
    <w:p>
      <w:pPr>
        <w:ind w:right="119" w:firstLine="648"/>
        <w:spacing w:after="0" w:line="255" w:lineRule="auto"/>
        <w:rPr>
          <w:sz w:val="20"/>
          <w:szCs w:val="20"/>
          <w:color w:val="auto"/>
        </w:rPr>
      </w:pPr>
      <w:r>
        <w:rPr>
          <w:rFonts w:ascii="Times New Roman" w:cs="Times New Roman" w:eastAsia="Times New Roman" w:hAnsi="Times New Roman"/>
          <w:sz w:val="18"/>
          <w:szCs w:val="18"/>
          <w:color w:val="auto"/>
        </w:rPr>
        <w:t>Our ability to deliver our payroll and HCM solutions depends on our ability to effectively implement and to transition to, and train our clients on, our solutions. We generally do not recognize any revenue from new clients until they process their first payroll. Further, the majority of our agreements with our clients are generally terminable by the clients on 60 days’ or less notice. If a client is not satisfied with our implementation services, the client could terminate its agreement with us before we have recovered our costs of implementation services, which would adversely affect our results of operations and cash flows. In addition, negative publicity related to our client relationships, regardless of its accuracy, may further damage our business by affecting our ability to compete for new business with current and prospective clients.</w:t>
      </w:r>
    </w:p>
    <w:p>
      <w:pPr>
        <w:spacing w:after="0" w:line="189" w:lineRule="exact"/>
        <w:rPr>
          <w:sz w:val="20"/>
          <w:szCs w:val="20"/>
          <w:color w:val="auto"/>
        </w:rPr>
      </w:pPr>
    </w:p>
    <w:p>
      <w:pPr>
        <w:ind w:right="39" w:firstLine="648"/>
        <w:spacing w:after="0" w:line="254" w:lineRule="auto"/>
        <w:rPr>
          <w:sz w:val="20"/>
          <w:szCs w:val="20"/>
          <w:color w:val="auto"/>
        </w:rPr>
      </w:pPr>
      <w:r>
        <w:rPr>
          <w:rFonts w:ascii="Times New Roman" w:cs="Times New Roman" w:eastAsia="Times New Roman" w:hAnsi="Times New Roman"/>
          <w:sz w:val="18"/>
          <w:szCs w:val="18"/>
          <w:color w:val="auto"/>
        </w:rPr>
        <w:t>Once our modules are deployed, our clients depend on our client service organization to resolve issues relating to our solutions. The majority of our clients are medium-sized organizations with limited personnel and resources to address payroll and other HCM related issues. These clients rely on us more so than larger companies with greater internal resources and expertise. High-quality client services are important for the successful marketing and sale of our products and for the retention of existing clients. If we do not help our clients quickly resolve issues and provide effective ongoing support, our ability to sell additional products to existing clients would suffer and our reputation with existing or potential clients would be harmed. Our sales process is highly dependent on our modules and business reputation and on positive recommendations from our existing clients. Any failure to maintain high-quality client services, or a market perception that we do not maintain high-quality client services, could adversely affect our reputation, our ability to sell our solutions to existing and prospective clients, and our business, operating results and financial position.</w:t>
      </w:r>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3" w:right="1440"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addition, we may be unable to respond quickly enough to accommodate increased client demand for implementation and client services driven by our growth. In order to ensure that we have sufficient employees to implement and service our solutions, we must closely coordinate hiring of personnel with our projected sales for a particular period. Because our sales cycle is typically only three to six weeks long, we may not be successful in coordinating hiring of implementation and client service personnel to meet increased demand for our services. Increased demand for services without a corresponding staffing increase of qualified personnel could adversely affect the quality of services provided to our clients, and our business and our reputation could be harmed.</w:t>
      </w:r>
    </w:p>
    <w:p>
      <w:pPr>
        <w:spacing w:after="0" w:line="185" w:lineRule="exact"/>
        <w:rPr>
          <w:sz w:val="20"/>
          <w:szCs w:val="20"/>
          <w:color w:val="auto"/>
        </w:rPr>
      </w:pPr>
    </w:p>
    <w:p>
      <w:pPr>
        <w:ind w:right="4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136"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Our payroll and HCM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are frequent, we discover defects and errors in our software and service processes in the normal course of business compared against these requirements and practices. Material performance problems or defects in our products and services might arise in the future, which could have an adverse impact on our business and client relationship and subject us to claims.</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Moreover, software development is time-consuming, expensive and complex. Unforeseen difficulties can arise. We might encounter technical obstacles, and it is possible that we discover problems that prevent our products from operating properly. If they do not function reliably or fail to achieve client expectations in terms of performance, clients could cancel their agreements with us and/or assert liability claims against us. This could damage our reputation, impair our ability to attract or maintain clients and harm our results of operations.</w:t>
      </w:r>
    </w:p>
    <w:p>
      <w:pPr>
        <w:spacing w:after="0" w:line="184" w:lineRule="exact"/>
        <w:rPr>
          <w:sz w:val="20"/>
          <w:szCs w:val="20"/>
          <w:color w:val="auto"/>
        </w:rPr>
      </w:pPr>
    </w:p>
    <w:p>
      <w:pPr>
        <w:jc w:val="both"/>
        <w:ind w:right="60" w:firstLine="648"/>
        <w:spacing w:after="0" w:line="255" w:lineRule="auto"/>
        <w:rPr>
          <w:sz w:val="20"/>
          <w:szCs w:val="20"/>
          <w:color w:val="auto"/>
        </w:rPr>
      </w:pPr>
      <w:r>
        <w:rPr>
          <w:rFonts w:ascii="Times New Roman" w:cs="Times New Roman" w:eastAsia="Times New Roman" w:hAnsi="Times New Roman"/>
          <w:sz w:val="18"/>
          <w:szCs w:val="18"/>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Defects or errors in our product or service processes might discourage existing or potential clients from purchasing from us.</w:t>
      </w:r>
    </w:p>
    <w:p>
      <w:pPr>
        <w:spacing w:after="0" w:line="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Correction of defects or errors could prove to be impossible or impracticable. The costs incurred in correcting any defects or errors or in responding to resulting claims or liability might be substantial and could adversely affect our operating results.</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Because of the large amount of data that we collect and manage, it is possible that hardware failures or errors in our systems could result in data loss or corruption, or cause the information that we collect to be incomplete or contain inaccuracies that our clients, their employees and taxing and other regulatory authorities regard as significant. The costs incurred in correcting any errors or in responding to regulatory authorities or to resulting claims or liability might be substantial and could adversely affect our operating results.</w:t>
      </w:r>
    </w:p>
    <w:p>
      <w:pPr>
        <w:spacing w:after="0" w:line="18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pacing w:after="0" w:line="17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clients might assert claims against us in the future alleging that they suffered damages due to a defect, error, or other failure of our product or service processes. A product liability claim and errors or omissions claim could subject us to significant legal defense costs and adverse publicity regardless of the merits or eventual outcome of such a claim.</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Corporate investments and client funds that we hold are subject to market, interest rate, credit and liquidity risks. The loss of these funds could have an adverse impact on our business.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invest portions of excess cash and cash equivalents and funds held for our clients in liquid, investment-grade marketable securities such as corporate bonds, commercial paper, asset-backed securities, U.S. treasury securities, money market securities, and other cash equivalents. We follow an established investment policy and set of guidelines to monitor and help mitigate our exposure to liquidity and credit risks. Nevertheless, our corporate investments and client fund assets are subject to general market, interest rate, credit, and liquidity risks. These risks may be exacerbated,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individually or in unison, during periods of unusual financial market volatility. Any loss of or inability to access client funds could have an adverse impact on our cash position and results of operations and could require us to obtain additional sources of liquidity.</w:t>
      </w:r>
    </w:p>
    <w:p>
      <w:pPr>
        <w:spacing w:after="0" w:line="17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addition, funds held for clients are deposited in consolidated accounts on behalf of our clients,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spacing w:after="0" w:line="184"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to collect sales and use taxes in additional jurisdictions, we might be subject to liability for past sales and our future sales may decrease. Adverse tax laws or regulations could be enacted or existing laws could be applied to us or our clients, which could increase the costs of our services and adversely impact our business.</w:t>
      </w:r>
    </w:p>
    <w:p>
      <w:pPr>
        <w:spacing w:after="0" w:line="17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application of federal, state, and local tax laws to services provided electronically is evolving. New income, sales, use or other tax laws, statutes, rules, regulations or ordinances could be enacted at any time (possibly with retroactive effect), and could be applied solely or disproportionately to services provided over the Internet. These enactments could adversely affect our sales activity due to the inherent cost increase the taxes would represent and ultimately result in a negative impact on our operating results and cash flows.</w:t>
      </w:r>
    </w:p>
    <w:p>
      <w:pPr>
        <w:spacing w:after="0" w:line="18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addition, existing tax laws, statutes, rules, regulations or ordinances could be interpreted, changed, modified or applied adversely to us (possibly with retroactive effect), which could require us or our clients to pay additional tax amounts, as well as require us or our clients to pay fines or penalties and interest for past amounts.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example, we might lose sales or incur significant expenses if states successfully impose broader guidelines on state sales and use taxes. A successful assertion by one or more states requiring us to collect sales or other taxes on our software or provision of our services could result in substantial tax liabilities for past transactions and otherwise harm our business.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in order to determine how to comply with that state’s rules and regulations. We cannot assure you that we will not be subject to sales and use taxes or related penalties for past sales in states where we currently believe no such taxes are required.</w:t>
      </w:r>
    </w:p>
    <w:p>
      <w:pPr>
        <w:spacing w:after="0" w:line="18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Vendors of services, like us, are typically held responsible by taxing authorities for the collection and payment of any applicable sales and similar taxes. If one or more taxing authorities determines that taxes should have, but have not, been paid with respect to our services, we might be liable for past taxes in addition to taxes going forward. Liability for past taxes might also include substantial interest and penalty charges. Our clients typically pay us for applicable sales and similar taxes. Nevertheless, our clients might be reluctant to pay back taxes and might refuse responsibility for interest or penalties associated with those taxes. If we are required to collect and pay back taxes and the associated interest and penalties, and if our clients fail or refuse to reimburse us for all or a portion of these amounts, we will incur unplanned expenses that may be substantial. Moreover, imposition of such taxes on us going forward will effectively increase the cost of our services to our clients and might adversely affect our ability to retain existing clients or to gain new clients in the areas in which such taxes are imposed.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229" w:lineRule="exact"/>
        <w:rPr>
          <w:sz w:val="20"/>
          <w:szCs w:val="20"/>
          <w:color w:val="auto"/>
        </w:rPr>
      </w:pPr>
    </w:p>
    <w:p>
      <w:pPr>
        <w:ind w:right="220" w:firstLine="648"/>
        <w:spacing w:after="0" w:line="253" w:lineRule="auto"/>
        <w:rPr>
          <w:sz w:val="20"/>
          <w:szCs w:val="20"/>
          <w:color w:val="auto"/>
        </w:rPr>
      </w:pPr>
      <w:r>
        <w:rPr>
          <w:rFonts w:ascii="Times New Roman" w:cs="Times New Roman" w:eastAsia="Times New Roman" w:hAnsi="Times New Roman"/>
          <w:sz w:val="18"/>
          <w:szCs w:val="18"/>
          <w:color w:val="auto"/>
        </w:rPr>
        <w:t>We may become subject, from time to time, to legal proceedings and claims that arise in the ordinary course of business such as claims brought by our clients in connection with commercial disputes, employment claims made by our current or former employees, or lawsuits related to breaches of personal information.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operating results and leading analysts or potential investors to lower their expectations of our performance, which could reduce the trading price of our stock.</w:t>
      </w:r>
    </w:p>
    <w:p>
      <w:pPr>
        <w:spacing w:after="0" w:line="15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our intellectual property rights could impair our ability to protect our proprietary technology and our brand.</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Our proprietary technologies are not covered by any patent or patent application. However, the steps we take to protect our intellectual property may be inadequate. We will not be able to protect our intellectual property if we are unable to enforce our rights or if we do not detect unauthorized use of our intellectual property.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w:t>
      </w:r>
    </w:p>
    <w:p>
      <w:pPr>
        <w:spacing w:after="0" w:line="189" w:lineRule="exact"/>
        <w:rPr>
          <w:sz w:val="20"/>
          <w:szCs w:val="20"/>
          <w:color w:val="auto"/>
        </w:rPr>
      </w:pPr>
    </w:p>
    <w:p>
      <w:pPr>
        <w:ind w:right="220" w:firstLine="648"/>
        <w:spacing w:after="0" w:line="254"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 In addition, we depend, in part, on technology of third parties licensed to us for our solutions, and the loss or inability to maintain these licenses or errors in the software we license could result in increased costs, reduced service levels or delayed sales of our solutions.</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including cybersecurity resources, to monitor and protect these rights. Our intellectual property could be wrongfully acquired as a result of a cyberattack or other wrongful conduct by employees or third parties.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injure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 future would have a material adverse effect on our business or operating results, our inability to license this technology could adversely affect our ability to compete.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sued by third parties for alleged infringement of their proprietary rights.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 time to time, third parties may claim that we are infringing upon their intellectual property rights, and we may be found to be infringing upon such rights. In the future, others may claim that our modules and underlying technology infringe or violate their intellectual property rights. However, we may be unaware of the intellectual property rights that others may claim cover some or all of our technology or services. Any claims or litigation could cause us to incur significant expenses and, if successfully asserted against us, could require that we pay substantial damages or ongoing royalty payments, prevent us from offering our services, or require that we comply with other unfavorable terms. We may also be obligated to indemnify our clients or business partners or pay substantial settlement costs, including royalty payments, in connection with any such claim or litigation and to obtain licenses, modify applications, or refund fees, which could be costly. Even if we were to prevail in such a dispute, any litigation regarding our intellectual property</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could be costly and time-consuming and divert the attention of our management and key personnel from our business operations.</w:t>
      </w:r>
    </w:p>
    <w:p>
      <w:pPr>
        <w:spacing w:after="0" w:line="158"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open source software in our products and solutions may expose us to additional risks and harm our intellectual property rights.</w:t>
      </w:r>
    </w:p>
    <w:p>
      <w:pPr>
        <w:spacing w:after="0" w:line="15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pacing w:after="0" w:line="18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seek licenses from third parties in order to continue offering our products or solutions, to re-develop our products or solutions, to discontinue sales of our products or solutions, or to release our proprietary software code under the terms of an open source license, any of which could harm our business. Further, given the nature of open source software, it may be more likely that third parties might assert copyright and other intellectual property infringement claims against us based on our use of these open source software programs.</w:t>
      </w:r>
    </w:p>
    <w:p>
      <w:pPr>
        <w:spacing w:after="0" w:line="18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While we monitor the use of all open source software in our products, solutions, processes and technology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disclose the source code to our products and solutions. This could harm our intellectual property position and our business, results of operations and financial condition.</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third-party software used in our products is not adequately maintained or updated, our business could be materially adversely affected.</w:t>
      </w:r>
    </w:p>
    <w:p>
      <w:pPr>
        <w:spacing w:after="0" w:line="15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Our products utilize certain software of third-party software developers. Although we believe that there are alternatives for these products, any significant interruption in the availability of such third-party software could have an adverse impact on our business unless and until we can replace the functionality provided by these products at a similar cost. Additionally, we rely, to a certain extent, upon such third parties’ abilities to enhance their current products, to develop new products on a timely and cost-effective basis and to respond to emerging industry standards and other technological changes. We may be unable to replace the functionality provided by the third-party software currently offered in conjunction with our products in the event that such software becomes obsolete or incompatible with future versions of our products or is otherwise not adequately maintained or updated.</w:t>
      </w:r>
    </w:p>
    <w:p>
      <w:pPr>
        <w:spacing w:after="0" w:line="18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modules, and could have a negative impact on our business.</w:t>
      </w:r>
    </w:p>
    <w:p>
      <w:pPr>
        <w:spacing w:after="0" w:line="15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modules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applications such as ours.</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the use of the Internet as a business tool could be adversely affected due to delays in the development or adoption of new standards and protocols to handle increased demands of Internet activity, security,</w:t>
      </w: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reliability, cost, ease of 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modules could suffer.</w:t>
      </w:r>
    </w:p>
    <w:p>
      <w:pPr>
        <w:spacing w:after="0" w:line="180"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Furthermore, the availability or performance of our modules could be adversely affected by a number of factors, including clients’ inability to access the Internet, the failure of our network or software systems, security breaches or variability in user traffic for our services. For example, our clients access our solutions through their Internet service providers. If a service provider fails to provide sufficient capacity to support our modules or otherwise experiences service outages, such failure could interrupt our clients’ access to our solutions, adversely affect their perception of our modules’ reliability and reduce our revenues. In addition to potential liability, if we experience interruptions in the availability of our modules, our reputation could be adversely affected and we could lose clients.</w:t>
      </w:r>
    </w:p>
    <w:p>
      <w:pPr>
        <w:spacing w:after="0" w:line="185"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regulatory laws or requirements applicable to our software and services could impose increased costs on us, delay or prevent our introduction of new products and services, and impair the function or value of our existing products and services.</w:t>
      </w:r>
    </w:p>
    <w:p>
      <w:pPr>
        <w:spacing w:after="0" w:line="18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products and services may become subject to increasing regulatory requirements, and as these requirements proliferate, we may be required to change or adapt our products and services to comply. Changing regulatory requirements might render our products and services obsolete or might block us from developing new products and services. This might in turn impose additional costs upon us to comply or to further develop our products and services. It might also make introduction of new products and services more costly or more time-consuming than we currently anticipate. It might even prevent introduction by us of new products or services or cause the continuation of our existing products or services to become more costly. For example, the adoption of new money transmitter or money services business statutes in jurisdictions or changes in regulators’ interpretation of existing state and federal money transmitter or money services business statutes or regulations, could subject us to registration or licensing or limit business activities until we are appropriately licensed. These occurrences could also require changes to the manner in which we conduct some aspects of our business or invest client funds, which could adversely impact interest income from investing client funds. Should any state or federal regulators make a determination that we have operated as an unlicensed money services business or money transmitter, we could be subject to civil and criminal fines, penalties, costs, legal fees, reputational damage or other negative consequences. In addition, if the Affordable Care Act, or ACA, is repealed or modified in whole or in part, or if implementation of certain aspects of the ACA is delayed, such repeal, modification or delay could adversely impact the revenue we currently generate from our ACA Compliance solution as well as overall gross margins. Any of these regulatory implementations or changes could have an adverse effect on our business, operating results or financial condition.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require additional capital to support business growth, and this capital might not be available.</w:t>
      </w:r>
    </w:p>
    <w:p>
      <w:pPr>
        <w:spacing w:after="0" w:line="229" w:lineRule="exact"/>
        <w:rPr>
          <w:sz w:val="20"/>
          <w:szCs w:val="20"/>
          <w:color w:val="auto"/>
        </w:rPr>
      </w:pPr>
    </w:p>
    <w:p>
      <w:pPr>
        <w:jc w:val="both"/>
        <w:ind w:right="300" w:firstLine="648"/>
        <w:spacing w:after="0" w:line="257"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might require additional funds to respond to business challenges or opportunities, including the need to develop new products and services or enhance our existing services, enhance our operating infrastructure, and acquire complementary businesses and technologies.</w:t>
      </w:r>
    </w:p>
    <w:p>
      <w:pPr>
        <w:spacing w:after="0" w:line="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Accordingly, we might need to engage in equity or debt financings to secure additional funds. In addition, we will need to expand our ACH capacity as we grow our business.</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or ACH facility secured by us in the future could involve restrictive covenants relating to our capital-raising activities and other financial and operational matters, which might make it more difficult for us to obtain additional capital and to pursue business opportunities and to grow our business. In addition, we might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limited.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services present the potential for embezzlement, identity theft, or other similar illegal behavior by our associates with respect to third parties.</w:t>
      </w:r>
    </w:p>
    <w:p>
      <w:pPr>
        <w:spacing w:after="0" w:line="159" w:lineRule="exact"/>
        <w:rPr>
          <w:sz w:val="20"/>
          <w:szCs w:val="20"/>
          <w:color w:val="auto"/>
        </w:rPr>
      </w:pPr>
    </w:p>
    <w:p>
      <w:pPr>
        <w:ind w:right="119" w:firstLine="648"/>
        <w:spacing w:after="0" w:line="255" w:lineRule="auto"/>
        <w:rPr>
          <w:sz w:val="20"/>
          <w:szCs w:val="20"/>
          <w:color w:val="auto"/>
        </w:rPr>
      </w:pPr>
      <w:r>
        <w:rPr>
          <w:rFonts w:ascii="Times New Roman" w:cs="Times New Roman" w:eastAsia="Times New Roman" w:hAnsi="Times New Roman"/>
          <w:sz w:val="18"/>
          <w:szCs w:val="18"/>
          <w:color w:val="auto"/>
        </w:rPr>
        <w:t>Certain services offered by us involve collecting payroll information from individuals, and this frequently includes information about their checking accounts. Our services also involve the use and disclosure of personal and business information that could be used to impersonate third parties, commit identity theft, or otherwise gain access to their data or funds. If any of our associates take, convert, or misuse such funds, documents or data, we could be liable for damages, and our business reputation could be damaged or destroyed. Moreover, if we fail to adequately prevent third parties from accessing personal and/or business information and using that information to commit identity theft, we might face legal liabilities and other losses than can have a negative impact on our business.</w:t>
      </w:r>
    </w:p>
    <w:p>
      <w:pPr>
        <w:spacing w:after="0" w:line="185" w:lineRule="exact"/>
        <w:rPr>
          <w:sz w:val="20"/>
          <w:szCs w:val="20"/>
          <w:color w:val="auto"/>
        </w:rPr>
      </w:pPr>
    </w:p>
    <w:p>
      <w:pPr>
        <w:ind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third-party shipping provider to deliver printed checks to our clients, and therefore our business could be negatively impacted by disruptions in the operations of this third-party provider.</w:t>
      </w:r>
    </w:p>
    <w:p>
      <w:pPr>
        <w:spacing w:after="0" w:line="159" w:lineRule="exact"/>
        <w:rPr>
          <w:sz w:val="20"/>
          <w:szCs w:val="20"/>
          <w:color w:val="auto"/>
        </w:rPr>
      </w:pPr>
    </w:p>
    <w:p>
      <w:pPr>
        <w:ind w:right="119" w:firstLine="648"/>
        <w:spacing w:after="0" w:line="255" w:lineRule="auto"/>
        <w:rPr>
          <w:sz w:val="20"/>
          <w:szCs w:val="20"/>
          <w:color w:val="auto"/>
        </w:rPr>
      </w:pPr>
      <w:r>
        <w:rPr>
          <w:rFonts w:ascii="Times New Roman" w:cs="Times New Roman" w:eastAsia="Times New Roman" w:hAnsi="Times New Roman"/>
          <w:sz w:val="18"/>
          <w:szCs w:val="18"/>
          <w:color w:val="auto"/>
        </w:rPr>
        <w:t>We rely on third-party couriers such as the United Parcel Service, or UPS, to ship printed checks to our clients. Relying on UPS and other third-party couriers puts us at risk from disruptions in their operations, such as employee strikes, inclement weather and their ability to perform tasks on our behalf. If UPS or other third-party couriers fail to perform their tasks, we could incur liability or suffer damages to our reputation, or both. If we are forced to use other third-party couriers, our costs could increase and we may not be able to meet shipment deadlines. Moreover, we may not be able to obtain terms as favorable as those we currently use, which could further increase our costs. These circumstances may negatively impact our business, financial condition and results of operations.</w:t>
      </w:r>
    </w:p>
    <w:p>
      <w:pPr>
        <w:spacing w:after="0" w:line="185" w:lineRule="exact"/>
        <w:rPr>
          <w:sz w:val="20"/>
          <w:szCs w:val="20"/>
          <w:color w:val="auto"/>
        </w:rPr>
      </w:pPr>
    </w:p>
    <w:p>
      <w:pPr>
        <w:ind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159" w:lineRule="exact"/>
        <w:rPr>
          <w:sz w:val="20"/>
          <w:szCs w:val="20"/>
          <w:color w:val="auto"/>
        </w:rPr>
      </w:pPr>
    </w:p>
    <w:p>
      <w:pPr>
        <w:ind w:right="19" w:firstLine="648"/>
        <w:spacing w:after="0" w:line="256" w:lineRule="auto"/>
        <w:rPr>
          <w:sz w:val="20"/>
          <w:szCs w:val="20"/>
          <w:color w:val="auto"/>
        </w:rPr>
      </w:pPr>
      <w:r>
        <w:rPr>
          <w:rFonts w:ascii="Times New Roman" w:cs="Times New Roman" w:eastAsia="Times New Roman" w:hAnsi="Times New Roman"/>
          <w:sz w:val="18"/>
          <w:szCs w:val="18"/>
          <w:color w:val="auto"/>
        </w:rPr>
        <w:t>Generally accepted accounting principles in the United States are subject to interpretation by the Financial Accounting Standards Board, or FASB, the Securities and Exchange Commission, or SEC, and various bodies formed to promulgate and interpret appropriate accounting principles. A change in these principles or interpretations could have a significant effect on our reported financial results including increased volatility, and could affect the reporting of transactions completed before the announcement of a change. Our accounting policies that have been or may be affected by changes in accounting principles include, but are not limited to, revenue recognition and accounting for leases.</w:t>
      </w:r>
    </w:p>
    <w:p>
      <w:pPr>
        <w:spacing w:after="0" w:line="184" w:lineRule="exact"/>
        <w:rPr>
          <w:sz w:val="20"/>
          <w:szCs w:val="20"/>
          <w:color w:val="auto"/>
        </w:rPr>
      </w:pPr>
    </w:p>
    <w:p>
      <w:pPr>
        <w:ind w:right="2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136" w:lineRule="exact"/>
        <w:rPr>
          <w:sz w:val="20"/>
          <w:szCs w:val="20"/>
          <w:color w:val="auto"/>
        </w:rPr>
      </w:pPr>
    </w:p>
    <w:p>
      <w:pPr>
        <w:ind w:right="59" w:firstLine="648"/>
        <w:spacing w:after="0" w:line="266" w:lineRule="auto"/>
        <w:rPr>
          <w:sz w:val="20"/>
          <w:szCs w:val="20"/>
          <w:color w:val="auto"/>
        </w:rPr>
      </w:pPr>
      <w:r>
        <w:rPr>
          <w:rFonts w:ascii="Times New Roman" w:cs="Times New Roman" w:eastAsia="Times New Roman" w:hAnsi="Times New Roman"/>
          <w:sz w:val="18"/>
          <w:szCs w:val="18"/>
          <w:color w:val="auto"/>
        </w:rPr>
        <w:t>We have acquired and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spacing w:after="0" w:line="176" w:lineRule="exact"/>
        <w:rPr>
          <w:sz w:val="20"/>
          <w:szCs w:val="20"/>
          <w:color w:val="auto"/>
        </w:rPr>
      </w:pPr>
    </w:p>
    <w:p>
      <w:pPr>
        <w:jc w:val="both"/>
        <w:ind w:right="99" w:firstLine="648"/>
        <w:spacing w:after="0" w:line="289" w:lineRule="auto"/>
        <w:rPr>
          <w:sz w:val="20"/>
          <w:szCs w:val="20"/>
          <w:color w:val="auto"/>
        </w:rPr>
      </w:pPr>
      <w:r>
        <w:rPr>
          <w:rFonts w:ascii="Times New Roman" w:cs="Times New Roman" w:eastAsia="Times New Roman" w:hAnsi="Times New Roman"/>
          <w:sz w:val="17"/>
          <w:szCs w:val="17"/>
          <w:color w:val="auto"/>
        </w:rPr>
        <w:t>In addition, we have limited experience in acquiring other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58" w:lineRule="exact"/>
        <w:rPr>
          <w:sz w:val="20"/>
          <w:szCs w:val="20"/>
          <w:color w:val="auto"/>
        </w:rPr>
      </w:pPr>
    </w:p>
    <w:p>
      <w:pPr>
        <w:ind w:left="1340" w:hanging="331"/>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integrate or benefit from acquired technologies or services in a profitable manner;</w:t>
      </w:r>
    </w:p>
    <w:p>
      <w:pPr>
        <w:spacing w:after="0" w:line="225" w:lineRule="exact"/>
        <w:rPr>
          <w:rFonts w:ascii="Times New Roman" w:cs="Times New Roman" w:eastAsia="Times New Roman" w:hAnsi="Times New Roman"/>
          <w:sz w:val="18"/>
          <w:szCs w:val="18"/>
          <w:color w:val="auto"/>
        </w:rPr>
      </w:pPr>
    </w:p>
    <w:p>
      <w:pPr>
        <w:ind w:left="1340" w:hanging="331"/>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pacing w:after="0" w:line="225" w:lineRule="exact"/>
        <w:rPr>
          <w:rFonts w:ascii="Times New Roman" w:cs="Times New Roman" w:eastAsia="Times New Roman" w:hAnsi="Times New Roman"/>
          <w:sz w:val="18"/>
          <w:szCs w:val="18"/>
          <w:color w:val="auto"/>
        </w:rPr>
      </w:pPr>
    </w:p>
    <w:p>
      <w:pPr>
        <w:ind w:left="1340" w:hanging="331"/>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acquisition-related costs;</w:t>
      </w:r>
    </w:p>
    <w:p>
      <w:pPr>
        <w:spacing w:after="0" w:line="225" w:lineRule="exact"/>
        <w:rPr>
          <w:rFonts w:ascii="Times New Roman" w:cs="Times New Roman" w:eastAsia="Times New Roman" w:hAnsi="Times New Roman"/>
          <w:sz w:val="18"/>
          <w:szCs w:val="18"/>
          <w:color w:val="auto"/>
        </w:rPr>
      </w:pPr>
    </w:p>
    <w:p>
      <w:pPr>
        <w:ind w:left="1340" w:hanging="331"/>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accounting systems, operations and personnel of the acquired business;</w:t>
      </w:r>
    </w:p>
    <w:p>
      <w:pPr>
        <w:spacing w:after="0" w:line="225" w:lineRule="exact"/>
        <w:rPr>
          <w:rFonts w:ascii="Times New Roman" w:cs="Times New Roman" w:eastAsia="Times New Roman" w:hAnsi="Times New Roman"/>
          <w:sz w:val="18"/>
          <w:szCs w:val="18"/>
          <w:color w:val="auto"/>
        </w:rPr>
      </w:pPr>
    </w:p>
    <w:p>
      <w:pPr>
        <w:ind w:left="1340" w:right="79" w:hanging="331"/>
        <w:spacing w:after="0" w:line="282" w:lineRule="auto"/>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additional expenses associated with supporting legacy products and hosting infrastructure of the acquired business;</w:t>
      </w:r>
    </w:p>
    <w:p>
      <w:pPr>
        <w:sectPr>
          <w:pgSz w:w="11900" w:h="16838" w:orient="portrait"/>
          <w:cols w:equalWidth="0" w:num="1">
            <w:col w:w="9039"/>
          </w:cols>
          <w:pgMar w:left="1420" w:top="513" w:right="1440" w:bottom="1440" w:gutter="0" w:footer="0" w:header="0"/>
        </w:sectPr>
      </w:pP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3" w:right="1440"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179" w:hanging="331"/>
        <w:spacing w:after="0" w:line="313" w:lineRule="auto"/>
        <w:tabs>
          <w:tab w:leader="none" w:pos="13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converting the clients of the acquired business onto our modules and contract terms, including disparities in the revenues, licensing, support or professional services model of the acquired company;</w:t>
      </w:r>
    </w:p>
    <w:p>
      <w:pPr>
        <w:spacing w:after="0" w:line="138" w:lineRule="exact"/>
        <w:rPr>
          <w:rFonts w:ascii="Times New Roman" w:cs="Times New Roman" w:eastAsia="Times New Roman" w:hAnsi="Times New Roman"/>
          <w:sz w:val="17"/>
          <w:szCs w:val="17"/>
          <w:color w:val="auto"/>
        </w:rPr>
      </w:pPr>
    </w:p>
    <w:p>
      <w:pPr>
        <w:ind w:left="1340" w:hanging="331"/>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1340" w:right="199" w:hanging="331"/>
        <w:spacing w:after="0" w:line="282" w:lineRule="auto"/>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existing business relationships with business partners and clients as a result of the acquisition;</w:t>
      </w:r>
    </w:p>
    <w:p>
      <w:pPr>
        <w:spacing w:after="0" w:line="161" w:lineRule="exact"/>
        <w:rPr>
          <w:rFonts w:ascii="Times New Roman" w:cs="Times New Roman" w:eastAsia="Times New Roman" w:hAnsi="Times New Roman"/>
          <w:sz w:val="18"/>
          <w:szCs w:val="18"/>
          <w:color w:val="auto"/>
        </w:rPr>
      </w:pPr>
    </w:p>
    <w:p>
      <w:pPr>
        <w:ind w:left="1340" w:hanging="331"/>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w:t>
      </w:r>
    </w:p>
    <w:p>
      <w:pPr>
        <w:spacing w:after="0" w:line="225" w:lineRule="exact"/>
        <w:rPr>
          <w:rFonts w:ascii="Times New Roman" w:cs="Times New Roman" w:eastAsia="Times New Roman" w:hAnsi="Times New Roman"/>
          <w:sz w:val="18"/>
          <w:szCs w:val="18"/>
          <w:color w:val="auto"/>
        </w:rPr>
      </w:pPr>
    </w:p>
    <w:p>
      <w:pPr>
        <w:ind w:left="1340" w:hanging="331"/>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 and</w:t>
      </w:r>
    </w:p>
    <w:p>
      <w:pPr>
        <w:spacing w:after="0" w:line="225" w:lineRule="exact"/>
        <w:rPr>
          <w:rFonts w:ascii="Times New Roman" w:cs="Times New Roman" w:eastAsia="Times New Roman" w:hAnsi="Times New Roman"/>
          <w:sz w:val="18"/>
          <w:szCs w:val="18"/>
          <w:color w:val="auto"/>
        </w:rPr>
      </w:pPr>
    </w:p>
    <w:p>
      <w:pPr>
        <w:ind w:left="1340" w:hanging="331"/>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the acquisition.</w:t>
      </w:r>
    </w:p>
    <w:p>
      <w:pPr>
        <w:spacing w:after="0" w:line="225" w:lineRule="exact"/>
        <w:rPr>
          <w:sz w:val="20"/>
          <w:szCs w:val="20"/>
          <w:color w:val="auto"/>
        </w:rPr>
      </w:pPr>
    </w:p>
    <w:p>
      <w:pPr>
        <w:ind w:right="559" w:firstLine="648"/>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80" w:lineRule="exact"/>
        <w:rPr>
          <w:sz w:val="20"/>
          <w:szCs w:val="20"/>
          <w:color w:val="auto"/>
        </w:rPr>
      </w:pPr>
    </w:p>
    <w:p>
      <w:pPr>
        <w:jc w:val="both"/>
        <w:ind w:right="539" w:firstLine="648"/>
        <w:spacing w:after="0" w:line="266" w:lineRule="auto"/>
        <w:rPr>
          <w:sz w:val="20"/>
          <w:szCs w:val="20"/>
          <w:color w:val="auto"/>
        </w:rPr>
      </w:pPr>
      <w:r>
        <w:rPr>
          <w:rFonts w:ascii="Times New Roman" w:cs="Times New Roman" w:eastAsia="Times New Roman" w:hAnsi="Times New Roman"/>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Insiders have substantial control over us, which may limit our stockholders’ ability to influence corporate matters and delay or prevent a third party from acquiring control over us.</w:t>
      </w:r>
    </w:p>
    <w:p>
      <w:pPr>
        <w:spacing w:after="0" w:line="159" w:lineRule="exact"/>
        <w:rPr>
          <w:sz w:val="20"/>
          <w:szCs w:val="20"/>
          <w:color w:val="auto"/>
        </w:rPr>
      </w:pPr>
    </w:p>
    <w:p>
      <w:pPr>
        <w:ind w:right="19" w:firstLine="648"/>
        <w:spacing w:after="0" w:line="254" w:lineRule="auto"/>
        <w:rPr>
          <w:sz w:val="20"/>
          <w:szCs w:val="20"/>
          <w:color w:val="auto"/>
        </w:rPr>
      </w:pPr>
      <w:r>
        <w:rPr>
          <w:rFonts w:ascii="Times New Roman" w:cs="Times New Roman" w:eastAsia="Times New Roman" w:hAnsi="Times New Roman"/>
          <w:sz w:val="18"/>
          <w:szCs w:val="18"/>
          <w:color w:val="auto"/>
        </w:rPr>
        <w:t>As of October 24, 2019, our directors, executive officers and holders of more than 5% of our common stock, together with their respective affiliates, beneficially owned, in the aggregate, approximately 35.8% of our outstanding common stock. This significant concentration of ownership may adversely affect the trading price for our common stock because investors often perceive disadvantages in owning stock in companies with controlling stockholders. In addition, these stockholders will be able to exercise influence over all matters requiring stockholder approval, including the election of directors and approval of corporate transactions, such as a merger or other sale of our company or its assets. This concentration of ownership could limit the ability of our other stockholders to influence corporate matters and may have the effect of delaying or preventing a change in control, including a merger, consolidation, or other business combination involving us, or discouraging a potential acquirer from making a tender offer or otherwise attempting to obtain control, even if that change in control would benefit our other stockholders.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subject to wide fluctuations.</w:t>
      </w:r>
    </w:p>
    <w:p>
      <w:pPr>
        <w:spacing w:after="0" w:line="229" w:lineRule="exact"/>
        <w:rPr>
          <w:sz w:val="20"/>
          <w:szCs w:val="20"/>
          <w:color w:val="auto"/>
        </w:rPr>
      </w:pPr>
    </w:p>
    <w:p>
      <w:pPr>
        <w:ind w:right="59" w:firstLine="648"/>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could be subject to wide fluctuations in response to various factors, some of which are beyond our control. These factors include those discussed in this “Risk Factors” section of this Quarterly Report on Form 10-Q and others such as:</w:t>
      </w:r>
    </w:p>
    <w:p>
      <w:pPr>
        <w:spacing w:after="0" w:line="176" w:lineRule="exact"/>
        <w:rPr>
          <w:sz w:val="20"/>
          <w:szCs w:val="20"/>
          <w:color w:val="auto"/>
        </w:rPr>
      </w:pPr>
    </w:p>
    <w:p>
      <w:pPr>
        <w:ind w:left="1340" w:hanging="331"/>
        <w:spacing w:after="0"/>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and the operating performance of similar companies;</w:t>
      </w:r>
    </w:p>
    <w:p>
      <w:pPr>
        <w:spacing w:after="0" w:line="225" w:lineRule="exact"/>
        <w:rPr>
          <w:rFonts w:ascii="Times New Roman" w:cs="Times New Roman" w:eastAsia="Times New Roman" w:hAnsi="Times New Roman"/>
          <w:sz w:val="18"/>
          <w:szCs w:val="18"/>
          <w:color w:val="auto"/>
        </w:rPr>
      </w:pPr>
    </w:p>
    <w:p>
      <w:pPr>
        <w:ind w:left="1340" w:hanging="331"/>
        <w:spacing w:after="0"/>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business plans or commercial relationships;</w:t>
      </w:r>
    </w:p>
    <w:p>
      <w:pPr>
        <w:spacing w:after="0" w:line="225" w:lineRule="exact"/>
        <w:rPr>
          <w:rFonts w:ascii="Times New Roman" w:cs="Times New Roman" w:eastAsia="Times New Roman" w:hAnsi="Times New Roman"/>
          <w:sz w:val="18"/>
          <w:szCs w:val="18"/>
          <w:color w:val="auto"/>
        </w:rPr>
      </w:pPr>
    </w:p>
    <w:p>
      <w:pPr>
        <w:ind w:left="1340" w:hanging="331"/>
        <w:spacing w:after="0"/>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senior management;</w:t>
      </w:r>
    </w:p>
    <w:p>
      <w:pPr>
        <w:spacing w:after="0" w:line="225" w:lineRule="exact"/>
        <w:rPr>
          <w:rFonts w:ascii="Times New Roman" w:cs="Times New Roman" w:eastAsia="Times New Roman" w:hAnsi="Times New Roman"/>
          <w:sz w:val="18"/>
          <w:szCs w:val="18"/>
          <w:color w:val="auto"/>
        </w:rPr>
      </w:pPr>
    </w:p>
    <w:p>
      <w:pPr>
        <w:ind w:left="1340" w:right="299" w:hanging="331"/>
        <w:spacing w:after="0" w:line="282" w:lineRule="auto"/>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news stories about us, our competitors, or our industry, or positive or negative recommendations or withdrawal of research coverage by securities analysts;</w:t>
      </w:r>
    </w:p>
    <w:p>
      <w:pPr>
        <w:sectPr>
          <w:pgSz w:w="11900" w:h="16838" w:orient="portrait"/>
          <w:cols w:equalWidth="0" w:num="1">
            <w:col w:w="9039"/>
          </w:cols>
          <w:pgMar w:left="1420" w:top="513" w:right="1440" w:bottom="1440" w:gutter="0" w:footer="0" w:header="0"/>
        </w:sectPr>
      </w:pP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3" w:right="1440"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hanging="331"/>
        <w:spacing w:after="0"/>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225" w:lineRule="exact"/>
        <w:rPr>
          <w:rFonts w:ascii="Times New Roman" w:cs="Times New Roman" w:eastAsia="Times New Roman" w:hAnsi="Times New Roman"/>
          <w:sz w:val="18"/>
          <w:szCs w:val="18"/>
          <w:color w:val="auto"/>
        </w:rPr>
      </w:pPr>
    </w:p>
    <w:p>
      <w:pPr>
        <w:ind w:left="1340" w:hanging="331"/>
        <w:spacing w:after="0"/>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our directors, executive officers and affiliates;</w:t>
      </w:r>
    </w:p>
    <w:p>
      <w:pPr>
        <w:spacing w:after="0" w:line="225" w:lineRule="exact"/>
        <w:rPr>
          <w:rFonts w:ascii="Times New Roman" w:cs="Times New Roman" w:eastAsia="Times New Roman" w:hAnsi="Times New Roman"/>
          <w:sz w:val="18"/>
          <w:szCs w:val="18"/>
          <w:color w:val="auto"/>
        </w:rPr>
      </w:pPr>
    </w:p>
    <w:p>
      <w:pPr>
        <w:ind w:left="1340" w:hanging="331"/>
        <w:spacing w:after="0"/>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indebtedness we may incur or securities we may issue in the future;</w:t>
      </w:r>
    </w:p>
    <w:p>
      <w:pPr>
        <w:spacing w:after="0" w:line="225" w:lineRule="exact"/>
        <w:rPr>
          <w:rFonts w:ascii="Times New Roman" w:cs="Times New Roman" w:eastAsia="Times New Roman" w:hAnsi="Times New Roman"/>
          <w:sz w:val="18"/>
          <w:szCs w:val="18"/>
          <w:color w:val="auto"/>
        </w:rPr>
      </w:pPr>
    </w:p>
    <w:p>
      <w:pPr>
        <w:ind w:left="1340" w:hanging="331"/>
        <w:spacing w:after="0"/>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 our common stock;</w:t>
      </w:r>
    </w:p>
    <w:p>
      <w:pPr>
        <w:spacing w:after="0" w:line="225" w:lineRule="exact"/>
        <w:rPr>
          <w:rFonts w:ascii="Times New Roman" w:cs="Times New Roman" w:eastAsia="Times New Roman" w:hAnsi="Times New Roman"/>
          <w:sz w:val="18"/>
          <w:szCs w:val="18"/>
          <w:color w:val="auto"/>
        </w:rPr>
      </w:pPr>
    </w:p>
    <w:p>
      <w:pPr>
        <w:ind w:left="1340" w:hanging="331"/>
        <w:spacing w:after="0"/>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w:t>
      </w:r>
    </w:p>
    <w:p>
      <w:pPr>
        <w:spacing w:after="0" w:line="225" w:lineRule="exact"/>
        <w:rPr>
          <w:rFonts w:ascii="Times New Roman" w:cs="Times New Roman" w:eastAsia="Times New Roman" w:hAnsi="Times New Roman"/>
          <w:sz w:val="18"/>
          <w:szCs w:val="18"/>
          <w:color w:val="auto"/>
        </w:rPr>
      </w:pPr>
    </w:p>
    <w:p>
      <w:pPr>
        <w:ind w:left="1340" w:right="60" w:hanging="331"/>
        <w:spacing w:after="0" w:line="266" w:lineRule="auto"/>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changes in general conditions in the United States and global economies or financial markets (including acts of God, war, incidents of terrorism, or other destabilizing events and the resulting responses to them).</w:t>
      </w:r>
    </w:p>
    <w:p>
      <w:pPr>
        <w:spacing w:after="0" w:line="176" w:lineRule="exact"/>
        <w:rPr>
          <w:sz w:val="20"/>
          <w:szCs w:val="20"/>
          <w:color w:val="auto"/>
        </w:rPr>
      </w:pPr>
    </w:p>
    <w:p>
      <w:pPr>
        <w:ind w:right="420" w:firstLine="648"/>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Internet-related companies in particular, have experienced extreme price and volume fluctuations that have often been unrelated or disproportionate to the operating performance of those companies. 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5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have not declared or paid dividends on our common stock in the past three fiscal years and do not currently intend to do so for the foreseeable future. We currently intend to invest our future earnings to fund our growth and other corporate initiatives.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by existing stockholders could depress the market price of our common stock.</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As of October 24, 2019, we had an aggregate of 53,512,911 outstanding shares of common stock. The 17,362,750 shares sold in our initial public offering, follow-on offering and secondary offering can be freely sold in the public market without restriction. The remaining shares can be freely sold in the public market, subject in some cases to volume and other restrictions under Rule 144 and 701 under the Securities Act of 1933, as amended, and various agreements.</w:t>
      </w:r>
    </w:p>
    <w:p>
      <w:pPr>
        <w:spacing w:after="0" w:line="180"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addition, we have registered 17,853,893 shares of common stock that we have issued and may issue under our equity plans. These shares can be freely sold in the public market upon issuance, subject in some cases to volume and other restrictions under Rules 144 and 701 under the Securities Act, and various vesting agreements. In addition, some of our employees, including some of our executive officers, have entered into 10b5-1 trading plans regarding sales of shares of our common stock. These plans provide for sales to occur from time to time. If any of these additional shares are sold, or if it is perceived that they will be sold, in the public market, the trading price of our common stock could decline.</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Also, in the future, we may issue additional securities in connection with investments and acquisitions. The amount of our common stock issued in connection with an investment or acquisition could constitute a material portion of our then outstanding stock. Due to these factors,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internal controls over financial reporting, investors may lose confidence in the accuracy and completeness of our financial reports and the market price of our common stock may be negatively affected.</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provide a management report on the internal controls over financial reporting. In addition, the Sarbanes-Oxley Act requires that our management report on the internal controls over financial reporting be attested to by our independent registered public accounting firm. If we have a material weakness in our internal controls over financial reporting, we may not detect errors on a timely basis and our financial statements may be materially misstated. Compliance with these public company requirements has made some activities more time-consuming, costly and complicated. If we identify material weaknesses in our internal controls over financial reporting,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19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significantly increased costs and devote substantial management time as a result of operating as a public company.</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For example, we are subject to the reporting requirements of the Securities Exchange Act of 1934, as amended, or the Exchange Act, and are required to comply with the applicable requirements of the Sarbanes-Oxley Act and the Dodd-Frank Wall Street Reform and Consumer Protection Act, as well as rules and regulations subsequently implemented by the SEC and the NASDAQ Global Select Market including the establishment and maintenance of effective disclosure and financial controls and changes in corporate governance practices. Compliance with these requirements has increased our legal and financial compliance costs and has made some activities more time consuming and costly. In addition, our management and other personnel have been required to divert attention from operational and other business matters to devote substantial time to these public company requirements. In particular, we have incurred and will continue to incur significant expenses as well as devote substantial management effort toward ensuring ongoing compliance with the requirements of Section 404 of the Sarbanes-Oxley Act. Although we have hired additional employees to comply with these requirements, we may need to hire additional accounting and financial staff with appropriate public company experience and technical accounting knowledge to comply with any regulatory changes.</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publish unfavorable or misleading research about our business, our stock price and trading volume could decline.</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unfavorable or misleading research about our business, our stock price would likely decline. If one or more of these analysts ceases coverage of our company or fails to publish reports on us regularly, we could lose visibility in the market for our stock and demand for our stock could decrease, which could cause our stock price or trading volume to decline.</w:t>
      </w:r>
    </w:p>
    <w:p>
      <w:pPr>
        <w:spacing w:after="0" w:line="18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5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 stockholder becomes an interested stockholder, even if a change in control would be beneficial to our existing stockholders. In addition, our amended and restated certificate of incorporation and amended and restated bylaws may discourage, delay or prevent a change in our</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management or control over us that stockholders may consider favorable. Our amended and restated certificate of incorporation and bylaws:</w:t>
      </w:r>
    </w:p>
    <w:p>
      <w:pPr>
        <w:spacing w:after="0" w:line="27" w:lineRule="exact"/>
        <w:rPr>
          <w:sz w:val="20"/>
          <w:szCs w:val="20"/>
          <w:color w:val="auto"/>
        </w:rPr>
      </w:pPr>
    </w:p>
    <w:p>
      <w:pPr>
        <w:ind w:left="1340" w:right="220" w:hanging="331"/>
        <w:spacing w:after="0" w:line="282" w:lineRule="auto"/>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convertible preferred stock that could be issued by our board of directors to thwart a takeover attempt;</w:t>
      </w:r>
    </w:p>
    <w:p>
      <w:pPr>
        <w:spacing w:after="0" w:line="26" w:lineRule="exact"/>
        <w:rPr>
          <w:rFonts w:ascii="Times New Roman" w:cs="Times New Roman" w:eastAsia="Times New Roman" w:hAnsi="Times New Roman"/>
          <w:sz w:val="18"/>
          <w:szCs w:val="18"/>
          <w:color w:val="auto"/>
        </w:rPr>
      </w:pPr>
    </w:p>
    <w:p>
      <w:pPr>
        <w:ind w:left="1340" w:right="260" w:hanging="331"/>
        <w:spacing w:after="0" w:line="266" w:lineRule="auto"/>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41" w:lineRule="exact"/>
        <w:rPr>
          <w:rFonts w:ascii="Times New Roman" w:cs="Times New Roman" w:eastAsia="Times New Roman" w:hAnsi="Times New Roman"/>
          <w:sz w:val="18"/>
          <w:szCs w:val="18"/>
          <w:color w:val="auto"/>
        </w:rPr>
      </w:pPr>
    </w:p>
    <w:p>
      <w:pPr>
        <w:ind w:left="1340" w:right="220" w:hanging="331"/>
        <w:spacing w:after="0" w:line="282" w:lineRule="auto"/>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directors only be removed from office for cause and only upon a supermajority stockholder vote;</w:t>
      </w:r>
    </w:p>
    <w:p>
      <w:pPr>
        <w:spacing w:after="0" w:line="26" w:lineRule="exact"/>
        <w:rPr>
          <w:rFonts w:ascii="Times New Roman" w:cs="Times New Roman" w:eastAsia="Times New Roman" w:hAnsi="Times New Roman"/>
          <w:sz w:val="18"/>
          <w:szCs w:val="18"/>
          <w:color w:val="auto"/>
        </w:rPr>
      </w:pPr>
    </w:p>
    <w:p>
      <w:pPr>
        <w:ind w:left="1340" w:right="80" w:hanging="331"/>
        <w:spacing w:after="0" w:line="282" w:lineRule="auto"/>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of directors, including newly-created directorships, may be filled only by a majority vote of directors then in office rather than by stockholders;</w:t>
      </w:r>
    </w:p>
    <w:p>
      <w:pPr>
        <w:spacing w:after="0" w:line="26" w:lineRule="exact"/>
        <w:rPr>
          <w:rFonts w:ascii="Times New Roman" w:cs="Times New Roman" w:eastAsia="Times New Roman" w:hAnsi="Times New Roman"/>
          <w:sz w:val="18"/>
          <w:szCs w:val="18"/>
          <w:color w:val="auto"/>
        </w:rPr>
      </w:pPr>
    </w:p>
    <w:p>
      <w:pPr>
        <w:ind w:left="1340" w:hanging="331"/>
        <w:spacing w:after="0"/>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stockholders from calling special meetings; and</w:t>
      </w:r>
    </w:p>
    <w:p>
      <w:pPr>
        <w:spacing w:after="0" w:line="90" w:lineRule="exact"/>
        <w:rPr>
          <w:rFonts w:ascii="Times New Roman" w:cs="Times New Roman" w:eastAsia="Times New Roman" w:hAnsi="Times New Roman"/>
          <w:sz w:val="18"/>
          <w:szCs w:val="18"/>
          <w:color w:val="auto"/>
        </w:rPr>
      </w:pPr>
    </w:p>
    <w:p>
      <w:pPr>
        <w:ind w:left="1340" w:right="660" w:hanging="331"/>
        <w:spacing w:after="0" w:line="282" w:lineRule="auto"/>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requiring all actions to be taken at a meeting of the stockholders.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state and federal courts located within the state of Delaware are the sole and exclusive forums for certain legal actions involving the company or our directors, officers and employees.</w:t>
      </w:r>
    </w:p>
    <w:p>
      <w:pPr>
        <w:spacing w:after="0" w:line="15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On February 2, 2016, we amended our bylaws to designate the state and federal courts located within the state of Delaware as the sole and exclusive forums for claims arising derivatively, pursuant to the Delaware General Corporation Law or governed by the internal affairs doctrine. The choice of forum provision is expressly authorized by the Delaware General Corporation Law, which was amended so that companies would not have to litigate internal claims in more than one jurisdiction. If a court were to find the exclusive forum provision contained in our bylaws to be inapplicable or unenforceable, we may incur additional costs associated with resolving such extra-forum claims, which could adversely affect our business and financial condition. This bylaws provision, therefore, may dissuade or discourage claimants from initiating lawsuits or claims against us or our directors and officers in forums other than Delaware.</w:t>
      </w:r>
    </w:p>
    <w:p>
      <w:pPr>
        <w:spacing w:after="0" w:line="19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Sales of Unregistered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 Use of Proceeds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March 24, 2014, we completed our initial public offering or IPO, of 8,101,750 shares of common stock, at a price of $17.00 per share, before underwriting discounts and commissions. The offer and sale of all of the shares in the IPO were registered under the Securities Act pursuant to a registration statement on Form S-1 (File No. 333-193661), which was declared effective by the SEC on March 18, 2014. 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December 17, 2014, we completed a follow-on offering of 4,960,000 shares of common stock at a price of $26.25 per share, before underwriting discounts and commissions.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as described in the final prospectus filed with the SEC pursuant to Rule 424(b) on December 12, 2014.</w:t>
      </w:r>
    </w:p>
    <w:p>
      <w:pPr>
        <w:spacing w:after="0" w:line="188"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On September 30, 2015, we completed a secondary offering of 4,301,000 shares of common stock at a price of $29.75 per share, before underwriting discounts and commissions. The offer and sale of all of the shares in the secondary</w:t>
      </w: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59"/>
        <w:spacing w:after="0" w:line="266" w:lineRule="auto"/>
        <w:rPr>
          <w:sz w:val="20"/>
          <w:szCs w:val="20"/>
          <w:color w:val="auto"/>
        </w:rPr>
      </w:pPr>
      <w:r>
        <w:rPr>
          <w:rFonts w:ascii="Times New Roman" w:cs="Times New Roman" w:eastAsia="Times New Roman" w:hAnsi="Times New Roman"/>
          <w:sz w:val="18"/>
          <w:szCs w:val="18"/>
          <w:color w:val="auto"/>
        </w:rPr>
        <w:t>offering were registered under the Securities Act pursuant to a registration statement on Form S-3 (File No. 333-206941) which was declared effective by the SEC on September 25, 2015. The Company did not receive any proceeds from the sale of common stock, as all the shares were sold by shareholders of the Company.</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information required by this Item is set forth in the Index to Exhibits immediately following this page.</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13" w:right="1440"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40" w:type="dxa"/>
            <w:vAlign w:val="bottom"/>
            <w:gridSpan w:val="12"/>
          </w:tcPr>
          <w:p>
            <w:pPr>
              <w:ind w:left="2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14"/>
        </w:trPr>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Nos.</w:t>
            </w:r>
          </w:p>
        </w:tc>
        <w:tc>
          <w:tcPr>
            <w:tcW w:w="2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gridSpan w:val="12"/>
          </w:tcPr>
          <w:p>
            <w:pPr>
              <w:ind w:left="11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31"/>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4"/>
                <w:szCs w:val="24"/>
                <w:color w:val="auto"/>
              </w:rPr>
            </w:pPr>
          </w:p>
        </w:tc>
        <w:tc>
          <w:tcPr>
            <w:tcW w:w="7880" w:type="dxa"/>
            <w:vAlign w:val="bottom"/>
            <w:tcBorders>
              <w:top w:val="single" w:sz="8" w:color="auto"/>
            </w:tcBorders>
            <w:gridSpan w:val="14"/>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First Amended and Restated Certificate of Incorporation (filed as Exhibit 3.2 of Paylocity Holding</w:t>
              </w:r>
            </w:hyperlink>
          </w:p>
        </w:tc>
      </w:tr>
      <w:tr>
        <w:trPr>
          <w:trHeight w:val="223"/>
        </w:trPr>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10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Corporation’s Form S-1 Registration Statement (Registration No. 333-193661)).</w:t>
              </w:r>
            </w:hyperlink>
          </w:p>
        </w:tc>
        <w:tc>
          <w:tcPr>
            <w:tcW w:w="780" w:type="dxa"/>
            <w:vAlign w:val="bottom"/>
            <w:gridSpan w:val="8"/>
          </w:tcPr>
          <w:p>
            <w:pPr>
              <w:spacing w:after="0"/>
              <w:rPr>
                <w:sz w:val="19"/>
                <w:szCs w:val="19"/>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24"/>
                <w:szCs w:val="24"/>
                <w:color w:val="auto"/>
              </w:rPr>
            </w:pPr>
          </w:p>
        </w:tc>
        <w:tc>
          <w:tcPr>
            <w:tcW w:w="77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Amended and Restated Bylaws of Paylocity Holding Corporation (filed as Exhibit 3.2 of Paylocity Holding</w:t>
              </w:r>
            </w:hyperlink>
          </w:p>
        </w:tc>
        <w:tc>
          <w:tcPr>
            <w:tcW w:w="120" w:type="dxa"/>
            <w:vAlign w:val="bottom"/>
            <w:gridSpan w:val="2"/>
          </w:tcPr>
          <w:p>
            <w:pPr>
              <w:spacing w:after="0"/>
              <w:rPr>
                <w:sz w:val="24"/>
                <w:szCs w:val="24"/>
                <w:color w:val="auto"/>
              </w:rPr>
            </w:pPr>
          </w:p>
        </w:tc>
      </w:tr>
      <w:tr>
        <w:trPr>
          <w:trHeight w:val="223"/>
        </w:trPr>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80" w:type="dxa"/>
            <w:vAlign w:val="bottom"/>
            <w:gridSpan w:val="14"/>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Corporation’s Annual Report on Form 10-K for the year ended June 30, 2017 (File No. 001-36348)).</w:t>
              </w:r>
            </w:hyperlink>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24"/>
                <w:szCs w:val="24"/>
                <w:color w:val="auto"/>
              </w:rPr>
            </w:pPr>
          </w:p>
        </w:tc>
        <w:tc>
          <w:tcPr>
            <w:tcW w:w="76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Credit Agreement, dated as of July 17, 2019, by and among Paylocity Holding Corporation, the Guarantor</w:t>
              </w:r>
            </w:hyperlink>
          </w:p>
        </w:tc>
        <w:tc>
          <w:tcPr>
            <w:tcW w:w="220" w:type="dxa"/>
            <w:vAlign w:val="bottom"/>
            <w:gridSpan w:val="3"/>
          </w:tcPr>
          <w:p>
            <w:pPr>
              <w:spacing w:after="0"/>
              <w:rPr>
                <w:sz w:val="24"/>
                <w:szCs w:val="24"/>
                <w:color w:val="auto"/>
              </w:rPr>
            </w:pPr>
          </w:p>
        </w:tc>
      </w:tr>
      <w:tr>
        <w:trPr>
          <w:trHeight w:val="223"/>
        </w:trPr>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party thereto, the Lenders party thereto, PNC Bank, National Association, as Administrative Agent, and PNC</w:t>
              </w:r>
            </w:hyperlink>
          </w:p>
        </w:tc>
      </w:tr>
      <w:tr>
        <w:trPr>
          <w:trHeight w:val="223"/>
        </w:trPr>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80" w:type="dxa"/>
            <w:vAlign w:val="bottom"/>
            <w:gridSpan w:val="14"/>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Capital Markets, LLC, as sole lead arranger and sole bookrunner (filed as Exhibit 10.1 of Paylocity Holding</w:t>
              </w:r>
            </w:hyperlink>
          </w:p>
        </w:tc>
      </w:tr>
      <w:tr>
        <w:trPr>
          <w:trHeight w:val="223"/>
        </w:trPr>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78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Corporation’s Form 8-K Current Report (File No. 001-36438)).</w:t>
              </w:r>
            </w:hyperlink>
          </w:p>
        </w:tc>
        <w:tc>
          <w:tcPr>
            <w:tcW w:w="100" w:type="dxa"/>
            <w:vAlign w:val="bottom"/>
          </w:tcPr>
          <w:p>
            <w:pPr>
              <w:spacing w:after="0"/>
              <w:rPr>
                <w:sz w:val="19"/>
                <w:szCs w:val="19"/>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46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24"/>
                <w:szCs w:val="24"/>
                <w:color w:val="auto"/>
              </w:rPr>
            </w:pPr>
          </w:p>
        </w:tc>
        <w:tc>
          <w:tcPr>
            <w:tcW w:w="7880" w:type="dxa"/>
            <w:vAlign w:val="bottom"/>
            <w:gridSpan w:val="14"/>
          </w:tcPr>
          <w:p>
            <w:pPr>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Certification of Chief Executive Officer pursuant to Securities Exchange Act Rules 13a-4 and 15d-14 as</w:t>
              </w:r>
            </w:hyperlink>
          </w:p>
        </w:tc>
      </w:tr>
      <w:tr>
        <w:trPr>
          <w:trHeight w:val="223"/>
        </w:trPr>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50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adopted pursuant to Section 302 of the Sarbanes-Oxley Act of 2002.</w:t>
              </w:r>
            </w:hyperlink>
          </w:p>
        </w:tc>
        <w:tc>
          <w:tcPr>
            <w:tcW w:w="380" w:type="dxa"/>
            <w:vAlign w:val="bottom"/>
            <w:gridSpan w:val="4"/>
          </w:tcPr>
          <w:p>
            <w:pPr>
              <w:spacing w:after="0"/>
              <w:rPr>
                <w:sz w:val="19"/>
                <w:szCs w:val="19"/>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r>
      <w:tr>
        <w:trPr>
          <w:trHeight w:val="46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24"/>
                <w:szCs w:val="24"/>
                <w:color w:val="auto"/>
              </w:rPr>
            </w:pPr>
          </w:p>
        </w:tc>
        <w:tc>
          <w:tcPr>
            <w:tcW w:w="74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Certification of Chief Financial Officer pursuant to Securities Exchange Act Rules 13a-4 and 15d-14 as</w:t>
              </w:r>
            </w:hyperlink>
          </w:p>
        </w:tc>
        <w:tc>
          <w:tcPr>
            <w:tcW w:w="420" w:type="dxa"/>
            <w:vAlign w:val="bottom"/>
            <w:gridSpan w:val="6"/>
          </w:tcPr>
          <w:p>
            <w:pPr>
              <w:spacing w:after="0"/>
              <w:rPr>
                <w:sz w:val="24"/>
                <w:szCs w:val="24"/>
                <w:color w:val="auto"/>
              </w:rPr>
            </w:pPr>
          </w:p>
        </w:tc>
      </w:tr>
      <w:tr>
        <w:trPr>
          <w:trHeight w:val="223"/>
        </w:trPr>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80" w:type="dxa"/>
            <w:vAlign w:val="bottom"/>
            <w:gridSpan w:val="14"/>
          </w:tcPr>
          <w:p>
            <w:pPr>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adopted pursuant to Section 302 of the Sarbanes-Oxley Act of 2002.</w:t>
              </w:r>
            </w:hyperlink>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r>
      <w:tr>
        <w:trPr>
          <w:trHeight w:val="46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24"/>
                <w:szCs w:val="24"/>
                <w:color w:val="auto"/>
              </w:rPr>
            </w:pPr>
          </w:p>
        </w:tc>
        <w:tc>
          <w:tcPr>
            <w:tcW w:w="7880" w:type="dxa"/>
            <w:vAlign w:val="bottom"/>
            <w:gridSpan w:val="14"/>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Certification pursuant to 18 U.S.C. 1350, adopted pursuant to Section 906 of the Sarbanes-Oxley Act of</w:t>
              </w:r>
            </w:hyperlink>
          </w:p>
        </w:tc>
      </w:tr>
      <w:tr>
        <w:trPr>
          <w:trHeight w:val="223"/>
        </w:trPr>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60">
              <w:r>
                <w:rPr>
                  <w:rFonts w:ascii="Times New Roman" w:cs="Times New Roman" w:eastAsia="Times New Roman" w:hAnsi="Times New Roman"/>
                  <w:sz w:val="18"/>
                  <w:szCs w:val="18"/>
                  <w:color w:val="0000EE"/>
                  <w:w w:val="98"/>
                </w:rPr>
                <w:t>2002, by Chief Executive Officer.</w:t>
              </w:r>
            </w:hyperlink>
          </w:p>
        </w:tc>
        <w:tc>
          <w:tcPr>
            <w:tcW w:w="5040" w:type="dxa"/>
            <w:vAlign w:val="bottom"/>
            <w:tcBorders>
              <w:top w:val="single" w:sz="8" w:color="0000EE"/>
            </w:tcBorders>
            <w:gridSpan w:val="7"/>
          </w:tcPr>
          <w:p>
            <w:pPr>
              <w:spacing w:after="0"/>
              <w:rPr>
                <w:sz w:val="19"/>
                <w:szCs w:val="19"/>
                <w:color w:val="auto"/>
              </w:rPr>
            </w:pPr>
          </w:p>
        </w:tc>
        <w:tc>
          <w:tcPr>
            <w:tcW w:w="400" w:type="dxa"/>
            <w:vAlign w:val="bottom"/>
            <w:gridSpan w:val="5"/>
          </w:tcPr>
          <w:p>
            <w:pPr>
              <w:spacing w:after="0"/>
              <w:rPr>
                <w:sz w:val="19"/>
                <w:szCs w:val="19"/>
                <w:color w:val="auto"/>
              </w:rPr>
            </w:pPr>
          </w:p>
        </w:tc>
      </w:tr>
      <w:tr>
        <w:trPr>
          <w:trHeight w:val="46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80" w:type="dxa"/>
            <w:vAlign w:val="bottom"/>
          </w:tcPr>
          <w:p>
            <w:pPr>
              <w:spacing w:after="0"/>
              <w:rPr>
                <w:sz w:val="24"/>
                <w:szCs w:val="24"/>
                <w:color w:val="auto"/>
              </w:rPr>
            </w:pPr>
          </w:p>
        </w:tc>
        <w:tc>
          <w:tcPr>
            <w:tcW w:w="7880" w:type="dxa"/>
            <w:vAlign w:val="bottom"/>
            <w:gridSpan w:val="14"/>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Certification pursuant to 18 U.S.C. 1350, adopted pursuant to Section 906 of the Sarbanes-Oxley Act of</w:t>
              </w:r>
            </w:hyperlink>
          </w:p>
        </w:tc>
      </w:tr>
      <w:tr>
        <w:trPr>
          <w:trHeight w:val="223"/>
        </w:trPr>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9"/>
              </w:rPr>
            </w:pPr>
            <w:hyperlink w:anchor="page61">
              <w:r>
                <w:rPr>
                  <w:rFonts w:ascii="Times New Roman" w:cs="Times New Roman" w:eastAsia="Times New Roman" w:hAnsi="Times New Roman"/>
                  <w:sz w:val="18"/>
                  <w:szCs w:val="18"/>
                  <w:color w:val="0000EE"/>
                  <w:w w:val="99"/>
                </w:rPr>
                <w:t>2002, by Chief Financial Officer.</w:t>
              </w:r>
            </w:hyperlink>
          </w:p>
        </w:tc>
        <w:tc>
          <w:tcPr>
            <w:tcW w:w="5080" w:type="dxa"/>
            <w:vAlign w:val="bottom"/>
            <w:tcBorders>
              <w:top w:val="single" w:sz="8" w:color="0000EE"/>
            </w:tcBorders>
            <w:gridSpan w:val="8"/>
          </w:tcPr>
          <w:p>
            <w:pPr>
              <w:spacing w:after="0"/>
              <w:rPr>
                <w:sz w:val="19"/>
                <w:szCs w:val="19"/>
                <w:color w:val="auto"/>
              </w:rPr>
            </w:pPr>
          </w:p>
        </w:tc>
        <w:tc>
          <w:tcPr>
            <w:tcW w:w="400" w:type="dxa"/>
            <w:vAlign w:val="bottom"/>
            <w:gridSpan w:val="5"/>
          </w:tcPr>
          <w:p>
            <w:pPr>
              <w:spacing w:after="0"/>
              <w:rPr>
                <w:sz w:val="19"/>
                <w:szCs w:val="19"/>
                <w:color w:val="auto"/>
              </w:rPr>
            </w:pPr>
          </w:p>
        </w:tc>
      </w:tr>
      <w:tr>
        <w:trPr>
          <w:trHeight w:val="507"/>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7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w:t>
            </w:r>
          </w:p>
        </w:tc>
      </w:tr>
      <w:tr>
        <w:trPr>
          <w:trHeight w:val="243"/>
        </w:trPr>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486"/>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7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86"/>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7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86"/>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7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86"/>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7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86"/>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7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48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7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14408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91" w:lineRule="exact"/>
        <w:rPr>
          <w:sz w:val="20"/>
          <w:szCs w:val="20"/>
          <w:color w:val="auto"/>
        </w:rPr>
      </w:pPr>
    </w:p>
    <w:p>
      <w:pPr>
        <w:ind w:left="280" w:hanging="272"/>
        <w:spacing w:after="0"/>
        <w:tabs>
          <w:tab w:leader="none" w:pos="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280" w:hanging="271"/>
        <w:spacing w:after="0"/>
        <w:tabs>
          <w:tab w:leader="none" w:pos="2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820" w:type="dxa"/>
            <w:vAlign w:val="bottom"/>
            <w:gridSpan w:val="3"/>
          </w:tcPr>
          <w:p>
            <w:pPr>
              <w:ind w:left="2120"/>
              <w:spacing w:after="0"/>
              <w:rPr>
                <w:sz w:val="20"/>
                <w:szCs w:val="20"/>
                <w:color w:val="auto"/>
              </w:rPr>
            </w:pPr>
            <w:r>
              <w:rPr>
                <w:rFonts w:ascii="Times New Roman" w:cs="Times New Roman" w:eastAsia="Times New Roman" w:hAnsi="Times New Roman"/>
                <w:sz w:val="18"/>
                <w:szCs w:val="18"/>
                <w:color w:val="auto"/>
              </w:rPr>
              <w:t>PAYLOCITY HOLDING CORPORATION</w:t>
            </w:r>
          </w:p>
        </w:tc>
      </w:tr>
      <w:tr>
        <w:trPr>
          <w:trHeight w:val="439"/>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2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October 31, 2019</w:t>
            </w:r>
          </w:p>
        </w:tc>
        <w:tc>
          <w:tcPr>
            <w:tcW w:w="27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31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Steven R. Beauchamp</w:t>
            </w:r>
          </w:p>
        </w:tc>
      </w:tr>
      <w:tr>
        <w:trPr>
          <w:trHeight w:val="194"/>
        </w:trPr>
        <w:tc>
          <w:tcPr>
            <w:tcW w:w="6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720" w:type="dxa"/>
            <w:vAlign w:val="bottom"/>
          </w:tcPr>
          <w:p>
            <w:pPr>
              <w:ind w:left="2120"/>
              <w:spacing w:after="0" w:line="194" w:lineRule="exact"/>
              <w:rPr>
                <w:sz w:val="20"/>
                <w:szCs w:val="20"/>
                <w:color w:val="auto"/>
              </w:rPr>
            </w:pPr>
            <w:r>
              <w:rPr>
                <w:rFonts w:ascii="Times New Roman" w:cs="Times New Roman" w:eastAsia="Times New Roman" w:hAnsi="Times New Roman"/>
                <w:sz w:val="18"/>
                <w:szCs w:val="18"/>
                <w:b w:val="1"/>
                <w:bCs w:val="1"/>
                <w:color w:val="auto"/>
              </w:rPr>
              <w:t>Name:</w:t>
            </w:r>
          </w:p>
        </w:tc>
        <w:tc>
          <w:tcPr>
            <w:tcW w:w="30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Steven R. Beauchamp</w:t>
            </w:r>
          </w:p>
        </w:tc>
        <w:tc>
          <w:tcPr>
            <w:tcW w:w="2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72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1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Chief Executive Officer (Principal</w:t>
            </w:r>
          </w:p>
        </w:tc>
      </w:tr>
      <w:tr>
        <w:trPr>
          <w:trHeight w:val="238"/>
        </w:trPr>
        <w:tc>
          <w:tcPr>
            <w:tcW w:w="6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1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Executive Officer) and Director</w:t>
            </w:r>
          </w:p>
        </w:tc>
      </w:tr>
      <w:tr>
        <w:trPr>
          <w:trHeight w:val="655"/>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2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October 31, 2019</w:t>
            </w:r>
          </w:p>
        </w:tc>
        <w:tc>
          <w:tcPr>
            <w:tcW w:w="27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31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194"/>
        </w:trPr>
        <w:tc>
          <w:tcPr>
            <w:tcW w:w="6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720" w:type="dxa"/>
            <w:vAlign w:val="bottom"/>
          </w:tcPr>
          <w:p>
            <w:pPr>
              <w:ind w:left="2120"/>
              <w:spacing w:after="0" w:line="194" w:lineRule="exact"/>
              <w:rPr>
                <w:sz w:val="20"/>
                <w:szCs w:val="20"/>
                <w:color w:val="auto"/>
              </w:rPr>
            </w:pPr>
            <w:r>
              <w:rPr>
                <w:rFonts w:ascii="Times New Roman" w:cs="Times New Roman" w:eastAsia="Times New Roman" w:hAnsi="Times New Roman"/>
                <w:sz w:val="18"/>
                <w:szCs w:val="18"/>
                <w:b w:val="1"/>
                <w:bCs w:val="1"/>
                <w:color w:val="auto"/>
              </w:rPr>
              <w:t>Name:</w:t>
            </w:r>
          </w:p>
        </w:tc>
        <w:tc>
          <w:tcPr>
            <w:tcW w:w="30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Toby J. Williams</w:t>
            </w:r>
          </w:p>
        </w:tc>
        <w:tc>
          <w:tcPr>
            <w:tcW w:w="2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72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1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Chief Financial Officer (Principal</w:t>
            </w:r>
          </w:p>
        </w:tc>
      </w:tr>
      <w:tr>
        <w:trPr>
          <w:trHeight w:val="238"/>
        </w:trPr>
        <w:tc>
          <w:tcPr>
            <w:tcW w:w="6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1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Financial Officer)</w:t>
            </w:r>
          </w:p>
        </w:tc>
      </w:tr>
      <w:tr>
        <w:trPr>
          <w:trHeight w:val="918"/>
        </w:trPr>
        <w:tc>
          <w:tcPr>
            <w:tcW w:w="6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7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56</w:t>
            </w: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6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13" w:right="141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R. Beauchamp, certify that:</w:t>
      </w:r>
    </w:p>
    <w:p>
      <w:pPr>
        <w:spacing w:after="0" w:line="144" w:lineRule="exact"/>
        <w:rPr>
          <w:sz w:val="20"/>
          <w:szCs w:val="20"/>
          <w:color w:val="auto"/>
        </w:rPr>
      </w:pPr>
    </w:p>
    <w:p>
      <w:pPr>
        <w:ind w:left="1280" w:hanging="395"/>
        <w:spacing w:after="0"/>
        <w:tabs>
          <w:tab w:leader="none" w:pos="1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 (the “Company”);</w:t>
      </w:r>
    </w:p>
    <w:p>
      <w:pPr>
        <w:spacing w:after="0" w:line="144" w:lineRule="exact"/>
        <w:rPr>
          <w:rFonts w:ascii="Times New Roman" w:cs="Times New Roman" w:eastAsia="Times New Roman" w:hAnsi="Times New Roman"/>
          <w:sz w:val="18"/>
          <w:szCs w:val="18"/>
          <w:color w:val="auto"/>
        </w:rPr>
      </w:pPr>
    </w:p>
    <w:p>
      <w:pPr>
        <w:ind w:left="440" w:firstLine="445"/>
        <w:spacing w:after="0" w:line="226" w:lineRule="auto"/>
        <w:tabs>
          <w:tab w:leader="none" w:pos="128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440" w:right="40" w:firstLine="445"/>
        <w:spacing w:after="0" w:line="226" w:lineRule="auto"/>
        <w:tabs>
          <w:tab w:leader="none" w:pos="128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440" w:firstLine="445"/>
        <w:spacing w:after="0" w:line="226" w:lineRule="auto"/>
        <w:tabs>
          <w:tab w:leader="none" w:pos="128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ind w:left="880" w:right="60" w:firstLine="445"/>
        <w:spacing w:after="0" w:line="220" w:lineRule="auto"/>
        <w:tabs>
          <w:tab w:leader="none" w:pos="171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880" w:right="40" w:firstLine="445"/>
        <w:spacing w:after="0" w:line="220" w:lineRule="auto"/>
        <w:tabs>
          <w:tab w:leader="none" w:pos="172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ind w:left="880" w:firstLine="445"/>
        <w:spacing w:after="0" w:line="226" w:lineRule="auto"/>
        <w:tabs>
          <w:tab w:leader="none" w:pos="171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880" w:right="300" w:firstLine="445"/>
        <w:spacing w:after="0" w:line="226" w:lineRule="auto"/>
        <w:tabs>
          <w:tab w:leader="none" w:pos="172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quarter ended September 30, 2019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440" w:right="60" w:firstLine="445"/>
        <w:spacing w:after="0" w:line="226" w:lineRule="auto"/>
        <w:tabs>
          <w:tab w:leader="none" w:pos="128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880" w:right="100" w:firstLine="445"/>
        <w:spacing w:after="0" w:line="226" w:lineRule="auto"/>
        <w:tabs>
          <w:tab w:leader="none" w:pos="170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880" w:right="560" w:firstLine="445"/>
        <w:spacing w:after="0" w:line="237" w:lineRule="auto"/>
        <w:tabs>
          <w:tab w:leader="none" w:pos="171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31, 2019</w:t>
            </w:r>
          </w:p>
        </w:tc>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R. Beauchamp</w:t>
            </w:r>
          </w:p>
        </w:tc>
      </w:tr>
      <w:tr>
        <w:trPr>
          <w:trHeight w:val="147"/>
        </w:trPr>
        <w:tc>
          <w:tcPr>
            <w:tcW w:w="5180" w:type="dxa"/>
            <w:vAlign w:val="bottom"/>
          </w:tcPr>
          <w:p>
            <w:pPr>
              <w:ind w:left="4540"/>
              <w:spacing w:after="0" w:line="147" w:lineRule="exact"/>
              <w:rPr>
                <w:sz w:val="20"/>
                <w:szCs w:val="20"/>
                <w:color w:val="auto"/>
              </w:rPr>
            </w:pPr>
            <w:r>
              <w:rPr>
                <w:rFonts w:ascii="Times New Roman" w:cs="Times New Roman" w:eastAsia="Times New Roman" w:hAnsi="Times New Roman"/>
                <w:sz w:val="17"/>
                <w:szCs w:val="17"/>
                <w:b w:val="1"/>
                <w:bCs w:val="1"/>
                <w:color w:val="auto"/>
              </w:rPr>
              <w:t>Name:</w:t>
            </w:r>
          </w:p>
        </w:tc>
        <w:tc>
          <w:tcPr>
            <w:tcW w:w="3880" w:type="dxa"/>
            <w:vAlign w:val="bottom"/>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rPr>
              <w:t>Steven R. Beauchamp</w:t>
            </w:r>
          </w:p>
        </w:tc>
      </w:tr>
      <w:tr>
        <w:trPr>
          <w:trHeight w:val="203"/>
        </w:trPr>
        <w:tc>
          <w:tcPr>
            <w:tcW w:w="5180" w:type="dxa"/>
            <w:vAlign w:val="bottom"/>
          </w:tcPr>
          <w:p>
            <w:pPr>
              <w:ind w:left="4540"/>
              <w:spacing w:after="0" w:line="202" w:lineRule="exact"/>
              <w:rPr>
                <w:sz w:val="20"/>
                <w:szCs w:val="20"/>
                <w:color w:val="auto"/>
              </w:rPr>
            </w:pPr>
            <w:r>
              <w:rPr>
                <w:rFonts w:ascii="Times New Roman" w:cs="Times New Roman" w:eastAsia="Times New Roman" w:hAnsi="Times New Roman"/>
                <w:sz w:val="18"/>
                <w:szCs w:val="18"/>
                <w:b w:val="1"/>
                <w:bCs w:val="1"/>
                <w:color w:val="auto"/>
              </w:rPr>
              <w:t>Title:</w:t>
            </w:r>
          </w:p>
        </w:tc>
        <w:tc>
          <w:tcPr>
            <w:tcW w:w="38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Chief Executive Officer (Principal Executive</w:t>
            </w:r>
          </w:p>
        </w:tc>
      </w:tr>
      <w:tr>
        <w:trPr>
          <w:trHeight w:val="238"/>
        </w:trPr>
        <w:tc>
          <w:tcPr>
            <w:tcW w:w="518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Officer) and Director</w:t>
            </w:r>
          </w:p>
        </w:tc>
      </w:tr>
      <w:tr>
        <w:trPr>
          <w:trHeight w:val="723"/>
        </w:trPr>
        <w:tc>
          <w:tcPr>
            <w:tcW w:w="5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4" w:right="141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Toby J. Williams, certify that:</w:t>
      </w:r>
    </w:p>
    <w:p>
      <w:pPr>
        <w:spacing w:after="0" w:line="144" w:lineRule="exact"/>
        <w:rPr>
          <w:sz w:val="20"/>
          <w:szCs w:val="20"/>
          <w:color w:val="auto"/>
        </w:rPr>
      </w:pPr>
    </w:p>
    <w:p>
      <w:pPr>
        <w:ind w:left="1280" w:hanging="395"/>
        <w:spacing w:after="0"/>
        <w:tabs>
          <w:tab w:leader="none" w:pos="1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 (the “Company”);</w:t>
      </w:r>
    </w:p>
    <w:p>
      <w:pPr>
        <w:spacing w:after="0" w:line="144" w:lineRule="exact"/>
        <w:rPr>
          <w:rFonts w:ascii="Times New Roman" w:cs="Times New Roman" w:eastAsia="Times New Roman" w:hAnsi="Times New Roman"/>
          <w:sz w:val="18"/>
          <w:szCs w:val="18"/>
          <w:color w:val="auto"/>
        </w:rPr>
      </w:pPr>
    </w:p>
    <w:p>
      <w:pPr>
        <w:ind w:left="440" w:firstLine="445"/>
        <w:spacing w:after="0" w:line="226" w:lineRule="auto"/>
        <w:tabs>
          <w:tab w:leader="none" w:pos="128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440" w:right="40" w:firstLine="445"/>
        <w:spacing w:after="0" w:line="226" w:lineRule="auto"/>
        <w:tabs>
          <w:tab w:leader="none" w:pos="128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440" w:firstLine="445"/>
        <w:spacing w:after="0" w:line="226" w:lineRule="auto"/>
        <w:tabs>
          <w:tab w:leader="none" w:pos="128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ind w:left="880" w:right="60" w:firstLine="445"/>
        <w:spacing w:after="0" w:line="220" w:lineRule="auto"/>
        <w:tabs>
          <w:tab w:leader="none" w:pos="171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880" w:right="40" w:firstLine="445"/>
        <w:spacing w:after="0" w:line="220" w:lineRule="auto"/>
        <w:tabs>
          <w:tab w:leader="none" w:pos="172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ind w:left="880" w:firstLine="445"/>
        <w:spacing w:after="0" w:line="226" w:lineRule="auto"/>
        <w:tabs>
          <w:tab w:leader="none" w:pos="171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880" w:right="300" w:firstLine="445"/>
        <w:spacing w:after="0" w:line="226" w:lineRule="auto"/>
        <w:tabs>
          <w:tab w:leader="none" w:pos="172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quarter ended September 30, 2019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440" w:right="60" w:firstLine="445"/>
        <w:spacing w:after="0" w:line="226" w:lineRule="auto"/>
        <w:tabs>
          <w:tab w:leader="none" w:pos="128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880" w:right="100" w:firstLine="445"/>
        <w:spacing w:after="0" w:line="226" w:lineRule="auto"/>
        <w:tabs>
          <w:tab w:leader="none" w:pos="170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880" w:right="560" w:firstLine="445"/>
        <w:spacing w:after="0" w:line="237" w:lineRule="auto"/>
        <w:tabs>
          <w:tab w:leader="none" w:pos="171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31, 2019</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c>
          <w:tcPr>
            <w:tcW w:w="0" w:type="dxa"/>
            <w:vAlign w:val="bottom"/>
          </w:tcPr>
          <w:p>
            <w:pPr>
              <w:spacing w:after="0"/>
              <w:rPr>
                <w:sz w:val="1"/>
                <w:szCs w:val="1"/>
                <w:color w:val="auto"/>
              </w:rPr>
            </w:pPr>
          </w:p>
        </w:tc>
      </w:tr>
      <w:tr>
        <w:trPr>
          <w:trHeight w:val="27"/>
        </w:trPr>
        <w:tc>
          <w:tcPr>
            <w:tcW w:w="5180" w:type="dxa"/>
            <w:vAlign w:val="bottom"/>
            <w:vMerge w:val="restart"/>
          </w:tcPr>
          <w:p>
            <w:pPr>
              <w:ind w:left="4540"/>
              <w:spacing w:after="0" w:line="189" w:lineRule="exact"/>
              <w:rPr>
                <w:sz w:val="20"/>
                <w:szCs w:val="20"/>
                <w:color w:val="auto"/>
              </w:rPr>
            </w:pPr>
            <w:r>
              <w:rPr>
                <w:rFonts w:ascii="Times New Roman" w:cs="Times New Roman" w:eastAsia="Times New Roman" w:hAnsi="Times New Roman"/>
                <w:sz w:val="18"/>
                <w:szCs w:val="18"/>
                <w:b w:val="1"/>
                <w:bCs w:val="1"/>
                <w:color w:val="auto"/>
              </w:rPr>
              <w:t>Name:</w:t>
            </w:r>
          </w:p>
        </w:tc>
        <w:tc>
          <w:tcPr>
            <w:tcW w:w="3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180" w:type="dxa"/>
            <w:vAlign w:val="bottom"/>
            <w:vMerge w:val="continue"/>
          </w:tcPr>
          <w:p>
            <w:pPr>
              <w:spacing w:after="0"/>
              <w:rPr>
                <w:sz w:val="12"/>
                <w:szCs w:val="12"/>
                <w:color w:val="auto"/>
              </w:rPr>
            </w:pPr>
          </w:p>
        </w:tc>
        <w:tc>
          <w:tcPr>
            <w:tcW w:w="388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Toby J. Williams</w:t>
            </w:r>
          </w:p>
        </w:tc>
        <w:tc>
          <w:tcPr>
            <w:tcW w:w="0" w:type="dxa"/>
            <w:vAlign w:val="bottom"/>
          </w:tcPr>
          <w:p>
            <w:pPr>
              <w:spacing w:after="0"/>
              <w:rPr>
                <w:sz w:val="1"/>
                <w:szCs w:val="1"/>
                <w:color w:val="auto"/>
              </w:rPr>
            </w:pPr>
          </w:p>
        </w:tc>
      </w:tr>
      <w:tr>
        <w:trPr>
          <w:trHeight w:val="176"/>
        </w:trPr>
        <w:tc>
          <w:tcPr>
            <w:tcW w:w="5180" w:type="dxa"/>
            <w:vAlign w:val="bottom"/>
          </w:tcPr>
          <w:p>
            <w:pPr>
              <w:ind w:left="4540"/>
              <w:spacing w:after="0" w:line="176" w:lineRule="exact"/>
              <w:rPr>
                <w:sz w:val="20"/>
                <w:szCs w:val="20"/>
                <w:color w:val="auto"/>
              </w:rPr>
            </w:pPr>
            <w:r>
              <w:rPr>
                <w:rFonts w:ascii="Times New Roman" w:cs="Times New Roman" w:eastAsia="Times New Roman" w:hAnsi="Times New Roman"/>
                <w:sz w:val="18"/>
                <w:szCs w:val="18"/>
                <w:b w:val="1"/>
                <w:bCs w:val="1"/>
                <w:color w:val="auto"/>
              </w:rPr>
              <w:t>Title:</w:t>
            </w:r>
          </w:p>
        </w:tc>
        <w:tc>
          <w:tcPr>
            <w:tcW w:w="3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Chief Financial Officer (Principal Financial</w:t>
            </w:r>
          </w:p>
        </w:tc>
        <w:tc>
          <w:tcPr>
            <w:tcW w:w="0" w:type="dxa"/>
            <w:vAlign w:val="bottom"/>
          </w:tcPr>
          <w:p>
            <w:pPr>
              <w:spacing w:after="0"/>
              <w:rPr>
                <w:sz w:val="1"/>
                <w:szCs w:val="1"/>
                <w:color w:val="auto"/>
              </w:rPr>
            </w:pPr>
          </w:p>
        </w:tc>
      </w:tr>
      <w:tr>
        <w:trPr>
          <w:trHeight w:val="238"/>
        </w:trPr>
        <w:tc>
          <w:tcPr>
            <w:tcW w:w="518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Officer)</w:t>
            </w:r>
          </w:p>
        </w:tc>
        <w:tc>
          <w:tcPr>
            <w:tcW w:w="0" w:type="dxa"/>
            <w:vAlign w:val="bottom"/>
          </w:tcPr>
          <w:p>
            <w:pPr>
              <w:spacing w:after="0"/>
              <w:rPr>
                <w:sz w:val="1"/>
                <w:szCs w:val="1"/>
                <w:color w:val="auto"/>
              </w:rPr>
            </w:pPr>
          </w:p>
        </w:tc>
      </w:tr>
      <w:tr>
        <w:trPr>
          <w:trHeight w:val="700"/>
        </w:trPr>
        <w:tc>
          <w:tcPr>
            <w:tcW w:w="5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4" w:right="141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44" w:lineRule="exact"/>
        <w:rPr>
          <w:sz w:val="20"/>
          <w:szCs w:val="20"/>
          <w:color w:val="auto"/>
        </w:rPr>
      </w:pPr>
    </w:p>
    <w:p>
      <w:pPr>
        <w:jc w:val="center"/>
        <w:ind w:left="1440" w:right="2180"/>
        <w:spacing w:after="0" w:line="221"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 AS ADOPTED PURSUANT TO SECTION 906 OF THE SARBANES-OXLEY ACT OF 2002</w:t>
      </w:r>
    </w:p>
    <w:p>
      <w:pPr>
        <w:spacing w:after="0" w:line="119" w:lineRule="exact"/>
        <w:rPr>
          <w:sz w:val="20"/>
          <w:szCs w:val="20"/>
          <w:color w:val="auto"/>
        </w:rPr>
      </w:pPr>
    </w:p>
    <w:p>
      <w:pPr>
        <w:ind w:right="100" w:firstLine="441"/>
        <w:spacing w:after="0" w:line="214" w:lineRule="auto"/>
        <w:rPr>
          <w:sz w:val="20"/>
          <w:szCs w:val="20"/>
          <w:color w:val="auto"/>
        </w:rPr>
      </w:pPr>
      <w:r>
        <w:rPr>
          <w:rFonts w:ascii="Times New Roman" w:cs="Times New Roman" w:eastAsia="Times New Roman" w:hAnsi="Times New Roman"/>
          <w:sz w:val="18"/>
          <w:szCs w:val="18"/>
          <w:color w:val="auto"/>
        </w:rPr>
        <w:t>The undersigned, the 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September 30, 2019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22"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Dated: October 31, 2019</w:t>
      </w:r>
      <w:r>
        <w:rPr>
          <w:sz w:val="20"/>
          <w:szCs w:val="20"/>
          <w:color w:val="auto"/>
        </w:rPr>
        <w:tab/>
      </w:r>
      <w:r>
        <w:rPr>
          <w:rFonts w:ascii="Times New Roman" w:cs="Times New Roman" w:eastAsia="Times New Roman" w:hAnsi="Times New Roman"/>
          <w:sz w:val="17"/>
          <w:szCs w:val="17"/>
          <w:color w:val="auto"/>
        </w:rPr>
        <w:t>/s/ 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jc w:val="center"/>
        <w:ind w:left="4540"/>
        <w:spacing w:after="0" w:line="205" w:lineRule="auto"/>
        <w:rPr>
          <w:sz w:val="20"/>
          <w:szCs w:val="20"/>
          <w:color w:val="auto"/>
        </w:rPr>
      </w:pPr>
      <w:r>
        <w:rPr>
          <w:rFonts w:ascii="Times New Roman" w:cs="Times New Roman" w:eastAsia="Times New Roman" w:hAnsi="Times New Roman"/>
          <w:sz w:val="18"/>
          <w:szCs w:val="18"/>
          <w:b w:val="1"/>
          <w:bCs w:val="1"/>
          <w:color w:val="auto"/>
        </w:rPr>
        <w:t>Steven R. Beauchamp</w:t>
      </w:r>
    </w:p>
    <w:p>
      <w:pPr>
        <w:jc w:val="center"/>
        <w:ind w:left="4540"/>
        <w:spacing w:after="0" w:line="204" w:lineRule="auto"/>
        <w:rPr>
          <w:sz w:val="20"/>
          <w:szCs w:val="20"/>
          <w:color w:val="auto"/>
        </w:rPr>
      </w:pPr>
      <w:r>
        <w:rPr>
          <w:rFonts w:ascii="Times New Roman" w:cs="Times New Roman" w:eastAsia="Times New Roman" w:hAnsi="Times New Roman"/>
          <w:sz w:val="18"/>
          <w:szCs w:val="18"/>
          <w:b w:val="1"/>
          <w:bCs w:val="1"/>
          <w:color w:val="auto"/>
        </w:rPr>
        <w:t>Chief Executive Officer (Principal Executive Officer) and</w:t>
      </w:r>
    </w:p>
    <w:p>
      <w:pPr>
        <w:jc w:val="center"/>
        <w:ind w:left="4540"/>
        <w:spacing w:after="0"/>
        <w:rPr>
          <w:sz w:val="20"/>
          <w:szCs w:val="20"/>
          <w:color w:val="auto"/>
        </w:rPr>
      </w:pPr>
      <w:r>
        <w:rPr>
          <w:rFonts w:ascii="Times New Roman" w:cs="Times New Roman" w:eastAsia="Times New Roman" w:hAnsi="Times New Roman"/>
          <w:sz w:val="18"/>
          <w:szCs w:val="18"/>
          <w:b w:val="1"/>
          <w:bCs w:val="1"/>
          <w:color w:val="auto"/>
        </w:rPr>
        <w:t>Director</w:t>
      </w:r>
    </w:p>
    <w:p>
      <w:pPr>
        <w:spacing w:after="0" w:line="124" w:lineRule="exact"/>
        <w:rPr>
          <w:sz w:val="20"/>
          <w:szCs w:val="20"/>
          <w:color w:val="auto"/>
        </w:rPr>
      </w:pPr>
    </w:p>
    <w:p>
      <w:pPr>
        <w:ind w:right="420" w:firstLine="441"/>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44" w:lineRule="exact"/>
        <w:rPr>
          <w:sz w:val="20"/>
          <w:szCs w:val="20"/>
          <w:color w:val="auto"/>
        </w:rPr>
      </w:pPr>
    </w:p>
    <w:p>
      <w:pPr>
        <w:jc w:val="center"/>
        <w:ind w:left="1440" w:right="2180"/>
        <w:spacing w:after="0" w:line="221"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 AS ADOPTED PURSUANT TO SECTION 906 OF THE SARBANES-OXLEY ACT OF 2002</w:t>
      </w:r>
    </w:p>
    <w:p>
      <w:pPr>
        <w:spacing w:after="0" w:line="119" w:lineRule="exact"/>
        <w:rPr>
          <w:sz w:val="20"/>
          <w:szCs w:val="20"/>
          <w:color w:val="auto"/>
        </w:rPr>
      </w:pPr>
    </w:p>
    <w:p>
      <w:pPr>
        <w:ind w:right="100" w:firstLine="441"/>
        <w:spacing w:after="0" w:line="214" w:lineRule="auto"/>
        <w:rPr>
          <w:sz w:val="20"/>
          <w:szCs w:val="20"/>
          <w:color w:val="auto"/>
        </w:rPr>
      </w:pPr>
      <w:r>
        <w:rPr>
          <w:rFonts w:ascii="Times New Roman" w:cs="Times New Roman" w:eastAsia="Times New Roman" w:hAnsi="Times New Roman"/>
          <w:sz w:val="18"/>
          <w:szCs w:val="18"/>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September 30, 2019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35" w:lineRule="exact"/>
        <w:rPr>
          <w:sz w:val="20"/>
          <w:szCs w:val="20"/>
          <w:color w:val="auto"/>
        </w:rPr>
      </w:pPr>
    </w:p>
    <w:p>
      <w:pPr>
        <w:spacing w:after="0"/>
        <w:tabs>
          <w:tab w:leader="none" w:pos="5900" w:val="left"/>
        </w:tabs>
        <w:rPr>
          <w:sz w:val="20"/>
          <w:szCs w:val="20"/>
          <w:color w:val="auto"/>
        </w:rPr>
      </w:pPr>
      <w:r>
        <w:rPr>
          <w:rFonts w:ascii="Times New Roman" w:cs="Times New Roman" w:eastAsia="Times New Roman" w:hAnsi="Times New Roman"/>
          <w:sz w:val="18"/>
          <w:szCs w:val="18"/>
          <w:color w:val="auto"/>
        </w:rPr>
        <w:t>Dated: October 31, 2019</w:t>
      </w:r>
      <w:r>
        <w:rPr>
          <w:sz w:val="20"/>
          <w:szCs w:val="20"/>
          <w:color w:val="auto"/>
        </w:rPr>
        <w:tab/>
      </w:r>
      <w:r>
        <w:rPr>
          <w:rFonts w:ascii="Times New Roman" w:cs="Times New Roman" w:eastAsia="Times New Roman" w:hAnsi="Times New Roman"/>
          <w:sz w:val="17"/>
          <w:szCs w:val="17"/>
          <w:color w:val="auto"/>
        </w:rPr>
        <w:t>/s/ Toby J.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0</wp:posOffset>
            </wp:positionV>
            <wp:extent cx="30784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jc w:val="center"/>
        <w:ind w:left="4220"/>
        <w:spacing w:after="0" w:line="205" w:lineRule="auto"/>
        <w:rPr>
          <w:sz w:val="20"/>
          <w:szCs w:val="20"/>
          <w:color w:val="auto"/>
        </w:rPr>
      </w:pPr>
      <w:r>
        <w:rPr>
          <w:rFonts w:ascii="Times New Roman" w:cs="Times New Roman" w:eastAsia="Times New Roman" w:hAnsi="Times New Roman"/>
          <w:sz w:val="18"/>
          <w:szCs w:val="18"/>
          <w:b w:val="1"/>
          <w:bCs w:val="1"/>
          <w:color w:val="auto"/>
        </w:rPr>
        <w:t>Toby J. Williams</w:t>
      </w:r>
    </w:p>
    <w:p>
      <w:pPr>
        <w:spacing w:after="0" w:line="1" w:lineRule="exact"/>
        <w:rPr>
          <w:sz w:val="20"/>
          <w:szCs w:val="20"/>
          <w:color w:val="auto"/>
        </w:rPr>
      </w:pPr>
    </w:p>
    <w:p>
      <w:pPr>
        <w:jc w:val="center"/>
        <w:ind w:left="4220"/>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w:t>
      </w:r>
    </w:p>
    <w:p>
      <w:pPr>
        <w:spacing w:after="0" w:line="124" w:lineRule="exact"/>
        <w:rPr>
          <w:sz w:val="20"/>
          <w:szCs w:val="20"/>
          <w:color w:val="auto"/>
        </w:rPr>
      </w:pPr>
    </w:p>
    <w:p>
      <w:pPr>
        <w:ind w:right="420" w:firstLine="441"/>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lowerLetter"/>
      <w:start w:val="1"/>
    </w:lvl>
  </w:abstractNum>
  <w:abstractNum w:abstractNumId="4">
    <w:nsid w:val="4E6AFB66"/>
    <w:multiLevelType w:val="hybridMultilevel"/>
    <w:lvl w:ilvl="0">
      <w:lvlJc w:val="left"/>
      <w:lvlText w:val="(%1)"/>
      <w:numFmt w:val="lowerLetter"/>
      <w:start w:val="2"/>
    </w:lvl>
  </w:abstractNum>
  <w:abstractNum w:abstractNumId="5">
    <w:nsid w:val="25E45D32"/>
    <w:multiLevelType w:val="hybridMultilevel"/>
    <w:lvl w:ilvl="0">
      <w:lvlJc w:val="left"/>
      <w:lvlText w:val="(%1)"/>
      <w:numFmt w:val="lowerLetter"/>
      <w:start w:val="3"/>
    </w:lvl>
  </w:abstractNum>
  <w:abstractNum w:abstractNumId="6">
    <w:nsid w:val="519B500D"/>
    <w:multiLevelType w:val="hybridMultilevel"/>
    <w:lvl w:ilvl="0">
      <w:lvlJc w:val="left"/>
      <w:lvlText w:val="(%1)"/>
      <w:numFmt w:val="lowerLetter"/>
      <w:start w:val="4"/>
    </w:lvl>
  </w:abstractNum>
  <w:abstractNum w:abstractNumId="7">
    <w:nsid w:val="431BD7B7"/>
    <w:multiLevelType w:val="hybridMultilevel"/>
    <w:lvl w:ilvl="0">
      <w:lvlJc w:val="left"/>
      <w:lvlText w:val="(%1)"/>
      <w:numFmt w:val="lowerLetter"/>
      <w:start w:val="5"/>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2"/>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lowerLetter"/>
      <w:start w:val="1"/>
    </w:lvl>
  </w:abstractNum>
  <w:abstractNum w:abstractNumId="14">
    <w:nsid w:val="333AB105"/>
    <w:multiLevelType w:val="hybridMultilevel"/>
    <w:lvl w:ilvl="0">
      <w:lvlJc w:val="left"/>
      <w:lvlText w:val="(%1)"/>
      <w:numFmt w:val="lowerLetter"/>
      <w:start w:val="2"/>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lvl w:ilvl="1">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71" Type="http://schemas.openxmlformats.org/officeDocument/2006/relationships/hyperlink" Target="http://www.sec.gov/Archives/edgar/data/1591698/000104746914000931/a2218171zex-3_2.htm" TargetMode="External"/><Relationship Id="rId72" Type="http://schemas.openxmlformats.org/officeDocument/2006/relationships/hyperlink" Target="http://www.sec.gov/Archives/edgar/data/1591698/000155837017006561/pcty-20170630ex321ac616a.htm" TargetMode="External"/><Relationship Id="rId73" Type="http://schemas.openxmlformats.org/officeDocument/2006/relationships/hyperlink" Target="http://www.sec.gov/Archives/edgar/data/1591698/000110465919040751/a19-12817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2019-12-28T03:23:10Z</dcterms:created>
  <dcterms:modified xsi:type="dcterms:W3CDTF">2019-12-28T03:23:10Z</dcterms:modified>
</cp:coreProperties>
</file>