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21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24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PAYLOCITY HOLDING CORPORATION</w:t>
      </w:r>
    </w:p>
    <w:p>
      <w:pPr>
        <w:spacing w:after="0" w:line="46"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6400" w:type="dxa"/>
            <w:vAlign w:val="bottom"/>
            <w:gridSpan w:val="3"/>
          </w:tcPr>
          <w:p>
            <w:pPr>
              <w:jc w:val="center"/>
              <w:ind w:left="21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520" w:type="dxa"/>
            <w:vAlign w:val="bottom"/>
          </w:tcPr>
          <w:p>
            <w:pPr>
              <w:spacing w:after="0"/>
              <w:rPr>
                <w:sz w:val="20"/>
                <w:szCs w:val="20"/>
                <w:color w:val="auto"/>
              </w:rPr>
            </w:pPr>
          </w:p>
        </w:tc>
      </w:tr>
      <w:tr>
        <w:trPr>
          <w:trHeight w:val="304"/>
        </w:trPr>
        <w:tc>
          <w:tcPr>
            <w:tcW w:w="29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5"/>
        </w:trPr>
        <w:tc>
          <w:tcPr>
            <w:tcW w:w="64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46-4066644</w:t>
            </w:r>
          </w:p>
        </w:tc>
      </w:tr>
      <w:tr>
        <w:trPr>
          <w:trHeight w:val="216"/>
        </w:trPr>
        <w:tc>
          <w:tcPr>
            <w:tcW w:w="64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4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3850 N. Wilke Road</w:t>
            </w:r>
          </w:p>
        </w:tc>
        <w:tc>
          <w:tcPr>
            <w:tcW w:w="1520" w:type="dxa"/>
            <w:vAlign w:val="bottom"/>
          </w:tcPr>
          <w:p>
            <w:pPr>
              <w:spacing w:after="0"/>
              <w:rPr>
                <w:sz w:val="24"/>
                <w:szCs w:val="24"/>
                <w:color w:val="auto"/>
              </w:rPr>
            </w:pPr>
          </w:p>
        </w:tc>
      </w:tr>
      <w:tr>
        <w:trPr>
          <w:trHeight w:val="220"/>
        </w:trPr>
        <w:tc>
          <w:tcPr>
            <w:tcW w:w="64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rPr>
              <w:t>Arlington Heights, Illinois</w:t>
            </w: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60004</w:t>
            </w:r>
          </w:p>
        </w:tc>
      </w:tr>
      <w:tr>
        <w:trPr>
          <w:trHeight w:val="234"/>
        </w:trPr>
        <w:tc>
          <w:tcPr>
            <w:tcW w:w="64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578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(847) 463-3200</w:t>
            </w: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4"/>
        </w:trPr>
        <w:tc>
          <w:tcPr>
            <w:tcW w:w="6400" w:type="dxa"/>
            <w:vAlign w:val="bottom"/>
            <w:gridSpan w:val="3"/>
          </w:tcPr>
          <w:p>
            <w:pPr>
              <w:jc w:val="center"/>
              <w:ind w:left="21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to submit and post such files). Yes x No o</w:t>
      </w:r>
    </w:p>
    <w:p>
      <w:pPr>
        <w:spacing w:after="0" w:line="17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definition of “accelerated filer” and “large accelerated filer” in Rule 12b-2 of the Exchange Act. (Check one):</w:t>
      </w:r>
    </w:p>
    <w:p>
      <w:pPr>
        <w:sectPr>
          <w:pgSz w:w="11900" w:h="16838" w:orient="portrait"/>
          <w:cols w:equalWidth="0" w:num="1">
            <w:col w:w="11400"/>
          </w:cols>
          <w:pgMar w:left="240" w:top="229" w:right="259" w:bottom="0" w:gutter="0" w:footer="0" w:header="0"/>
        </w:sectPr>
      </w:pPr>
    </w:p>
    <w:p>
      <w:pPr>
        <w:spacing w:after="0" w:line="207"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color w:val="auto"/>
        </w:rPr>
        <w:t>Large Accelerated Filer 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 o</w:t>
      </w:r>
    </w:p>
    <w:p>
      <w:pPr>
        <w:spacing w:after="0" w:line="200" w:lineRule="exact"/>
        <w:rPr>
          <w:sz w:val="24"/>
          <w:szCs w:val="24"/>
          <w:color w:val="auto"/>
        </w:rPr>
      </w:pPr>
    </w:p>
    <w:p>
      <w:pPr>
        <w:sectPr>
          <w:pgSz w:w="11900" w:h="16838" w:orient="portrait"/>
          <w:cols w:equalWidth="0" w:num="2">
            <w:col w:w="7220" w:space="720"/>
            <w:col w:w="3460"/>
          </w:cols>
          <w:pgMar w:left="240" w:top="229" w:right="259" w:bottom="0" w:gutter="0" w:footer="0" w:header="0"/>
          <w:type w:val="continuous"/>
        </w:sectPr>
      </w:pPr>
    </w:p>
    <w:p>
      <w:pPr>
        <w:spacing w:after="0" w:line="37"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Non-Accelerated Filer x</w:t>
      </w:r>
    </w:p>
    <w:p>
      <w:pPr>
        <w:spacing w:after="0" w:line="27"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434" w:lineRule="exact"/>
        <w:rPr>
          <w:sz w:val="24"/>
          <w:szCs w:val="24"/>
          <w:color w:val="auto"/>
        </w:rPr>
      </w:pPr>
    </w:p>
    <w:p>
      <w:pPr>
        <w:sectPr>
          <w:pgSz w:w="11900" w:h="16838" w:orient="portrait"/>
          <w:cols w:equalWidth="0" w:num="2">
            <w:col w:w="6800" w:space="720"/>
            <w:col w:w="3880"/>
          </w:cols>
          <w:pgMar w:left="240" w:top="229" w:right="259" w:bottom="0" w:gutter="0" w:footer="0" w:header="0"/>
          <w:type w:val="continuous"/>
        </w:sectPr>
      </w:pPr>
    </w:p>
    <w:p>
      <w:pPr>
        <w:spacing w:after="0" w:line="18"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right="580" w:firstLine="441"/>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50,624,561 shares of Common Stock, $0.001 par value per share, as of May 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ectPr>
          <w:pgSz w:w="11900" w:h="16838" w:orient="portrait"/>
          <w:cols w:equalWidth="0" w:num="1">
            <w:col w:w="11400"/>
          </w:cols>
          <w:pgMar w:left="240" w:top="229" w:right="259" w:bottom="0" w:gutter="0" w:footer="0" w:header="0"/>
          <w:type w:val="continuous"/>
        </w:sectPr>
      </w:pPr>
    </w:p>
    <w:bookmarkStart w:id="1" w:name="page2"/>
    <w:bookmarkEnd w:id="1"/>
    <w:p>
      <w:pPr>
        <w:spacing w:after="0" w:line="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60" w:type="dxa"/>
            <w:vAlign w:val="bottom"/>
            <w:gridSpan w:val="11"/>
            <w:vMerge w:val="restart"/>
          </w:tcPr>
          <w:p>
            <w:pPr>
              <w:jc w:val="center"/>
              <w:ind w:right="1060"/>
              <w:spacing w:after="0"/>
              <w:rPr>
                <w:rFonts w:ascii="Times New Roman" w:cs="Times New Roman" w:eastAsia="Times New Roman" w:hAnsi="Times New Roman"/>
                <w:sz w:val="18"/>
                <w:szCs w:val="18"/>
                <w:color w:val="0000EE"/>
                <w:w w:val="98"/>
              </w:rPr>
            </w:pPr>
            <w:hyperlink w:anchor="page2">
              <w:r>
                <w:rPr>
                  <w:rFonts w:ascii="Times New Roman" w:cs="Times New Roman" w:eastAsia="Times New Roman" w:hAnsi="Times New Roman"/>
                  <w:sz w:val="18"/>
                  <w:szCs w:val="18"/>
                  <w:color w:val="0000EE"/>
                  <w:w w:val="98"/>
                </w:rPr>
                <w:t>PART I. FINANCIAL INFORMATION</w:t>
              </w:r>
            </w:hyperlink>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60" w:type="dxa"/>
            <w:vAlign w:val="bottom"/>
            <w:gridSpan w:val="11"/>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28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2">
              <w:r>
                <w:rPr>
                  <w:rFonts w:ascii="Times New Roman" w:cs="Times New Roman" w:eastAsia="Times New Roman" w:hAnsi="Times New Roman"/>
                  <w:sz w:val="18"/>
                  <w:szCs w:val="18"/>
                  <w:color w:val="0000EE"/>
                  <w:w w:val="98"/>
                </w:rPr>
                <w:t>ITEM 1. FINANCIAL STATEMENTS</w:t>
              </w:r>
            </w:hyperlink>
          </w:p>
        </w:tc>
        <w:tc>
          <w:tcPr>
            <w:tcW w:w="1460" w:type="dxa"/>
            <w:vAlign w:val="bottom"/>
            <w:gridSpan w:val="5"/>
          </w:tcPr>
          <w:p>
            <w:pPr>
              <w:spacing w:after="0"/>
              <w:rPr>
                <w:sz w:val="24"/>
                <w:szCs w:val="24"/>
                <w:color w:val="auto"/>
              </w:rPr>
            </w:pPr>
          </w:p>
        </w:tc>
        <w:tc>
          <w:tcPr>
            <w:tcW w:w="2880" w:type="dxa"/>
            <w:vAlign w:val="bottom"/>
            <w:tcBorders>
              <w:top w:val="single" w:sz="8" w:color="0000EE"/>
            </w:tcBorders>
            <w:gridSpan w:val="6"/>
          </w:tcPr>
          <w:p>
            <w:pPr>
              <w:spacing w:after="0"/>
              <w:rPr>
                <w:sz w:val="24"/>
                <w:szCs w:val="24"/>
                <w:color w:val="auto"/>
              </w:rPr>
            </w:pPr>
          </w:p>
        </w:tc>
        <w:tc>
          <w:tcPr>
            <w:tcW w:w="1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80" w:type="dxa"/>
            <w:vAlign w:val="bottom"/>
            <w:gridSpan w:val="2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Unaudited Consolidated Balance Sheets as of June 30, 2014 and March 31, 2015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Unaudited Consolidated Statements of Operations for the three and nine months ended March 31, 2014 and 2015</w:t>
              </w:r>
            </w:hyperlink>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2"/>
        </w:trPr>
        <w:tc>
          <w:tcPr>
            <w:tcW w:w="8280" w:type="dxa"/>
            <w:vAlign w:val="bottom"/>
            <w:gridSpan w:val="2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Consolidated Statement of Changes in Stockholders’ Equity for the nine months ended March 31, 2015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7500" w:type="dxa"/>
            <w:vAlign w:val="bottom"/>
            <w:tcBorders>
              <w:top w:val="single" w:sz="8" w:color="0000EE"/>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Consolidated Statements of Cash Flows for the nine months ended March 31, 2014 and 2015</w:t>
              </w:r>
            </w:hyperlink>
          </w:p>
        </w:tc>
        <w:tc>
          <w:tcPr>
            <w:tcW w:w="740" w:type="dxa"/>
            <w:vAlign w:val="bottom"/>
            <w:tcBorders>
              <w:top w:val="single" w:sz="8" w:color="0000EE"/>
            </w:tcBorders>
            <w:gridSpan w:val="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42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Notes to the Unaudited Consolidated Financial Statements</w:t>
              </w:r>
            </w:hyperlink>
          </w:p>
        </w:tc>
        <w:tc>
          <w:tcPr>
            <w:tcW w:w="40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9960" w:type="dxa"/>
            <w:vAlign w:val="bottom"/>
            <w:gridSpan w:val="28"/>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412"/>
        </w:trPr>
        <w:tc>
          <w:tcPr>
            <w:tcW w:w="6820" w:type="dxa"/>
            <w:vAlign w:val="bottom"/>
            <w:tcBorders>
              <w:top w:val="single" w:sz="8" w:color="0000EE"/>
              <w:bottom w:val="single" w:sz="8" w:color="0000EE"/>
            </w:tcBorders>
            <w:gridSpan w:val="17"/>
          </w:tcPr>
          <w:p>
            <w:pPr>
              <w:spacing w:after="0"/>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ITEM 3. QUANTITATIVE AND QUALITATIVE DISCLOSURES ABOUT MARKET RISK</w:t>
              </w:r>
            </w:hyperlink>
          </w:p>
        </w:tc>
        <w:tc>
          <w:tcPr>
            <w:tcW w:w="1460" w:type="dxa"/>
            <w:vAlign w:val="bottom"/>
            <w:tcBorders>
              <w:top w:val="single" w:sz="8" w:color="0000EE"/>
            </w:tcBorders>
            <w:gridSpan w:val="6"/>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2"/>
        </w:trPr>
        <w:tc>
          <w:tcPr>
            <w:tcW w:w="8280" w:type="dxa"/>
            <w:vAlign w:val="bottom"/>
            <w:gridSpan w:val="2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4. CONTROLS AND PROCEDURES</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2"/>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EE"/>
            </w:tcBorders>
            <w:gridSpan w:val="4"/>
          </w:tcPr>
          <w:p>
            <w:pPr>
              <w:jc w:val="center"/>
              <w:spacing w:after="0"/>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PART II. OTHER INFORMATION</w:t>
              </w:r>
            </w:hyperlink>
          </w:p>
        </w:tc>
        <w:tc>
          <w:tcPr>
            <w:tcW w:w="12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80" w:type="dxa"/>
            <w:vAlign w:val="bottom"/>
            <w:gridSpan w:val="2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1. LEGAL PROCEEDINGS</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2"/>
        </w:trPr>
        <w:tc>
          <w:tcPr>
            <w:tcW w:w="20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ITEM 1A. RISK FACTORS</w:t>
              </w:r>
            </w:hyperlink>
          </w:p>
        </w:tc>
        <w:tc>
          <w:tcPr>
            <w:tcW w:w="480" w:type="dxa"/>
            <w:vAlign w:val="bottom"/>
            <w:tcBorders>
              <w:top w:val="single" w:sz="8" w:color="0000EE"/>
            </w:tcBorders>
          </w:tcPr>
          <w:p>
            <w:pPr>
              <w:spacing w:after="0"/>
              <w:rPr>
                <w:sz w:val="24"/>
                <w:szCs w:val="24"/>
                <w:color w:val="auto"/>
              </w:rPr>
            </w:pPr>
          </w:p>
        </w:tc>
        <w:tc>
          <w:tcPr>
            <w:tcW w:w="574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2"/>
        </w:trPr>
        <w:tc>
          <w:tcPr>
            <w:tcW w:w="8280" w:type="dxa"/>
            <w:vAlign w:val="bottom"/>
            <w:gridSpan w:val="23"/>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2. UNREGISTERED SALES OF EQUITY SECURITIES AND USE OF PROCEEDS</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2"/>
        </w:trPr>
        <w:tc>
          <w:tcPr>
            <w:tcW w:w="38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ITEM 3. DEFAULTS UPON SENIOR SECURITIES</w:t>
              </w:r>
            </w:hyperlink>
          </w:p>
        </w:tc>
        <w:tc>
          <w:tcPr>
            <w:tcW w:w="2880" w:type="dxa"/>
            <w:vAlign w:val="bottom"/>
            <w:tcBorders>
              <w:top w:val="single" w:sz="8" w:color="0000EE"/>
            </w:tcBorders>
            <w:gridSpan w:val="5"/>
          </w:tcPr>
          <w:p>
            <w:pPr>
              <w:spacing w:after="0"/>
              <w:rPr>
                <w:sz w:val="24"/>
                <w:szCs w:val="24"/>
                <w:color w:val="auto"/>
              </w:rPr>
            </w:pPr>
          </w:p>
        </w:tc>
        <w:tc>
          <w:tcPr>
            <w:tcW w:w="15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2"/>
        </w:trPr>
        <w:tc>
          <w:tcPr>
            <w:tcW w:w="31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ITEM 4. MINE SAFETY DISCLOSURES</w:t>
              </w:r>
            </w:hyperlink>
          </w:p>
        </w:tc>
        <w:tc>
          <w:tcPr>
            <w:tcW w:w="516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2"/>
        </w:trPr>
        <w:tc>
          <w:tcPr>
            <w:tcW w:w="25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ITEM 5. OTHER INFORMATION</w:t>
              </w:r>
            </w:hyperlink>
          </w:p>
        </w:tc>
        <w:tc>
          <w:tcPr>
            <w:tcW w:w="572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2"/>
        </w:trPr>
        <w:tc>
          <w:tcPr>
            <w:tcW w:w="15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ITEM 6. EXHIBITS</w:t>
              </w:r>
            </w:hyperlink>
          </w:p>
        </w:tc>
        <w:tc>
          <w:tcPr>
            <w:tcW w:w="678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2"/>
        </w:trPr>
        <w:tc>
          <w:tcPr>
            <w:tcW w:w="8280" w:type="dxa"/>
            <w:vAlign w:val="bottom"/>
            <w:gridSpan w:val="23"/>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SIGNATURES</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53"/>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gridSpan w:val="9"/>
          </w:tcPr>
          <w:p>
            <w:pPr>
              <w:jc w:val="center"/>
              <w:ind w:right="1280"/>
              <w:spacing w:after="0"/>
              <w:rPr>
                <w:sz w:val="20"/>
                <w:szCs w:val="20"/>
                <w:color w:val="auto"/>
              </w:rPr>
            </w:pPr>
            <w:r>
              <w:rPr>
                <w:rFonts w:ascii="Times New Roman" w:cs="Times New Roman" w:eastAsia="Times New Roman" w:hAnsi="Times New Roman"/>
                <w:sz w:val="18"/>
                <w:szCs w:val="18"/>
                <w:color w:val="auto"/>
              </w:rPr>
              <w:t>i</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00" w:type="dxa"/>
            <w:vAlign w:val="bottom"/>
            <w:tcBorders>
              <w:bottom w:val="single" w:sz="8" w:color="010101"/>
            </w:tcBorders>
            <w:gridSpan w:val="2"/>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280" w:type="dxa"/>
            <w:vAlign w:val="bottom"/>
            <w:gridSpan w:val="2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gridSpan w:val="9"/>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9"/>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8"/>
              </w:rPr>
              <w:t>FINANCIAL INFORMATION</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420" w:type="dxa"/>
            <w:vAlign w:val="bottom"/>
            <w:gridSpan w:val="2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20" w:type="dxa"/>
            <w:vAlign w:val="bottom"/>
            <w:gridSpan w:val="1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PAYLOCITY HOLDING CORPORATION</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20" w:type="dxa"/>
            <w:vAlign w:val="bottom"/>
            <w:gridSpan w:val="1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gridSpan w:val="10"/>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8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78,848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93,227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2,694</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4,844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3"/>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83,004</w:t>
            </w:r>
          </w:p>
        </w:tc>
        <w:tc>
          <w:tcPr>
            <w:tcW w:w="2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99,825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Funds held for clients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417,261</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731,616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500,265</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831,441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5,093</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13,125</w:t>
            </w:r>
          </w:p>
        </w:tc>
        <w:tc>
          <w:tcPr>
            <w:tcW w:w="2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15,715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6,320</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3,035</w:t>
            </w:r>
          </w:p>
        </w:tc>
        <w:tc>
          <w:tcPr>
            <w:tcW w:w="2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528,151</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862,360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-4453890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-4453890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17"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8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2,133</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Taxes payable</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Consideration related to acquisition</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2,985</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10,744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15,867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Client fund obligations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417,261</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433,128</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6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437,017</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753,494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2014 and</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31, 2015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and March 31, 2015, 49,564 shares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at June 30, 2014; and 50,616 shares issued and outstanding at March 31, 2015</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125,255</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(34,171)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91,134</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528,151</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Recurring fees</w:t>
            </w:r>
          </w:p>
        </w:tc>
        <w:tc>
          <w:tcPr>
            <w:tcW w:w="136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30,719</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43,335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73,602</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491</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1,222</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recurring revenues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31,210</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43,936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74,824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5,216</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33,766</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47,272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80,040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Recurring revenues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10,246</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27,320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12,670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14,925</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39,990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18,841</w:t>
            </w: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40,050</w:t>
            </w: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19,290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6,746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14,726</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16,708</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40,762</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Operating income (loss)</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(1,042)</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6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36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430</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(2,688)</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4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10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1">
            <w:col w:w="11420"/>
          </w:cols>
          <w:pgMar w:left="240" w:top="120"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0.01</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income (loss)</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 share attributable to common stockholders: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44,360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50,533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32,437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44,870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52,203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32,437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2340" w:type="dxa"/>
            <w:vAlign w:val="bottom"/>
            <w:gridSpan w:val="3"/>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102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2340" w:type="dxa"/>
            <w:vAlign w:val="bottom"/>
            <w:tcBorders>
              <w:bottom w:val="single" w:sz="8" w:color="auto"/>
            </w:tcBorders>
            <w:gridSpan w:val="3"/>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44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2014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49,564</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Follow-on offering, net of issuance costs</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750</w:t>
            </w:r>
          </w:p>
        </w:tc>
        <w:tc>
          <w:tcPr>
            <w:tcW w:w="9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18,367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11,162</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342</w:t>
            </w:r>
          </w:p>
        </w:tc>
        <w:tc>
          <w:tcPr>
            <w:tcW w:w="9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 of restricted</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units</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w:t>
            </w:r>
          </w:p>
        </w:tc>
        <w:tc>
          <w:tcPr>
            <w:tcW w:w="9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stock</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settlement for taxes and/or exercise price related to</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awards</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9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(5,388)</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(9,543)</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2015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(43,714</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4,544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receivable</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Trade accounts payable</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3,016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for acquisition</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change in funds held for clients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(185,818)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(193,691)</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change in client funds obligation</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185,818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follow-on offering, net of cash paid for issuance costs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initial public offering, net of issuance costs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82,709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initial public offering costs</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266,964</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Equivalents—Beginning of Year</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7,594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78,848</w:t>
            </w:r>
          </w:p>
        </w:tc>
        <w:tc>
          <w:tcPr>
            <w:tcW w:w="0" w:type="dxa"/>
            <w:vAlign w:val="bottom"/>
          </w:tcPr>
          <w:p>
            <w:pPr>
              <w:spacing w:after="0"/>
              <w:rPr>
                <w:sz w:val="1"/>
                <w:szCs w:val="1"/>
                <w:color w:val="auto"/>
              </w:rPr>
            </w:pPr>
          </w:p>
        </w:tc>
      </w:tr>
      <w:tr>
        <w:trPr>
          <w:trHeight w:val="250"/>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Equivalents—End of Year</w:t>
            </w:r>
          </w:p>
        </w:tc>
        <w:tc>
          <w:tcPr>
            <w:tcW w:w="15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88,944</w:t>
            </w:r>
          </w:p>
        </w:tc>
        <w:tc>
          <w:tcPr>
            <w:tcW w:w="2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93,227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68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5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Build-out allowance received from landlord</w:t>
            </w:r>
          </w:p>
        </w:tc>
        <w:tc>
          <w:tcPr>
            <w:tcW w:w="19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580</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197"/>
        </w:trPr>
        <w:tc>
          <w:tcPr>
            <w:tcW w:w="680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Unpaid initial offering costs</w:t>
            </w:r>
          </w:p>
        </w:tc>
        <w:tc>
          <w:tcPr>
            <w:tcW w:w="15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 accrued but not paid</w:t>
            </w:r>
          </w:p>
        </w:tc>
        <w:tc>
          <w:tcPr>
            <w:tcW w:w="15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784</w:t>
            </w:r>
          </w:p>
        </w:tc>
        <w:tc>
          <w:tcPr>
            <w:tcW w:w="28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68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5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9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7"/>
        </w:trPr>
        <w:tc>
          <w:tcPr>
            <w:tcW w:w="680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Cash paid for interest</w:t>
            </w:r>
          </w:p>
        </w:tc>
        <w:tc>
          <w:tcPr>
            <w:tcW w:w="15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(the “Company”), through its wholly owned subsidiary, Paylocity Corporation,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December 2014, the Company completed a follow-on offering in which it issued and sold 750 shares of common stock and existing shareholders sold 3,850 shares of common stock at a public offering price of $26.25 per share. The Company did not receive any proceeds from the sale of common stock by the existing shareholders. The Company received net proceeds of $18,367 after deducting underwriting discounts and commissions of $935 and other offering expenses of $385.</w:t>
      </w:r>
    </w:p>
    <w:p>
      <w:pPr>
        <w:spacing w:after="0" w:line="18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January 2015, the underwriters for the Company’s follow-on offering exercised their option to purchase 360 additional shares from certain shareholders of the Company of the 690 available as described in the final prospectus filed with the SEC in December 2014. The Company did not receive any proceeds from the sale of common stock by the existing shareholders.</w:t>
      </w:r>
    </w:p>
    <w:p>
      <w:pPr>
        <w:spacing w:after="0" w:line="172" w:lineRule="exact"/>
        <w:rPr>
          <w:sz w:val="20"/>
          <w:szCs w:val="20"/>
          <w:color w:val="auto"/>
        </w:rPr>
      </w:pPr>
    </w:p>
    <w:p>
      <w:pPr>
        <w:ind w:left="320" w:hanging="258"/>
        <w:spacing w:after="0"/>
        <w:tabs>
          <w:tab w:leader="none" w:pos="320"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Consolidation and Use of Estimates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subsidiary. All intercompany accounts and transactions have been eliminated in consolidation.</w:t>
      </w:r>
    </w:p>
    <w:p>
      <w:pPr>
        <w:spacing w:after="0" w:line="17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allowance for doubtful accounts, software developed for internal use, valuation and useful lives of long-lived assets, definite-lived intangibles, goodwill, stock-based compensation expense, valuation of net deferred income tax assets and the best estimate of selling price for revenue recognition purposes.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81"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results of operations, financial position, changes in stockholders’ equity and cash flows. The results of operations for the three-month and nine-month periods ended March 31, 2015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2014 included in the Company’s Annual Report on Form 10-K filed with the SEC on August 22, 2014.</w:t>
      </w:r>
    </w:p>
    <w:p>
      <w:pPr>
        <w:sectPr>
          <w:pgSz w:w="11900" w:h="16838" w:orient="portrait"/>
          <w:cols w:equalWidth="0" w:num="1">
            <w:col w:w="11420"/>
          </w:cols>
          <w:pgMar w:left="240" w:top="140" w:right="239" w:bottom="0" w:gutter="0" w:footer="0" w:header="0"/>
        </w:sectPr>
      </w:pPr>
    </w:p>
    <w:bookmarkStart w:id="5" w:name="page6"/>
    <w:bookmarkEnd w:id="5"/>
    <w:p>
      <w:pPr>
        <w:spacing w:after="0" w:line="18"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enacted tax rates expected to apply to taxable income in the years in which those temporary differences are expected to be recovered or settled. The effect on deferred tax assets and liabilities of a change in tax rate is recognized in income in the period that includes the enactment date. Research and development tax credits are recognized using the flow-through method in the year the credit arises.</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Valuation allowances are provided when necessary to reduce deferred tax assets to the amount more likely than not to be realized. Significant management judgment is required in determining the period in which the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 is also required to schedule future taxable income in accordance with accounting standards that address income taxes to assess the appropriateness of a valuation allowance, which further requires the exercise of significant management judgment.</w:t>
      </w:r>
    </w:p>
    <w:p>
      <w:pPr>
        <w:spacing w:after="0" w:line="18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as an element of income tax expense.</w:t>
      </w:r>
    </w:p>
    <w:p>
      <w:pPr>
        <w:spacing w:after="0" w:line="172"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The Company estimates grant date fair value using the Black-Scholes option-pricing model and periodically updates the assumed forfeiture rates for actual experience over the option vesting term or the term of the ESPP purchase period.</w:t>
      </w:r>
    </w:p>
    <w:p>
      <w:pPr>
        <w:spacing w:after="0" w:line="180"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 Board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ASU 2014-09 supersedes a majority of existing revenue recognition guidance 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Topic 606 allows for either a “ retrospective” or “cumulative effect” transition method. The Company is currently evaluating which adoption method it will use. Early application is not permitted. The Company plans on adopting ASU 2014-09 beginning July 1, 2017, or in accordance with the FASB’s final guidance, and is currently assessing the potential effects of these changes to its consolidated financial statements.</w:t>
      </w:r>
    </w:p>
    <w:p>
      <w:pPr>
        <w:spacing w:after="0" w:line="18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 Balance Sheet Information</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Activity in the allowance for doubtful accounts was as follows: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Charged to expense</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2015</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ind w:left="566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57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00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Capitalized software and accumulated amortization were as follows: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57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22,897</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(16,691)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-1442085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-1442085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costs is included in Cost of Revenues-Recurring Revenues and amounted to $580 and $643 for the three months ended March 31, 2014 and 2015, respectively and $1,809 and $1,921 for the nine months ended March 31, 2014 and 2015,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ectPr>
          <w:pgSz w:w="11900" w:h="16856" w:orient="portrait"/>
          <w:cols w:equalWidth="0" w:num="1">
            <w:col w:w="11460"/>
          </w:cols>
          <w:pgMar w:left="240" w:top="117" w:right="199" w:bottom="0" w:gutter="0" w:footer="0" w:header="0"/>
        </w:sectPr>
      </w:pPr>
    </w:p>
    <w:bookmarkStart w:id="6" w:name="page7"/>
    <w:bookmarkEnd w:id="6"/>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0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11,947</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2,350</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5,198</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6,727</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3,014</w:t>
            </w:r>
          </w:p>
        </w:tc>
      </w:tr>
      <w:tr>
        <w:trPr>
          <w:trHeight w:val="210"/>
        </w:trPr>
        <w:tc>
          <w:tcPr>
            <w:tcW w:w="60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(15,358)</w:t>
            </w: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$1,040 and $1,252 for the three months ended March 31, 2014 and 2015, respectively and $2,735 and $3,754 for the nine months ended March 31, 2014 and 2015,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p>
      <w:pPr>
        <w:sectPr>
          <w:pgSz w:w="11900" w:h="16838" w:orient="portrait"/>
          <w:cols w:equalWidth="0" w:num="1">
            <w:col w:w="11400"/>
          </w:cols>
          <w:pgMar w:left="240" w:top="318" w:right="259" w:bottom="0" w:gutter="0" w:footer="0" w:header="0"/>
        </w:sectPr>
      </w:pPr>
    </w:p>
    <w:p>
      <w:pPr>
        <w:spacing w:after="0" w:line="200" w:lineRule="exact"/>
        <w:rPr>
          <w:sz w:val="20"/>
          <w:szCs w:val="20"/>
          <w:color w:val="auto"/>
        </w:rPr>
      </w:pPr>
    </w:p>
    <w:p>
      <w:pPr>
        <w:spacing w:after="0" w:line="3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Accrued payroll and personnel costs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Current portion of deferred rent</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Total accrued expenses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2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8,781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jc w:val="right"/>
              <w:ind w:right="5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13,968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3"/>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1500" w:type="dxa"/>
            <w:vAlign w:val="bottom"/>
            <w:gridSpan w:val="2"/>
            <w:vMerge w:val="restart"/>
          </w:tcPr>
          <w:p>
            <w:pPr>
              <w:jc w:val="center"/>
              <w:ind w:right="890"/>
              <w:spacing w:after="0"/>
              <w:rPr>
                <w:sz w:val="20"/>
                <w:szCs w:val="20"/>
                <w:color w:val="auto"/>
              </w:rPr>
            </w:pPr>
            <w:r>
              <w:rPr>
                <w:rFonts w:ascii="Times New Roman" w:cs="Times New Roman" w:eastAsia="Times New Roman" w:hAnsi="Times New Roman"/>
                <w:sz w:val="14"/>
                <w:szCs w:val="14"/>
                <w:b w:val="1"/>
                <w:bCs w:val="1"/>
                <w:color w:val="auto"/>
                <w:w w:val="97"/>
              </w:rPr>
              <w:t>June</w:t>
            </w:r>
          </w:p>
        </w:tc>
        <w:tc>
          <w:tcPr>
            <w:tcW w:w="12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March</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5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0" w:type="dxa"/>
            <w:vAlign w:val="bottom"/>
          </w:tcPr>
          <w:p>
            <w:pPr>
              <w:spacing w:after="0"/>
              <w:rPr>
                <w:sz w:val="1"/>
                <w:szCs w:val="1"/>
                <w:color w:val="auto"/>
              </w:rPr>
            </w:pPr>
          </w:p>
        </w:tc>
      </w:tr>
      <w:tr>
        <w:trPr>
          <w:trHeight w:val="171"/>
        </w:trPr>
        <w:tc>
          <w:tcPr>
            <w:tcW w:w="124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w w:val="97"/>
              </w:rPr>
              <w:t>30, 2014</w:t>
            </w:r>
          </w:p>
        </w:tc>
        <w:tc>
          <w:tcPr>
            <w:tcW w:w="260" w:type="dxa"/>
            <w:vAlign w:val="bottom"/>
          </w:tcPr>
          <w:p>
            <w:pPr>
              <w:spacing w:after="0"/>
              <w:rPr>
                <w:sz w:val="14"/>
                <w:szCs w:val="14"/>
                <w:color w:val="auto"/>
              </w:rPr>
            </w:pPr>
          </w:p>
        </w:tc>
        <w:tc>
          <w:tcPr>
            <w:tcW w:w="110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31, 2015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-1378585</wp:posOffset>
            </wp:positionV>
            <wp:extent cx="579755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-1096010</wp:posOffset>
            </wp:positionV>
            <wp:extent cx="579755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040" w:space="720"/>
            <w:col w:w="5640"/>
          </w:cols>
          <w:pgMar w:left="240" w:top="318" w:right="259" w:bottom="0" w:gutter="0" w:footer="0" w:header="0"/>
          <w:type w:val="continuous"/>
        </w:sectPr>
      </w:pPr>
    </w:p>
    <w:tbl>
      <w:tblPr>
        <w:tblLayout w:type="fixed"/>
        <w:tblInd w:w="980" w:type="dxa"/>
        <w:tblCellMar>
          <w:top w:w="0" w:type="dxa"/>
          <w:left w:w="0" w:type="dxa"/>
          <w:bottom w:w="0" w:type="dxa"/>
          <w:right w:w="0" w:type="dxa"/>
        </w:tblCellMar>
      </w:tblPr>
      <w:tr>
        <w:trPr>
          <w:trHeight w:val="212"/>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relationships</w:t>
            </w:r>
          </w:p>
        </w:tc>
        <w:tc>
          <w:tcPr>
            <w:tcW w:w="1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7"/>
              </w:rPr>
              <w:t>9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Non-solicitation agreement</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w:t>
            </w:r>
          </w:p>
        </w:tc>
        <w:tc>
          <w:tcPr>
            <w:tcW w:w="14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3 years</w:t>
            </w: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was no amortization expense for acquired intangible assets for the three months or nine months ended March 31, 2014. Amortization expense for acquired intangible assets was $190 for the three months and $570 for the nine months ended March 31, 2015.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applies the fair value measurement and disclosure provisions of ASC 820, Fair Value Measurements and Disclosures, and ASU 2011-04, </w:t>
      </w:r>
      <w:r>
        <w:rPr>
          <w:rFonts w:ascii="Times New Roman" w:cs="Times New Roman" w:eastAsia="Times New Roman" w:hAnsi="Times New Roman"/>
          <w:sz w:val="18"/>
          <w:szCs w:val="18"/>
          <w:i w:val="1"/>
          <w:iCs w:val="1"/>
          <w:color w:val="auto"/>
        </w:rPr>
        <w:t>Fair Value Measurement (Topic 820): Amendments to Achieve Common Fair Value Measurement and Disclosure Requirements in U.S. GAAP and IFRS</w:t>
      </w:r>
      <w:r>
        <w:rPr>
          <w:rFonts w:ascii="Times New Roman" w:cs="Times New Roman" w:eastAsia="Times New Roman" w:hAnsi="Times New Roman"/>
          <w:sz w:val="18"/>
          <w:szCs w:val="18"/>
          <w:color w:val="auto"/>
        </w:rPr>
        <w:t>.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4" w:lineRule="exact"/>
        <w:rPr>
          <w:sz w:val="20"/>
          <w:szCs w:val="20"/>
          <w:color w:val="auto"/>
        </w:rPr>
      </w:pPr>
    </w:p>
    <w:p>
      <w:pPr>
        <w:ind w:left="860" w:hanging="96"/>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ind w:left="760" w:right="520" w:firstLine="4"/>
        <w:spacing w:after="0" w:line="282" w:lineRule="auto"/>
        <w:tabs>
          <w:tab w:leader="none" w:pos="8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61" w:lineRule="exact"/>
        <w:rPr>
          <w:rFonts w:ascii="Times New Roman" w:cs="Times New Roman" w:eastAsia="Times New Roman" w:hAnsi="Times New Roman"/>
          <w:sz w:val="18"/>
          <w:szCs w:val="18"/>
          <w:color w:val="auto"/>
        </w:rPr>
      </w:pPr>
    </w:p>
    <w:p>
      <w:pPr>
        <w:ind w:left="760" w:firstLine="4"/>
        <w:spacing w:after="0" w:line="313" w:lineRule="auto"/>
        <w:tabs>
          <w:tab w:leader="none" w:pos="85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38"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assets that are measured at fair value on a recurring basis are measured using Level 1 inputs. The Company considers the recorded value of its financial assets and liabilities, which consist primarily of cash and cash equivalents, accounts receivable, and accounts payable, to approximate the fair value of the respective assets and liabilities at June 30, 2014 and March 31, 2015 based upon the short-term nature of the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Benefit Plans</w:t>
      </w:r>
    </w:p>
    <w:p>
      <w:pPr>
        <w:spacing w:after="0" w:line="225"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a 2008 Equity Incentive Plan (the “2008 Plan”) and a 2014 Equity Incentive Plan (the “2014 Plan”) pursuant to which the Company has reserved 8,872 shares of its common stock for issuance to its employees, directors and non-employee third parties. The 2014 Plan serves as the successor to the 2008 plan and permits the granting of options to purchase common stock and other equity incentives at the discretion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will increase automatically each calendar year, continuing through and including January 1, 2024 (“Evergreen provision”). The number of shares added each year will be equal to the lesser of (a) four and five tenths percent (4.5%) of the number of shares of common stock of the</w:t>
      </w:r>
    </w:p>
    <w:p>
      <w:pPr>
        <w:sectPr>
          <w:pgSz w:w="11900" w:h="16838" w:orient="portrait"/>
          <w:cols w:equalWidth="0" w:num="1">
            <w:col w:w="11400"/>
          </w:cols>
          <w:pgMar w:left="240" w:top="318" w:right="259" w:bottom="0" w:gutter="0" w:footer="0" w:header="0"/>
          <w:type w:val="continuous"/>
        </w:sectPr>
      </w:pPr>
    </w:p>
    <w:bookmarkStart w:id="7" w:name="page8"/>
    <w:bookmarkEnd w:id="7"/>
    <w:p>
      <w:pPr>
        <w:spacing w:after="0" w:line="3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Company issued and outstanding on the immediately preceding December 31, or (b) an amount determined by the Company’s Board of Directors. On January 1, 2015, the number of common shares in reserve increased by 2,272 shares as determined by the Board of Directors.</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Under the 2008 and 2014 Plans, the exercise price of each option is not less than the fair value of a share of common stock on the grant date. As of March 31, 2015, the Company had 8,872 shares allocated to the 2014 Plan, of which 4,481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related to stock options and the vesting of restricted stock awards (“RSAs”) and restricted stock units (“RSUs”)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included in the following line items in the accompanying unaudited consolidated statements of operations: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0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33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3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 recurring</w:t>
            </w:r>
          </w:p>
        </w:tc>
        <w:tc>
          <w:tcPr>
            <w:tcW w:w="8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 non-recurring</w:t>
            </w:r>
          </w:p>
        </w:tc>
        <w:tc>
          <w:tcPr>
            <w:tcW w:w="8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w:t>
            </w:r>
          </w:p>
        </w:tc>
        <w:tc>
          <w:tcPr>
            <w:tcW w:w="9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354</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1,031</w:t>
            </w:r>
          </w:p>
        </w:tc>
        <w:tc>
          <w:tcPr>
            <w:tcW w:w="16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861</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2,639</w:t>
            </w:r>
          </w:p>
        </w:tc>
        <w:tc>
          <w:tcPr>
            <w:tcW w:w="16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w:t>
            </w:r>
          </w:p>
        </w:tc>
        <w:tc>
          <w:tcPr>
            <w:tcW w:w="9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717</w:t>
            </w: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2,101</w:t>
            </w:r>
          </w:p>
        </w:tc>
        <w:tc>
          <w:tcPr>
            <w:tcW w:w="16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841</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1,172</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3,656</w:t>
            </w:r>
          </w:p>
        </w:tc>
        <w:tc>
          <w:tcPr>
            <w:tcW w:w="160" w:type="dxa"/>
            <w:vAlign w:val="bottom"/>
            <w:shd w:val="clear" w:color="auto" w:fill="CCEEFF"/>
          </w:tcPr>
          <w:p>
            <w:pPr>
              <w:spacing w:after="0"/>
              <w:rPr>
                <w:sz w:val="18"/>
                <w:szCs w:val="18"/>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4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capitalized $76 and $180 of stock-based compensation expense in its internal use software in the three months ended March 31, 2014 and 2015, respectively. The Company capitalized $76 and $490 of stock-based compensation expense in its internal use software in the nine months ended March 31, 2014 and 2015, respectively.</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values stock options using the Black-Scholes option-pricing model, which requires the input of subjective assumptions, including the risk-free rate, expected life, expected stock price volatility and dividend yield. The risk-free interest rate assumption is based upon observed interest rates for U.S. Treasury securities consistent with the expected term of the Company’s employee stock options. The expected life represents the period of time the stock options are expected to be outstanding and is based on the simplified method. Under the simplified method, the expected life of an option is presumed to be the mid-point between the vesting date and the end of the contractual term. The Company utilizes the simplified method due to the lack of sufficient historical exercise data to provide a reasonable basis upon which to otherwise estimate the expected life of the stock options. The Company has a limited history of trading as a public company. Therefore, the expected volatility is based on historical volatilities for publicly traded stock of comparable companies over the estimated expected life of the stock options. The Company assumes no dividend yield because it does not expect to pay dividends in the near future, which is consistent with the Company’s history of not paying dividends.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assumptions used for estimating the fair value of stock options granted for the nine months ended March 31:</w:t>
      </w:r>
    </w:p>
    <w:p>
      <w:pPr>
        <w:spacing w:after="0" w:line="219"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Period ended</w:t>
      </w: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20" w:type="dxa"/>
        <w:tblCellMar>
          <w:top w:w="0" w:type="dxa"/>
          <w:left w:w="0" w:type="dxa"/>
          <w:bottom w:w="0" w:type="dxa"/>
          <w:right w:w="0" w:type="dxa"/>
        </w:tblCellMar>
      </w:tblPr>
      <w:tr>
        <w:trPr>
          <w:trHeight w:val="142"/>
        </w:trPr>
        <w:tc>
          <w:tcPr>
            <w:tcW w:w="684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Valuation assumptions: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 – 44.5%</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 – 6.0</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0.52 – 1.94%</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r>
    </w:tbl>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during the nine months ended March 31, 2015 in the number of shares available for grant under our equity incentive plans:</w:t>
      </w:r>
    </w:p>
    <w:p>
      <w:pPr>
        <w:spacing w:after="0" w:line="14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5980" w:type="dxa"/>
            <w:vAlign w:val="bottom"/>
          </w:tcPr>
          <w:p>
            <w:pPr>
              <w:spacing w:after="0"/>
              <w:rPr>
                <w:sz w:val="15"/>
                <w:szCs w:val="15"/>
                <w:color w:val="auto"/>
              </w:rPr>
            </w:pPr>
          </w:p>
        </w:tc>
        <w:tc>
          <w:tcPr>
            <w:tcW w:w="178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grant at July 1, 2014</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2015 Evergreen provision increase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2,272</w:t>
            </w: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withheld in settlement of taxes and exercise price</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removed</w:t>
            </w:r>
          </w:p>
        </w:tc>
        <w:tc>
          <w:tcPr>
            <w:tcW w:w="1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grant at March 31, 2015</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Shares removed represents forfeitures of shares and shares withheld in settlement of taxes and payment of exercise prices related to grants made under the 2008 Plan. As noted above, no new awards will be issued under the 2008 Plan.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stock option activity during the nine months ended March 31, 2015:</w:t>
      </w:r>
    </w:p>
    <w:p>
      <w:pPr>
        <w:sectPr>
          <w:pgSz w:w="11900" w:h="16872" w:orient="portrait"/>
          <w:cols w:equalWidth="0" w:num="1">
            <w:col w:w="11360"/>
          </w:cols>
          <w:pgMar w:left="240" w:top="121" w:right="299" w:bottom="0" w:gutter="0" w:footer="0" w:header="0"/>
        </w:sectPr>
      </w:pPr>
    </w:p>
    <w:p>
      <w:pPr>
        <w:spacing w:after="0" w:line="21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7620</wp:posOffset>
            </wp:positionV>
            <wp:extent cx="40220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ectPr>
          <w:pgSz w:w="11900" w:h="16872" w:orient="portrait"/>
          <w:cols w:equalWidth="0" w:num="1">
            <w:col w:w="11360"/>
          </w:cols>
          <w:pgMar w:left="240" w:top="121" w:right="299" w:bottom="0" w:gutter="0" w:footer="0" w:header="0"/>
          <w:type w:val="continuous"/>
        </w:sectPr>
      </w:pPr>
    </w:p>
    <w:bookmarkStart w:id="8" w:name="page9"/>
    <w:bookmarkEnd w:id="8"/>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6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92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4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4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42"/>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2014</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10.00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322</w:t>
            </w:r>
          </w:p>
        </w:tc>
        <w:tc>
          <w:tcPr>
            <w:tcW w:w="94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24.80</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forfeited</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13.27</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(342)</w:t>
            </w:r>
          </w:p>
        </w:tc>
        <w:tc>
          <w:tcPr>
            <w:tcW w:w="94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7.20</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2015</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11.19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7.92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 at March 31, 2015</w:t>
            </w: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tcBorders>
              <w:bottom w:val="single" w:sz="8" w:color="CCEEFF"/>
            </w:tcBorders>
            <w:vMerge w:val="continue"/>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1,722</w:t>
            </w:r>
          </w:p>
        </w:tc>
        <w:tc>
          <w:tcPr>
            <w:tcW w:w="30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w w:val="88"/>
              </w:rPr>
              <w:t>7.31</w:t>
            </w:r>
          </w:p>
        </w:tc>
        <w:tc>
          <w:tcPr>
            <w:tcW w:w="30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7.05</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36,718</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37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Options vested and expected to vest at</w:t>
            </w:r>
          </w:p>
        </w:tc>
        <w:tc>
          <w:tcPr>
            <w:tcW w:w="9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3,951</w:t>
            </w:r>
          </w:p>
        </w:tc>
        <w:tc>
          <w:tcPr>
            <w:tcW w:w="940" w:type="dxa"/>
            <w:vAlign w:val="bottom"/>
            <w:vMerge w:val="restart"/>
            <w:shd w:val="clear" w:color="auto" w:fill="CCEEFF"/>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10.95</w:t>
            </w:r>
          </w:p>
        </w:tc>
        <w:tc>
          <w:tcPr>
            <w:tcW w:w="10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7.88</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69,920</w:t>
            </w:r>
          </w:p>
        </w:tc>
        <w:tc>
          <w:tcPr>
            <w:tcW w:w="0" w:type="dxa"/>
            <w:vAlign w:val="bottom"/>
          </w:tcPr>
          <w:p>
            <w:pPr>
              <w:spacing w:after="0"/>
              <w:rPr>
                <w:sz w:val="1"/>
                <w:szCs w:val="1"/>
                <w:color w:val="auto"/>
              </w:rPr>
            </w:pPr>
          </w:p>
        </w:tc>
      </w:tr>
      <w:tr>
        <w:trPr>
          <w:trHeight w:val="221"/>
        </w:trPr>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March 31, 2015</w:t>
            </w:r>
          </w:p>
        </w:tc>
        <w:tc>
          <w:tcPr>
            <w:tcW w:w="76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There were no options granted during the three-month period ended March 31, 2015. The weighted average grant date fair value of options granted during the three-month period ended March 31, 2014 was $7.62. The weighted average grant date fair value of options granted during the nine-month periods ended March 31, 2014 and 2015 was $6.39 and $11.15, respectively. The total intrinsic value of options exercised during the three and nine month periods ended March 31, 2015 was $5,054 and $7,117, respectively. There were no options exercised in the three-month or nine-month periods ended March 31, 2014. At March 31, 2015, there was $7,280 of total unrecognized stock-based compensation expense, net of estimated forfeitures, related to unvested stock option granted under the Plan. That expense is expected to be recognized over a weighted average period of 1.73 years.</w:t>
      </w:r>
    </w:p>
    <w:p>
      <w:pPr>
        <w:spacing w:after="0" w:line="188"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may also grant RSAs, RSUs and other equity incentive awards under the 2014 Plan with terms determined at the discretion of the compensation committee of the Company’s board of directors. The following table represents restricted stock unit activity during the nine months ended March 31, 2015:</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9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balance at July 1, 2014</w:t>
            </w: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102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cancelled/forfeited</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balance at March 31, 2015</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370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RSUs expected to vest at March 31, 2015</w:t>
            </w: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160"/>
              <w:spacing w:after="0" w:line="196" w:lineRule="exact"/>
              <w:rPr>
                <w:sz w:val="20"/>
                <w:szCs w:val="20"/>
                <w:color w:val="auto"/>
              </w:rPr>
            </w:pPr>
            <w:r>
              <w:rPr>
                <w:rFonts w:ascii="Times New Roman" w:cs="Times New Roman" w:eastAsia="Times New Roman" w:hAnsi="Times New Roman"/>
                <w:sz w:val="18"/>
                <w:szCs w:val="18"/>
                <w:color w:val="auto"/>
                <w:w w:val="88"/>
              </w:rPr>
              <w:t>338</w:t>
            </w:r>
          </w:p>
        </w:tc>
        <w:tc>
          <w:tcPr>
            <w:tcW w:w="3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24.70</w:t>
            </w: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At March 31, 2015, there was $5,503 of total unrecognized stock-based compensation expense, net of estimated forfeitures, related to unvested restricted stock awards granted under the Plan. That expense is expected to be recognized over a weighted average period of 2.07 years.</w:t>
      </w:r>
    </w:p>
    <w:p>
      <w:pPr>
        <w:spacing w:after="0" w:line="158"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Company’s 2014 Employee Stock Purchase Plan (“ESPP”) was adopted by the Company’s board of directors and approved by the stockholders on February 6, 2014 and was effective upon completion of the Company’s initial public offering.</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Company’s ESPP, the Company can grant stock purchase rights to all eligible employees during specific offering periods not to exceed twenty-seven months. Each offering period will begin on the first trading day on or after May 16 and November 16 of each year, effective after the first offering period after the Company’s initial public offering (“IPO”).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of March 31, 2015, a total of 1,100 shares of common stock have been reserved for future issuance under the ESPP. The number of shares of common stock reserved for issuance under the ESPP will increase automatically each calendar year, continuing through and including January 1, 2024. The number of shares added each year will be equal to the lesser of (a) 400, (b) seventy-five one hundredths percent (0.75%) of the number of shares of common stock of the Company issued and outstanding on the immediately preceding December 31, or (c) an amount determined by the Company’s board of directors. On January 1, 2015, the number of common shares in reserve increased by 136 shares as determined by the Company’s board of directors.</w:t>
      </w:r>
    </w:p>
    <w:p>
      <w:pPr>
        <w:spacing w:after="0" w:line="18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commenced its initial ESPP four-month offering period on July 16, 2014, issued 36 shares at the completion of that four-month offering period and commenced a six-month offering period on November 16, 2014. The Company recorded compensation expense attributable to the ESPP of $176 and $460 for the three-month and nine-month periods ended March 31, 2015, respectively, which is included in the summary of stock-based compensation expense above. The grant date fair value of the ESPP offering periods was estimated using the following weighted average assumptions:</w:t>
      </w:r>
    </w:p>
    <w:p>
      <w:pPr>
        <w:spacing w:after="0" w:line="174"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Period ended</w:t>
      </w: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840" w:type="dxa"/>
        <w:tblCellMar>
          <w:top w:w="0" w:type="dxa"/>
          <w:left w:w="0" w:type="dxa"/>
          <w:bottom w:w="0" w:type="dxa"/>
          <w:right w:w="0" w:type="dxa"/>
        </w:tblCellMar>
      </w:tblPr>
      <w:tr>
        <w:trPr>
          <w:trHeight w:val="142"/>
        </w:trPr>
        <w:tc>
          <w:tcPr>
            <w:tcW w:w="64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196"/>
        </w:trPr>
        <w:tc>
          <w:tcPr>
            <w:tcW w:w="6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Valuation assumptions:</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 – 41.7%</w:t>
            </w:r>
          </w:p>
        </w:tc>
      </w:tr>
      <w:tr>
        <w:trPr>
          <w:trHeight w:val="21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 – 0.5</w:t>
            </w:r>
          </w:p>
        </w:tc>
      </w:tr>
      <w:tr>
        <w:trPr>
          <w:trHeight w:val="21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 – 0.06%</w:t>
            </w: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401(k) Plan</w:t>
      </w:r>
    </w:p>
    <w:p>
      <w:pPr>
        <w:sectPr>
          <w:pgSz w:w="11900" w:h="16838" w:orient="portrait"/>
          <w:cols w:equalWidth="0" w:num="1">
            <w:col w:w="11400"/>
          </w:cols>
          <w:pgMar w:left="240" w:top="102" w:right="259" w:bottom="40" w:gutter="0" w:footer="0" w:header="0"/>
        </w:sectPr>
      </w:pPr>
    </w:p>
    <w:bookmarkStart w:id="9" w:name="page10"/>
    <w:bookmarkEnd w:id="9"/>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401(k) plan with a safe harbor matching provision that covers all eligible employees. The Company matches 50% of the employees’ contributions up to 6% of their gross pay. Contributions were $316 and $474 for the three-month periods ended March 31, 2014 and 2015, respectively and were $793 and $1,183 for the nine-month periods ended March 31, 2014 and 2015,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Reseller Agreements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had agreements with two organizations that sell the Company’s offerings and services in defined areas of the country, one of which was terminated in May 2014. The Company exercised its right to terminate the first reseller agreement and acquired substantially all of the assets of the reseller in May 2014 as described in Note 5 of the audited consolidated financial statements and related notes for the year ended June 30, 2014 included in the Company’s Annual Report on Form 10-K filed with the SEC on August 22, 2014. The Company paid the first reseller $898 and $2,249 during the three and nine months ended March 31, 2014, respectively, under the terminated reseller agreement. The Company paid the first reseller $400 and $2,985 during the three and nine months ended March 31, 2015, respectively, under the terms of the asset purchase agreement signed in May 2014.</w:t>
      </w:r>
    </w:p>
    <w:p>
      <w:pPr>
        <w:spacing w:after="0" w:line="188"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initial term of the second reseller agreement commenced in June 2009 and is set to expire in June 2016 unless renewed or terminated. The second reseller agreement originally provided that the reseller may terminate the agreement by providing nine months’ prior notice or upon an initial public offering by the Company. The Company amended this agreement in December of 2013 to provide that the reseller may not give a nine-month termination notice until after the earlier of (i) six months following the closing of an initial public offering by the Company or (ii) December 31, 2014. In addition, the Company, but not the reseller, has the right to terminate the agreement at any time. The Company paid the second reseller $557 and $928 during the three-month periods ended March 31, 2014 and 2015, respectively and $1,520 and $2,258 during the nine-month periods ended March 31, 2014 and 2015, respectively.</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April 2015, the Company exercised its right to terminate the second reseller agreement as part of its sales channel simplification strategy and closed on the purchase of substantially all of the reseller’s assets for an estimated purchase price of $9,529. The Company paid $8,994 at closing, will pay an estimated $235 in August 2015 and will pay an estimated $300 in January 2016 subject to any qualifying indemnification claims in accordance with the asset purchase agreement. This acquisition will be accounted for as a business combination in accordance with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xml:space="preserve"> and the Company will finalize the allocation of the purchase price to the assets acquired as the Company receives additional information regarding the acquisition, including a final valuation of the assets purchased.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For the periods presented prior to the Company’s IPO, basic and diluted net loss per common share is presented in conformity with the two-class method required for participating securities. Concurrently with the closing of the Company’s IPO on March 24, 2014, all shares of outstanding Redeemable Convertible Preferred Stock automatically converted into 11,933 shares of the Company’s common stock. Following the date of the IPO, the two-class method was no longer required as the Company has one class of securities issued and outstanding.</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Prior to the conversion of the Redeemable Convertible Preferred Stock, holders of Series A and Series B Redeemable Convertible Preferred Stock each were entitled to liquidation preferences payable prior and in preference to any dividends on any shares of the Company’s common stock. In the event a dividend was paid on common stock, the holders of Redeemable Convertible Preferred Stock were entitled to a proportionate share of any such dividend as if they were holders of common stock (on an as-if converted basis). The holders of the Company’s Redeemable Convertible Preferred Stock did not have a contractual obligation to share in the losses of the Company. The Company considered its Redeemable Convertible Preferred Stock to be participating securities and, in accordance with the two-class method, earnings allocated to Redeemable Convertible Preferred Stock and the related number of outstanding shares of Redeemable Convertible Preferred Stock have been excluded from the computation of basic and diluted net loss per common share.</w:t>
      </w:r>
    </w:p>
    <w:p>
      <w:pPr>
        <w:spacing w:after="0" w:line="18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Under the two-class method, net loss attributable to common stockholders is determined by allocating undistributed earnings, calculated as net loss less current period Redeemable Convertible Preferred Stock cumulative dividends, between common stock and Redeemable Convertible Preferred Stock. In computing diluted net loss attributable to common stockholders, undistributed earnings are re-allocated to reflect the potential impact of dilutive securities.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computed using the weighted-average number of common shares outstanding during the period. Since the Series A and Series B Redeemable Convertible Preferred Stock were entitled to participate should any common stock dividends have been declared but were not obligated to participate in any losses generated by the Company, basic net income per share is computed using the weighted-average number of common shares outstanding during the period plus the Series A and Series B Redeemable Convertible Preferred Stock on a weighted-average basis.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Diluted net loss per share is computed using the weighted-average number of common shares outstanding during the period and, if dilutive, potential common shares outstanding during the period. Since the Series A and Series B Redeemable Convertible Preferred Stock were entitled to participate should any common stock dividends be declared but were not obligated to participate in any losses generated by the Company, diluted net income per share is computed using the weighted-average number of common shares plus the Series A and Series B Redeemable Convertible Preferred Stock on a weighted-average basis and, if dilutive, potential common shares outstanding during the period. The Company’s potential common shares consist of the incremental common shares issuable upon the exercise of stock options. The dilutive effect of outstanding stock options and unvested RSU’s is reflected in diluted earnings per share by application of the treasury stock method.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w:t>
      </w:r>
    </w:p>
    <w:p>
      <w:pPr>
        <w:sectPr>
          <w:pgSz w:w="11900" w:h="16838" w:orient="portrait"/>
          <w:cols w:equalWidth="0" w:num="1">
            <w:col w:w="11400"/>
          </w:cols>
          <w:pgMar w:left="240" w:top="121" w:right="259" w:bottom="0" w:gutter="0" w:footer="0" w:header="0"/>
        </w:sectPr>
      </w:pPr>
    </w:p>
    <w:p>
      <w:pPr>
        <w:spacing w:after="0" w:line="206"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3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r>
    </w:tbl>
    <w:p>
      <w:pPr>
        <w:sectPr>
          <w:pgSz w:w="11900" w:h="16838" w:orient="portrait"/>
          <w:cols w:equalWidth="0" w:num="1">
            <w:col w:w="11400"/>
          </w:cols>
          <w:pgMar w:left="240" w:top="121" w:right="259" w:bottom="0" w:gutter="0" w:footer="0" w:header="0"/>
          <w:type w:val="continuous"/>
        </w:sectPr>
      </w:pPr>
    </w:p>
    <w:bookmarkStart w:id="10" w:name="page11"/>
    <w:bookmarkEnd w:id="10"/>
    <w:p>
      <w:pPr>
        <w:spacing w:after="0" w:line="77"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37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net income (loss) per share: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1,150</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1,752</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198"/>
        </w:trPr>
        <w:tc>
          <w:tcPr>
            <w:tcW w:w="3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Preferred dividend rights attributable to</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participating securities</w:t>
            </w:r>
          </w:p>
        </w:tc>
        <w:tc>
          <w:tcPr>
            <w:tcW w:w="8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w:t>
            </w:r>
          </w:p>
        </w:tc>
        <w:tc>
          <w:tcPr>
            <w:tcW w:w="86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60" w:type="dxa"/>
            <w:vAlign w:val="bottom"/>
            <w:vMerge w:val="continue"/>
            <w:shd w:val="clear" w:color="auto" w:fill="CCEEFF"/>
          </w:tcPr>
          <w:p>
            <w:pPr>
              <w:spacing w:after="0"/>
              <w:rPr>
                <w:sz w:val="15"/>
                <w:szCs w:val="15"/>
                <w:color w:val="auto"/>
              </w:rPr>
            </w:pPr>
          </w:p>
        </w:tc>
        <w:tc>
          <w:tcPr>
            <w:tcW w:w="840" w:type="dxa"/>
            <w:vAlign w:val="bottom"/>
            <w:vMerge w:val="restart"/>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430</w:t>
            </w:r>
          </w:p>
        </w:tc>
        <w:tc>
          <w:tcPr>
            <w:tcW w:w="860" w:type="dxa"/>
            <w:vAlign w:val="bottom"/>
            <w:vMerge w:val="restart"/>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1,752</w:t>
            </w:r>
          </w:p>
        </w:tc>
        <w:tc>
          <w:tcPr>
            <w:tcW w:w="30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(2,688)</w:t>
            </w: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221"/>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w:t>
            </w:r>
          </w:p>
        </w:tc>
        <w:tc>
          <w:tcPr>
            <w:tcW w:w="84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per share attributable to</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(in thousands)</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44,360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50,533</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32,437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49,954</w:t>
            </w:r>
          </w:p>
        </w:tc>
        <w:tc>
          <w:tcPr>
            <w:tcW w:w="0" w:type="dxa"/>
            <w:vAlign w:val="bottom"/>
          </w:tcPr>
          <w:p>
            <w:pPr>
              <w:spacing w:after="0"/>
              <w:rPr>
                <w:sz w:val="1"/>
                <w:szCs w:val="1"/>
                <w:color w:val="auto"/>
              </w:rPr>
            </w:pP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effect of potentially dilutive</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Employee stock options, restricted stock</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units and employee stock purchase plan</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(in thousands)</w:t>
            </w:r>
          </w:p>
        </w:tc>
        <w:tc>
          <w:tcPr>
            <w:tcW w:w="8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510</w:t>
            </w:r>
          </w:p>
        </w:tc>
        <w:tc>
          <w:tcPr>
            <w:tcW w:w="8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1,670</w:t>
            </w:r>
          </w:p>
        </w:tc>
        <w:tc>
          <w:tcPr>
            <w:tcW w:w="3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(in thousands)</w:t>
            </w: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44,870</w:t>
            </w: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52,203</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share attributable to</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34"/>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outstanding employee stock options, restricted stock units and shares purchasable via the employee stock purchase plan as of the balance sheet date that were excluded from the diluted per share calculation for the periods presented because to include them would have been anti-dilutive:</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1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40" w:type="dxa"/>
            <w:vAlign w:val="bottom"/>
            <w:gridSpan w:val="3"/>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16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tcBorders>
              <w:bottom w:val="single" w:sz="8" w:color="auto"/>
            </w:tcBorders>
            <w:gridSpan w:val="3"/>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6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16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21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216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an estimated annual income tax rate. The Company’s quarterly provision for income taxes also includes the tax impact of certain unusual or infrequently occurring items, if any, including changes in judgment about valuation allowances and effects of changes in tax laws or rates, in the interim period in which they occur.</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income tax benefit (expense) of $(1,042) and $(4) for the three-month periods ended March 31, 2014 and 2015, respectively and $197 and $(66) for the nine-month periods ended March 31, 2014 and 2015, respectively. The Company’s effective rate for the three and nine months ended March 31, 2014 differed from statutory rates primarily due to federal and state research and development credits and expenses not deductible for income tax reporting purposes. The Company’s effective tax rate for the three and nine months ended March 31, 2015 differ from statutory rates primarily due to the existence of a valuation allowance recorded against the preponderance of the net deferred tax assets.</w:t>
      </w:r>
    </w:p>
    <w:p>
      <w:pPr>
        <w:spacing w:after="0" w:line="18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the likelihood that it will realize the benefit of its deferred tax assets and, therefore, the need for a valuation allowance on a quarterly basis. It established a valuation allowance on all of its net deferred tax assets except for deferred tax liabilities associated with indefinite-lived intangible assets during fiscal 2014, given that the company determined that it was more</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likely than not that the Company would not recognize the benefits of its net operating loss carryforwards prior to their expiration. As of March 31, 2015, the Company had no unrecognized tax benefits.</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On September 13, 2013, the IRS issued final regulations and re-proposed regulations that provide guidance with respect to (i) the treatment of materials and supplies, (ii) capitalization of amounts paid to acquire or produce tangible property, (iii) the determination of whether an expenditure with respect to tangible property is a deductible repair or a capital expenditure, and (iv) dispositions of MACRS property. The final regulations are effective for the fiscal year ending June 30, 2015 and have not had a material impact on the Company’s results of operations, financial position,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Memorandum of Understanding (“Memorandum”) and a Non-Competition and Non-Solicitation Agreement (“Non-Compete”) with its Chairman Steve Sarowitz and Blue Marble, a separate legal entity owned by Mr. Sarowitz.</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Memorandum established the ongoing market based terms between the Company and Blue Marble for services provided to or on behalf of each other. In addition, Paylocity obtained a right of first refusal on the sale of Blue Marble, an option exercisable starting three years from the date of the Memorandum to purchase Blue Marble, and the right of first refusal to purchase any acquisition target of Blue Marble outside the United States of America, all at fair market value. The Memorandum requires Blue Marble to obtain written consent from Paylocity should Blue Marble intend to acquire an entity that</w:t>
      </w:r>
    </w:p>
    <w:p>
      <w:pPr>
        <w:sectPr>
          <w:pgSz w:w="11900" w:h="16915" w:orient="portrait"/>
          <w:cols w:equalWidth="0" w:num="1">
            <w:col w:w="11360"/>
          </w:cols>
          <w:pgMar w:left="240" w:top="114" w:right="299" w:bottom="0" w:gutter="0" w:footer="0" w:header="0"/>
        </w:sectPr>
      </w:pPr>
    </w:p>
    <w:bookmarkStart w:id="11" w:name="page12"/>
    <w:bookmarkEnd w:id="11"/>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provides or partners with other service providers to provide products and services to clients located in the United States of America. The Company provides no management guidance to the entity, has no equity interest in the entity, no obligation or intention to fund any of the entity’s operational shortfalls, and no right to any operational surpluses generated by the entity.</w:t>
      </w:r>
    </w:p>
    <w:p>
      <w:pPr>
        <w:spacing w:after="0" w:line="176"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Non-Compete agreement outlines the permissible activities and ongoing responsibilities of Mr. Sarowitz and Blue Marble including an obligation not to compete with services offered by Paylocity and an obligation not to solicit employees of Paylocity.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2015, the Company exercised its right to terminate its remaining reseller agreement. See Note 6 for further details.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elsewhere in this prospectus, particularly under the section titled “Risk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HR, payroll and finance capabilities of our clients.</w:t>
      </w:r>
    </w:p>
    <w:p>
      <w:pPr>
        <w:spacing w:after="0" w:line="18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200 related third-party systems, such as 401(k), benefits and insurance provider systems.</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functionality. We have invested in, and we intend to continue to invest in, research and development to expand our product offerings and advance our platform.</w:t>
      </w:r>
    </w:p>
    <w:p>
      <w:pPr>
        <w:spacing w:after="0" w:line="17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8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medium-sized organizations. We expect to continue to invest in and grow our implementation and client service organization as our client base grows.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our business has grown, we have become increasingly subject to the risks arising from adverse changes in domestic and global economic conditions. If general economic conditions were to deteriorate further, including declines in private sector employment growth and business productivity, increases in the unemployment rate and changes in interest rates, we may experience delays in our sales cycles, increased pressure from prospective customers to offer discounts and increased pressure from existing customers to renew expiring recurring revenue agreements for lower amounts. Our interest income on funds held for clients continues to be negatively impacted by historically low interest rates.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operating subsidiary Paylocity Corporation was incorporated in July 1997 as an Illinois corporation. In November 2013, we formed Paylocity Holding Corporation, a Delaware corporation, of which Paylocity Corporation is now a wholly-owned subsidiary. Paylocity Holding Corporation had no</w:t>
      </w:r>
    </w:p>
    <w:p>
      <w:pPr>
        <w:sectPr>
          <w:pgSz w:w="11900" w:h="16838" w:orient="portrait"/>
          <w:cols w:equalWidth="0" w:num="1">
            <w:col w:w="11420"/>
          </w:cols>
          <w:pgMar w:left="240" w:top="121" w:right="239" w:bottom="0" w:gutter="0" w:footer="0" w:header="0"/>
        </w:sectPr>
      </w:pPr>
    </w:p>
    <w:bookmarkStart w:id="12" w:name="page13"/>
    <w:bookmarkEnd w:id="12"/>
    <w:p>
      <w:pPr>
        <w:ind w:right="380"/>
        <w:spacing w:after="0" w:line="282" w:lineRule="auto"/>
        <w:rPr>
          <w:sz w:val="20"/>
          <w:szCs w:val="20"/>
          <w:color w:val="auto"/>
        </w:rPr>
      </w:pPr>
      <w:r>
        <w:rPr>
          <w:rFonts w:ascii="Times New Roman" w:cs="Times New Roman" w:eastAsia="Times New Roman" w:hAnsi="Times New Roman"/>
          <w:sz w:val="18"/>
          <w:szCs w:val="18"/>
          <w:color w:val="auto"/>
        </w:rPr>
        <w:t>operations prior to the restructuring. All of our business operations have historically been, and are currently, conducted by Paylocity Corporation, and the operating financial results presented herein are entirely attributable to the results of its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 Growth</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$74.8 million for the nine months ended March 31, 2014 to $105.9 million for the nine months ended March 31, 2015, representing a 42% year-over-year increase. Recurring revenue represented 94% of total revenue during the nine months ended March 31, 2014 and 2015. Recurring revenue increased from $31.2 million for the three months ended March 31, 2014 to $43.9 million for the three months ended March 31, 2015, representing a 41% year-over-year increase. Recurring revenue represented 92% and 93% of total revenue for the three month periods ended March 31, 2014 and 2015,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Fees from New Clients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calculate recurring fees from new clients as the percentage of year-to-date recurring fees from all clients on our solutions which had not been on or used any of our solutions for a full year as of the start of the current fiscal year. We believe recurring fees from new clients is an important metric to measure the expansion of our existing client base as well as the growth in our client base. Our recurring fees from new clients was 41% and 42% for the nine-month periods ended March 31, 2014 and 2015,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Adjusted Recurring Gross Profit and Adjusted EBITDA</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it to enhance investors’ understanding of our operating performance and cash flows.</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loss or cash provided by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stock-based compensation expenses, and employer payroll tax related to stock releases and option exercises, if any. We define Adjusted Recurring Gross Profit as total recurring revenues after cost of recurring revenues and before amortization of capitalized internal-use software, stock-based compensation expenses, and employer payroll tax related to stock releases and option exercises, if any. We define Adjusted EBITDA as net loss before interest expense (income), income tax expense (benefit), depreciation and amortization, stock-based compensation expenses, and employer payroll tax related to stock releases and option exercises, if any. The table below sets forth our Adjusted Gross Profit, Adjusted Recurring Gross Profit and Adjusted EBITDA for the periods presented.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center"/>
              <w:ind w:left="47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060" w:type="dxa"/>
            <w:vAlign w:val="bottom"/>
            <w:gridSpan w:val="2"/>
            <w:shd w:val="clear" w:color="auto" w:fill="CCEEFF"/>
          </w:tcPr>
          <w:p>
            <w:pPr>
              <w:jc w:val="right"/>
              <w:ind w:right="68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19,631</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29,435</w:t>
            </w:r>
          </w:p>
        </w:tc>
        <w:tc>
          <w:tcPr>
            <w:tcW w:w="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42,069</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64,130</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Adjusted Recurring Gross Profit</w:t>
            </w:r>
          </w:p>
        </w:tc>
        <w:tc>
          <w:tcPr>
            <w:tcW w:w="1060" w:type="dxa"/>
            <w:vAlign w:val="bottom"/>
            <w:gridSpan w:val="2"/>
          </w:tcPr>
          <w:p>
            <w:pPr>
              <w:jc w:val="right"/>
              <w:ind w:right="68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21,657</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32,415</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49,426</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74,447</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60" w:type="dxa"/>
            <w:vAlign w:val="bottom"/>
            <w:gridSpan w:val="2"/>
            <w:shd w:val="clear" w:color="auto" w:fill="CCEEFF"/>
          </w:tcPr>
          <w:p>
            <w:pPr>
              <w:jc w:val="right"/>
              <w:ind w:right="68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7,526</w:t>
            </w:r>
          </w:p>
        </w:tc>
        <w:tc>
          <w:tcPr>
            <w:tcW w:w="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5,722</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7,651</w:t>
            </w:r>
          </w:p>
        </w:tc>
      </w:tr>
      <w:tr>
        <w:trPr>
          <w:trHeight w:val="340"/>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center"/>
              <w:ind w:left="47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gridSpan w:val="2"/>
          </w:tcPr>
          <w:p>
            <w:pPr>
              <w:jc w:val="right"/>
              <w:ind w:right="68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18,841</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27,990</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40,050</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59,914</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capitalized research and development costs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580</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r>
      <w:tr>
        <w:trPr>
          <w:trHeight w:val="198"/>
        </w:trPr>
        <w:tc>
          <w:tcPr>
            <w:tcW w:w="4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210</w:t>
            </w:r>
          </w:p>
        </w:tc>
        <w:tc>
          <w:tcPr>
            <w:tcW w:w="5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2,295</w:t>
            </w:r>
          </w:p>
        </w:tc>
      </w:tr>
      <w:tr>
        <w:trPr>
          <w:trHeight w:val="210"/>
        </w:trPr>
        <w:tc>
          <w:tcPr>
            <w:tcW w:w="4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Gross Profit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center"/>
              <w:ind w:left="47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4"/>
        </w:trPr>
        <w:tc>
          <w:tcPr>
            <w:tcW w:w="47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from Total Recurring Revenues to Adjusted</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Recurring Gross Profit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revenues</w:t>
            </w:r>
          </w:p>
        </w:tc>
        <w:tc>
          <w:tcPr>
            <w:tcW w:w="1060" w:type="dxa"/>
            <w:vAlign w:val="bottom"/>
            <w:gridSpan w:val="2"/>
          </w:tcPr>
          <w:p>
            <w:pPr>
              <w:jc w:val="right"/>
              <w:ind w:right="68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31,210</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43,936</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74,824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105,886</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recurring revenues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10,246</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12,606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27,320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34,616</w:t>
            </w:r>
          </w:p>
        </w:tc>
      </w:tr>
      <w:tr>
        <w:trPr>
          <w:trHeight w:val="210"/>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gross profit</w:t>
            </w: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20,964</w:t>
            </w: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47,504</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71,270</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capitalized research and development costs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580</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r>
    </w:tbl>
    <w:p>
      <w:pPr>
        <w:sectPr>
          <w:pgSz w:w="11900" w:h="16838" w:orient="portrait"/>
          <w:cols w:equalWidth="0" w:num="1">
            <w:col w:w="11420"/>
          </w:cols>
          <w:pgMar w:left="240" w:top="121"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113</w:t>
            </w:r>
          </w:p>
        </w:tc>
        <w:tc>
          <w:tcPr>
            <w:tcW w:w="5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w:t>
            </w:r>
          </w:p>
        </w:tc>
        <w:tc>
          <w:tcPr>
            <w:tcW w:w="40" w:type="dxa"/>
            <w:vAlign w:val="bottom"/>
          </w:tcPr>
          <w:p>
            <w:pPr>
              <w:spacing w:after="0"/>
              <w:rPr>
                <w:sz w:val="18"/>
                <w:szCs w:val="18"/>
                <w:color w:val="auto"/>
              </w:rPr>
            </w:pPr>
          </w:p>
        </w:tc>
      </w:tr>
      <w:tr>
        <w:trPr>
          <w:trHeight w:val="234"/>
        </w:trPr>
        <w:tc>
          <w:tcPr>
            <w:tcW w:w="4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Recurring Gross Profit</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w:t>
            </w:r>
          </w:p>
        </w:tc>
        <w:tc>
          <w:tcPr>
            <w:tcW w:w="3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49,426</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3"/>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center"/>
              <w:ind w:left="47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(Loss) to Adjusted EBITDA</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1,752</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(9,543)</w:t>
            </w:r>
          </w:p>
        </w:tc>
        <w:tc>
          <w:tcPr>
            <w:tcW w:w="4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4,544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6,245</w:t>
            </w:r>
          </w:p>
        </w:tc>
        <w:tc>
          <w:tcPr>
            <w:tcW w:w="40" w:type="dxa"/>
            <w:vAlign w:val="bottom"/>
          </w:tcPr>
          <w:p>
            <w:pPr>
              <w:spacing w:after="0"/>
              <w:rPr>
                <w:sz w:val="18"/>
                <w:szCs w:val="18"/>
                <w:color w:val="auto"/>
              </w:rPr>
            </w:pPr>
          </w:p>
        </w:tc>
      </w:tr>
      <w:tr>
        <w:trPr>
          <w:trHeight w:val="21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4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3,685</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1,714</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10,883</w:t>
            </w:r>
          </w:p>
        </w:tc>
        <w:tc>
          <w:tcPr>
            <w:tcW w:w="40" w:type="dxa"/>
            <w:vAlign w:val="bottom"/>
          </w:tcPr>
          <w:p>
            <w:pPr>
              <w:spacing w:after="0"/>
              <w:rPr>
                <w:sz w:val="20"/>
                <w:szCs w:val="20"/>
                <w:color w:val="auto"/>
              </w:rPr>
            </w:pPr>
          </w:p>
        </w:tc>
      </w:tr>
      <w:tr>
        <w:trPr>
          <w:trHeight w:val="21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3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8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8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Fees</w:t>
      </w:r>
    </w:p>
    <w:p>
      <w:pPr>
        <w:spacing w:after="0" w:line="22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clients have consistently had on average over 100 employees. We derive revenue from a client based on the solutions purchased by the client, the number of client employees as well as the amount, type and timing of services provided in respect of those client employees. As such, the number of client employees on our system is not a good indicator of our financial results in any period. Recurring fees attributable to our cloud-based payroll and HCM solutions accounted for 91% and 92% of our total revenues during each of the three-month periods ended March 31, 2014 and 2015, respectively, and 92% and 93% of our total revenues during each of the nine-month periods ended March 31, 2014 and 2015, respectively.</w:t>
      </w:r>
    </w:p>
    <w:p>
      <w:pPr>
        <w:spacing w:after="0" w:line="185"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Our agreements with clients do not have a specified term and are generally cancellable by the client on 60 days’ or less notice. Our agreements do not include general rights of return and do not provide clients with the right to take possession of the software supporting the services being provided. We recognize recurring fees in the period in which services are provided and when collection of fees is reasonably assured and the amount of fees is fixed or determinable.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financial institutions with which we have automated clearing house, or ACH, arrangements.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Services and Other</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Implementation services and other revenues primarily consist of implementation fees charged to new clients for professional services provided to implement and configure our payroll and HCM solutions. Implementations of our payroll solutions typically require only three to six weeks at which point the new client’s payroll is first run using our solution, our implementation services are deemed completed, and we recognize the related revenue. We implement additional HCM products as requested by clients and leverage the data within our payroll solution to accelerate our implementation processes. Implementation services and other revenues may fluctuate significantly from quarter to quarter based on the number of new clients, pricing and the product utilization.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Recurring Revenues</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Costs of recurring revenues are generally expensed as incurred and include costs to provide our payroll and other HCM solutions primarily consisting of employee-related expenses (including wages, stock-based compensation expense, bonuses and benefits) and costs relating to the provision of ongoing client support, payroll tax filing, distribution of printed checks and other materials. These costs also include third-party reseller costs, delivery costs, computing costs and amortization of capitalized software costs, as well as bank fees associated with client fund transfers. We expect to realize cost efficiencies over the long term as our business scales, resulting in improved operating leverage and increased margins.</w:t>
      </w:r>
    </w:p>
    <w:p>
      <w:pPr>
        <w:spacing w:after="0" w:line="184"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costs for software developed for internal use, which are then all amortized as a cost of recurring revenues. We amortized $0.6 million during both of the three months ended March 31, 2014 and 2015, and $1.8 million and $1.9 million during each of the nine months ended March 31, 2014 and 2015,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Implementation Services and Other</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Cost of implementation services and other consists almost entirely of employee-related expenses involved in the implementation of our payroll and other HCM solutions for new clients. Implementation costs are generally fixed in the short-term</w:t>
      </w:r>
    </w:p>
    <w:p>
      <w:pPr>
        <w:sectPr>
          <w:pgSz w:w="11900" w:h="16838" w:orient="portrait"/>
          <w:cols w:equalWidth="0" w:num="1">
            <w:col w:w="11460"/>
          </w:cols>
          <w:pgMar w:left="240" w:top="121" w:right="199" w:bottom="0" w:gutter="0" w:footer="0" w:header="0"/>
        </w:sectPr>
      </w:pPr>
    </w:p>
    <w:bookmarkStart w:id="14" w:name="page15"/>
    <w:bookmarkEnd w:id="14"/>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and exceed associated implementation revenue charged to each client. We intend to grow our business through acquisition of new clients, and doing so will require increased personnel to implement our solutions. Therefore our cost of implementation services and other is expected to increase in absolute dollars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Sales and marketing expenses consist primarily of employee-related expenses for our direct sales and marketing staff, including wages, commissions, stock-based compensation expense, bonuses and benefits, marketing expenses and other related costs. Commissions are primarily earned and recognized in the month when implementation is complete and the client first utilizes a service. Bonuses paid to sales staff for attainment of certain performance criteria are accrued in the fiscal year in which they are earned and are subsequently paid annually in the first fiscal quarter of the following year.</w:t>
      </w:r>
    </w:p>
    <w:p>
      <w:pPr>
        <w:spacing w:after="0" w:line="16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staff, including wages, stock-based compensation expense, benefits and bonuses. Additional expenses include costs related to the development, maintenance, quality assurance and testing of new technologies and ongoing refinement of our existing solutions. Research and development expenses, other than software development expenses qualifying for capitalization, are expensed as incurred.</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nine months ended March 31, 2014 and 2015, respectively.</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9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78"/>
        </w:trPr>
        <w:tc>
          <w:tcPr>
            <w:tcW w:w="29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Capitalized portion of research and</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1320" w:type="dxa"/>
            <w:vAlign w:val="bottom"/>
            <w:gridSpan w:val="2"/>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1,136</w:t>
            </w:r>
          </w:p>
        </w:tc>
        <w:tc>
          <w:tcPr>
            <w:tcW w:w="6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6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2,995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3,034</w:t>
            </w:r>
          </w:p>
        </w:tc>
      </w:tr>
      <w:tr>
        <w:trPr>
          <w:trHeight w:val="198"/>
        </w:trPr>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Expensed portion of research and</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2,443</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6,746</w:t>
            </w:r>
          </w:p>
        </w:tc>
        <w:tc>
          <w:tcPr>
            <w:tcW w:w="5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14,351</w:t>
            </w: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other employee-related costs, including wages, benefits, stock-based compensation expense and bonuses for our administrative, finance, accounting, and human resources departments. Additional expenses include consulting and professional fees, insurance and other corporate expenses.</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as a result of our operation as a public company. These expenses will also include costs associated with compliance with the Sarbanes-Oxley Act and other regulations governing public companies, increased costs of directors’ and officers’ liability insurance and increased professional services expenses.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consists primarily of interest income and expense. Interest income represents interest received on our cash and cash equivalents. Interest expense consists primarily of the interest incurred on borrowings under notes payable, if any. As of March 31, 2015, the Company had no notes payable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06" w:lineRule="exact"/>
        <w:rPr>
          <w:sz w:val="20"/>
          <w:szCs w:val="20"/>
          <w:color w:val="auto"/>
        </w:rPr>
      </w:pPr>
    </w:p>
    <w:tbl>
      <w:tblPr>
        <w:tblLayout w:type="fixed"/>
        <w:tblInd w:w="4120" w:type="dxa"/>
        <w:tblCellMar>
          <w:top w:w="0" w:type="dxa"/>
          <w:left w:w="0" w:type="dxa"/>
          <w:bottom w:w="0" w:type="dxa"/>
          <w:right w:w="0" w:type="dxa"/>
        </w:tblCellMar>
      </w:tblPr>
      <w:tr>
        <w:trPr>
          <w:trHeight w:val="161"/>
        </w:trPr>
        <w:tc>
          <w:tcPr>
            <w:tcW w:w="218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140" w:type="dxa"/>
            <w:vAlign w:val="bottom"/>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180" w:type="dxa"/>
            <w:vAlign w:val="bottom"/>
            <w:tcBorders>
              <w:bottom w:val="single" w:sz="8" w:color="auto"/>
            </w:tcBorders>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2180" w:type="dxa"/>
            <w:vAlign w:val="bottom"/>
            <w:tcBorders>
              <w:bottom w:val="single" w:sz="8" w:color="auto"/>
            </w:tcBorders>
          </w:tcPr>
          <w:p>
            <w:pPr>
              <w:jc w:val="right"/>
              <w:ind w:right="128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6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14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r>
      <w:tr>
        <w:trPr>
          <w:trHeight w:val="144"/>
        </w:trPr>
        <w:tc>
          <w:tcPr>
            <w:tcW w:w="2180" w:type="dxa"/>
            <w:vAlign w:val="bottom"/>
          </w:tcPr>
          <w:p>
            <w:pPr>
              <w:jc w:val="center"/>
              <w:ind w:left="788"/>
              <w:spacing w:after="0" w:line="14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140" w:type="dxa"/>
            <w:vAlign w:val="bottom"/>
          </w:tcPr>
          <w:p>
            <w:pPr>
              <w:jc w:val="center"/>
              <w:ind w:right="788"/>
              <w:spacing w:after="0" w:line="144" w:lineRule="exact"/>
              <w:rPr>
                <w:sz w:val="20"/>
                <w:szCs w:val="20"/>
                <w:color w:val="auto"/>
              </w:rPr>
            </w:pPr>
            <w:r>
              <w:rPr>
                <w:rFonts w:ascii="Times New Roman" w:cs="Times New Roman" w:eastAsia="Times New Roman" w:hAnsi="Times New Roman"/>
                <w:sz w:val="14"/>
                <w:szCs w:val="14"/>
                <w:b w:val="1"/>
                <w:bCs w:val="1"/>
                <w:color w:val="auto"/>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wp:posOffset>
            </wp:positionV>
            <wp:extent cx="627761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77610" cy="27432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Data: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w:t>
      </w:r>
    </w:p>
    <w:p>
      <w:pPr>
        <w:sectPr>
          <w:pgSz w:w="11900" w:h="16902" w:orient="portrait"/>
          <w:cols w:equalWidth="0" w:num="1">
            <w:col w:w="11400"/>
          </w:cols>
          <w:pgMar w:left="240" w:top="337" w:right="25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 fees</w:t>
            </w:r>
          </w:p>
        </w:tc>
        <w:tc>
          <w:tcPr>
            <w:tcW w:w="68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30,719</w:t>
            </w:r>
          </w:p>
        </w:tc>
        <w:tc>
          <w:tcPr>
            <w:tcW w:w="6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43,335</w:t>
            </w:r>
          </w:p>
        </w:tc>
        <w:tc>
          <w:tcPr>
            <w:tcW w:w="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73,602</w:t>
            </w:r>
          </w:p>
        </w:tc>
        <w:tc>
          <w:tcPr>
            <w:tcW w:w="54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104,532</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601</w:t>
            </w:r>
          </w:p>
        </w:tc>
        <w:tc>
          <w:tcPr>
            <w:tcW w:w="4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w:t>
            </w: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recurring revenues</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43,936</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105,886</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3,336</w:t>
            </w:r>
          </w:p>
        </w:tc>
        <w:tc>
          <w:tcPr>
            <w:tcW w:w="4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6,808</w:t>
            </w: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47,272</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112,694</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3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 revenues</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10,246</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12,606</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27,320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34,616</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6,676</w:t>
            </w:r>
          </w:p>
        </w:tc>
        <w:tc>
          <w:tcPr>
            <w:tcW w:w="4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12,670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18,164</w:t>
            </w: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of revenues</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19,282</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52,780</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2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59,914</w:t>
            </w:r>
          </w:p>
        </w:tc>
        <w:tc>
          <w:tcPr>
            <w:tcW w:w="100" w:type="dxa"/>
            <w:vAlign w:val="bottom"/>
            <w:tcBorders>
              <w:bottom w:val="single" w:sz="8" w:color="CCEEFF"/>
            </w:tcBorders>
          </w:tcPr>
          <w:p>
            <w:pPr>
              <w:spacing w:after="0"/>
              <w:rPr>
                <w:sz w:val="18"/>
                <w:szCs w:val="18"/>
                <w:color w:val="auto"/>
              </w:rPr>
            </w:pPr>
          </w:p>
        </w:tc>
        <w:tc>
          <w:tcPr>
            <w:tcW w:w="920" w:type="dxa"/>
            <w:vAlign w:val="bottom"/>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3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8,678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12,673</w:t>
            </w:r>
          </w:p>
        </w:tc>
        <w:tc>
          <w:tcPr>
            <w:tcW w:w="4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19,290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31,152</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5,053</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6,746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14,351</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5,587</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8,559</w:t>
            </w:r>
          </w:p>
        </w:tc>
        <w:tc>
          <w:tcPr>
            <w:tcW w:w="4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24,068</w:t>
            </w: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69,571</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2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2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revenue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2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7"/>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center"/>
              <w:ind w:left="10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gridSpan w:val="2"/>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5"/>
          </w:tcPr>
          <w:p>
            <w:pPr>
              <w:jc w:val="center"/>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center"/>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42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Data:</w:t>
            </w: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 fees</w:t>
            </w:r>
          </w:p>
        </w:tc>
        <w:tc>
          <w:tcPr>
            <w:tcW w:w="8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860" w:type="dxa"/>
            <w:vAlign w:val="bottom"/>
          </w:tcPr>
          <w:p>
            <w:pPr>
              <w:spacing w:after="0"/>
              <w:rPr>
                <w:sz w:val="18"/>
                <w:szCs w:val="18"/>
                <w:color w:val="auto"/>
              </w:rPr>
            </w:pPr>
          </w:p>
        </w:tc>
        <w:tc>
          <w:tcPr>
            <w:tcW w:w="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recurring revenues</w:t>
            </w: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4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860" w:type="dxa"/>
            <w:vAlign w:val="bottom"/>
          </w:tcPr>
          <w:p>
            <w:pPr>
              <w:spacing w:after="0"/>
              <w:rPr>
                <w:sz w:val="18"/>
                <w:szCs w:val="18"/>
                <w:color w:val="auto"/>
              </w:rPr>
            </w:pPr>
          </w:p>
        </w:tc>
        <w:tc>
          <w:tcPr>
            <w:tcW w:w="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4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100%</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Cost of revenues:</w:t>
            </w:r>
          </w:p>
        </w:tc>
        <w:tc>
          <w:tcPr>
            <w:tcW w:w="8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 revenues</w:t>
            </w:r>
          </w:p>
        </w:tc>
        <w:tc>
          <w:tcPr>
            <w:tcW w:w="8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860" w:type="dxa"/>
            <w:vAlign w:val="bottom"/>
          </w:tcPr>
          <w:p>
            <w:pPr>
              <w:spacing w:after="0"/>
              <w:rPr>
                <w:sz w:val="18"/>
                <w:szCs w:val="18"/>
                <w:color w:val="auto"/>
              </w:rPr>
            </w:pPr>
          </w:p>
        </w:tc>
        <w:tc>
          <w:tcPr>
            <w:tcW w:w="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of revenues</w:t>
            </w: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4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4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18"/>
                <w:szCs w:val="18"/>
                <w:color w:val="auto"/>
              </w:rPr>
            </w:pPr>
          </w:p>
        </w:tc>
        <w:tc>
          <w:tcPr>
            <w:tcW w:w="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4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4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4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2014 and 2015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CCEEFF"/>
            </w:tcBorders>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fees</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30,719</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12,616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4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491</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780</w:t>
            </w:r>
          </w:p>
        </w:tc>
        <w:tc>
          <w:tcPr>
            <w:tcW w:w="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4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Fees</w:t>
      </w:r>
    </w:p>
    <w:p>
      <w:pPr>
        <w:spacing w:after="0" w:line="22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Recurring fees for the three months ended March 31, 2015 increased by $12.6 million, or 41%, to $43.3 million from $30.7 million for the three months ended March 31, 2014. Recurring fees increased primarily as a result of revenue from new clients and increased revenue per client.</w:t>
      </w:r>
    </w:p>
    <w:p>
      <w:pPr>
        <w:sectPr>
          <w:pgSz w:w="11900" w:h="16838" w:orient="portrait"/>
          <w:cols w:equalWidth="0" w:num="1">
            <w:col w:w="11460"/>
          </w:cols>
          <w:pgMar w:left="240" w:top="140" w:right="199" w:bottom="0" w:gutter="0" w:footer="0" w:header="0"/>
        </w:sectPr>
      </w:pP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March 31, 2015 was not materially different as compared to the three months ended March 31, 2014. The increase in interest income was primarily due to an increase in the amount of funds held for clients.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Services and Other</w:t>
      </w:r>
    </w:p>
    <w:p>
      <w:pPr>
        <w:spacing w:after="0" w:line="22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Implementation services and other revenue for the three months ended March 31, 2015 increased by $0.8 million, or 31%, to $3.3 million from $2.6 million for the three months ended March 31, 2014. Implementation services and other revenue increased primarily as a result of an increase in the number of new clients during the three months ended March 31, 2015 in comparison to the three months ended March 31,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center"/>
              <w:ind w:left="5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recurring revenues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recurring revenues</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gross margin</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Cost of implementation services and other</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4,679</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6,676</w:t>
            </w: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1,997</w:t>
            </w: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Percentage of implementation services and other</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Implementation gross margin</w:t>
            </w:r>
          </w:p>
        </w:tc>
        <w:tc>
          <w:tcPr>
            <w:tcW w:w="3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4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Recurring Revenues</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Cost of recurring revenues for the three months ended March 31, 2015 increased by $2.4 million, or 23%, to $12.6 million from $10.2 million for the three months ended March 31, 2014. Cost of recurring revenues increased primarily as a result of the continued growth of our business, in particular</w:t>
      </w: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$1.3 million in employee-related costs resulting from additional personnel necessary to provide services to new and existing clients, $0.3 million stock-based compensation expense associated with our broad based equity incentive plan and $1.2 million of fees related to the delivery of our services, partially offset by a $0.5 million decrease in reseller expenses primarily due to our acquisition of substantially all of the assets of one of our resellers during fiscal 2014.</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Recurring gross margin increased from 67% for the three months ended March 31, 2014 to 71% for the three months ended March 31, 2015, primarily due to the reduction in reseller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Implementation Services and Other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implementation services and other for the three months ended March 31, 2015 increased by $2.0 million, or 43%, to $6.7 million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 million for the three months ended March 31, 2014. Cost of implementation services and other increased primarily due to an increase in new clients,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corresponding increase of $1.4 million in employee-related and other costs to implement our solutions for new clients and $0.3 million stock-based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during the three months ended March 31, 2015.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3"/>
          </w:tcPr>
          <w:p>
            <w:pPr>
              <w:jc w:val="center"/>
              <w:ind w:left="58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vMerge w:val="continue"/>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for the three months ended March 31, 2015 increased by $4.0 million, or 46%, to $12.7 million from $8.7 million for the three months ended March 31, 2014. The increase in sales and marketing expenses was primarily the result of $3.2 million of additional employee-related expenses incurred due to the expansion of our sales team by 50 personnel (including management, direct sales and sales administration) and the addition of 9 sales lead generation personnel. The increase was also attributable to $0.7 million of stock-based compensation expense during the three months ended March 31, 2015 associated with our broad based equity incentive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center"/>
              <w:ind w:left="54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for the three months ended March 31, 2015 increased by $2.6 million, or 107%, to $5.1 million from $2.4 million for the three months ended March 31, 2014. The increase in research and development expense was primarily as a result of $1.9 million in employee-related expenses related to 55 additional development personnel and $0.7 million of stock-based compensation expense associated with our broad based equity</w:t>
      </w:r>
    </w:p>
    <w:p>
      <w:pPr>
        <w:sectPr>
          <w:pgSz w:w="11900" w:h="16838" w:orient="portrait"/>
          <w:cols w:equalWidth="0" w:num="1">
            <w:col w:w="11420"/>
          </w:cols>
          <w:pgMar w:left="240" w:top="364" w:right="239" w:bottom="0" w:gutter="0" w:footer="0" w:header="0"/>
        </w:sectPr>
      </w:pPr>
    </w:p>
    <w:bookmarkStart w:id="17" w:name="page18"/>
    <w:bookmarkEnd w:id="17"/>
    <w:p>
      <w:pPr>
        <w:spacing w:after="0" w:line="3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incentive plan. The Company’s emphasis is on hiring highly skilled technical personnel as well as expanding the management team in this area, resulting in higher average salaries and increased research and development expense per incremental employee for the three months ended March 31, 2015.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center"/>
              <w:ind w:left="54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2015 increased by $3.0 million, or 53%, to $8.6 million from</w:t>
      </w:r>
    </w:p>
    <w:p>
      <w:pPr>
        <w:spacing w:after="0" w:line="27"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$5.6 million for the three months ended March 31, 2014. The increase was primarily the result of $1.5 million of employee-related expenses related to 25 additional personnel, $0.3 million of additional stock-based compensation expense, $0.4 million of increased occupancy costs incurred as a result of our requirement for added office space and $0.3 million of professional fees.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00" w:type="dxa"/>
            <w:vAlign w:val="bottom"/>
            <w:gridSpan w:val="4"/>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gridSpan w:val="4"/>
          </w:tcPr>
          <w:p>
            <w:pPr>
              <w:jc w:val="center"/>
              <w:ind w:right="49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for the three months ended March 31, 2015 was not materially different as compared to the three months ended March 31, 2014.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gridSpan w:val="3"/>
          </w:tcPr>
          <w:p>
            <w:pPr>
              <w:jc w:val="center"/>
              <w:ind w:right="50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80" w:type="dxa"/>
            <w:vAlign w:val="bottom"/>
            <w:gridSpan w:val="3"/>
          </w:tcPr>
          <w:p>
            <w:pPr>
              <w:jc w:val="center"/>
              <w:ind w:right="50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right="5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70"/>
              </w:rPr>
              <w:t>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8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Pr>
          <w:p>
            <w:pPr>
              <w:spacing w:after="0"/>
              <w:rPr>
                <w:sz w:val="20"/>
                <w:szCs w:val="20"/>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for the three months ended March 31, 2015 decreased by $1.0 million as compared to the three months ended March 31, 2014 due to the recognition of a deferred tax asset valuation allowance since the three month period ended March 31,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March 31, 2014 and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fees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1,222</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1,354</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5,216</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6,808</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1,592</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Fees</w:t>
      </w:r>
    </w:p>
    <w:p>
      <w:pPr>
        <w:spacing w:after="0" w:line="22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Recurring fees for the nine months ended March 31, 2015 increased by $30.9 million, or 42%, to $104.5 million from $73.6 million for the nine months ended March 31, 2014. Recurring fees increased primarily as a result of revenue from new clients and increased revenue per client.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nine months ended March 31, 2015 was not materially different as compared to the nine months ended March 31, 2014. The increase in interest income was due to an increase in the amount of funds held for clients, partially offset by declining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Services and Other</w:t>
      </w:r>
    </w:p>
    <w:p>
      <w:pPr>
        <w:spacing w:after="0" w:line="227" w:lineRule="exact"/>
        <w:rPr>
          <w:sz w:val="20"/>
          <w:szCs w:val="20"/>
          <w:color w:val="auto"/>
        </w:rPr>
      </w:pPr>
    </w:p>
    <w:p>
      <w:pPr>
        <w:ind w:right="520" w:firstLine="648"/>
        <w:spacing w:after="0" w:line="313" w:lineRule="auto"/>
        <w:rPr>
          <w:sz w:val="20"/>
          <w:szCs w:val="20"/>
          <w:color w:val="auto"/>
        </w:rPr>
      </w:pPr>
      <w:r>
        <w:rPr>
          <w:rFonts w:ascii="Times New Roman" w:cs="Times New Roman" w:eastAsia="Times New Roman" w:hAnsi="Times New Roman"/>
          <w:sz w:val="17"/>
          <w:szCs w:val="17"/>
          <w:color w:val="auto"/>
        </w:rPr>
        <w:t>Implementation services and other revenue for the nine months ended March 31, 2015 increased by $1.6 million, or 31%, to $6.8 million from $5.2 million for the nine months ended March 31, 2014. Implementation services and other revenue increased primarily as a result of an increase in the</w:t>
      </w:r>
    </w:p>
    <w:p>
      <w:pPr>
        <w:sectPr>
          <w:pgSz w:w="11900" w:h="16876" w:orient="portrait"/>
          <w:cols w:equalWidth="0" w:num="1">
            <w:col w:w="11420"/>
          </w:cols>
          <w:pgMar w:left="240" w:top="121" w:right="239" w:bottom="0" w:gutter="0" w:footer="0" w:header="0"/>
        </w:sectPr>
      </w:pPr>
    </w:p>
    <w:bookmarkStart w:id="18" w:name="page19"/>
    <w:bookmarkEnd w:id="18"/>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new clients during the nine months ended March 31, 2015 in comparison to the nine months ended March 31, 2014.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3"/>
          </w:tcPr>
          <w:p>
            <w:pPr>
              <w:jc w:val="center"/>
              <w:ind w:left="55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recurring revenues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recurring revenues</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gross margin</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Cost of implementation services and other</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12,670</w:t>
            </w:r>
          </w:p>
        </w:tc>
        <w:tc>
          <w:tcPr>
            <w:tcW w:w="4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18,164</w:t>
            </w: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5,494</w:t>
            </w: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Percentage of implementation services and other</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Implementation gross margin</w:t>
            </w:r>
          </w:p>
        </w:tc>
        <w:tc>
          <w:tcPr>
            <w:tcW w:w="3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4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Recurring Revenues</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Cost of recurring revenues for the nine months ended March 31, 2015 increased by $7.3 million, or 27%, to $34.6 million from $27.3 million for the nine months ended March 31, 2014. Cost of recurring revenues increased primarily as a result of the continued growth of our business, in particular</w:t>
      </w: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$3.8 million in employee-related costs resulting from additional personnel necessary to provide services to new and existing clients, $1.1 million stock-based compensation expense associated with our broad based equity incentive plan and $3.8 million of fees related to the delivery of our services, partially offset by a $1.5 million decrease in reseller expenses primarily due to our acquisition of substantially all of the assets of one of our resellers during fiscal 2014.</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Recurring gross margin increased from 63% for the nine months ended March 31, 2014 to 67% for the nine months ended March 31, 2015, primarily due to the reduction in reseller expenses as well as a reduction in amortization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Implementation Services and Other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implementation services and other for the nine months ended March 31, 2015 increased by $5.5 million, or 43%, to $18.2 million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 million for the nine months ended March 31, 2014. Cost of implementation services and other increased primarily due to an increase in new clients,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corresponding increase of $4.0 million in employee-related and other costs to implement our solutions for new clients and $0.9 million of stock-based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during the nine months ended March 31, 2015.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3"/>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ind w:left="60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vMerge w:val="continue"/>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for the nine months ended March 31, 2015 increased by $11.9 million, or 61%, to $31.2 million from $19.3 million for the nine months ended March 31, 2014. The increase in sales and marketing expenses was primarily the result of $9.1 million of employee-related expenses incurred due to the expansion of our sales team by 50 personnel (including management, direct sales and sales administration) and the addition of 9 sales lead generation personnel. The increase was also attributable to $2.5 million of stock-based compensation expense during the nine months ended March 31, 2015 associated with our broad based equity incentive plan.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3"/>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3"/>
          </w:tcPr>
          <w:p>
            <w:pPr>
              <w:jc w:val="center"/>
              <w:ind w:left="56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for the nine months ended March 31, 2015 increased by $7.6 million, or 113%, to $14.4 million from $6.7 million for the nine months ended March 31, 2014. The increase in research and development expense was primarily as a result of $5.2 million in employee-related expenses related to 55 additional development personnel and $2.4 million of stock-based compensation expense associated with our broad based equity incentive plan. The Company’s emphasis is on hiring highly skilled technical personnel as well as expanding the management team in this area, resulting in higher average salaries and increased research and development expense per incremental employee for the nine months ended March 31, 2015.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ectPr>
          <w:pgSz w:w="11900" w:h="16903"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37" w:lineRule="exact"/>
        <w:rPr>
          <w:sz w:val="20"/>
          <w:szCs w:val="20"/>
          <w:color w:val="auto"/>
        </w:rPr>
      </w:pPr>
    </w:p>
    <w:p>
      <w:pPr>
        <w:ind w:left="6080"/>
        <w:spacing w:after="0"/>
        <w:tabs>
          <w:tab w:leader="none" w:pos="9500" w:val="left"/>
        </w:tabs>
        <w:rPr>
          <w:sz w:val="20"/>
          <w:szCs w:val="20"/>
          <w:color w:val="auto"/>
        </w:rPr>
      </w:pPr>
      <w:r>
        <w:rPr>
          <w:rFonts w:ascii="Times New Roman" w:cs="Times New Roman" w:eastAsia="Times New Roman" w:hAnsi="Times New Roman"/>
          <w:sz w:val="14"/>
          <w:szCs w:val="14"/>
          <w:b w:val="1"/>
          <w:bCs w:val="1"/>
          <w:color w:val="auto"/>
        </w:rPr>
        <w:t>Nine Months</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b w:val="1"/>
          <w:bCs w:val="1"/>
          <w:color w:val="auto"/>
        </w:rPr>
        <w:t>Ended</w:t>
      </w:r>
    </w:p>
    <w:p>
      <w:pPr>
        <w:sectPr>
          <w:pgSz w:w="11900" w:h="16903" w:orient="portrait"/>
          <w:cols w:equalWidth="0" w:num="1">
            <w:col w:w="11420"/>
          </w:cols>
          <w:pgMar w:left="240" w:top="121" w:right="239" w:bottom="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9,342</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for the nine months ended March 31, 2015 increased by $9.3 million, or 63%, to $24.1 million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$14.7 million for the nine months ended March 31, 2014. The increase was primarily the result of $3.8 million of employee-related expenses related to 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personnel, $2.5 million of additional stock-based compensation expense, $1.2 million of increased occupancy costs incurred as a result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for added office space, $0.7 million of increased insurance costs associated with being a public company, and $0.6 million of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of the customer relationship and non-compete intangibles associated with the acquisition of one of our resellers in 2014.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40" w:type="dxa"/>
            <w:vAlign w:val="bottom"/>
            <w:gridSpan w:val="4"/>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40" w:type="dxa"/>
            <w:vAlign w:val="bottom"/>
            <w:gridSpan w:val="4"/>
          </w:tcPr>
          <w:p>
            <w:pPr>
              <w:jc w:val="center"/>
              <w:ind w:right="47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25"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Other income for the nine months ended March 31, 2015 was not materially different as compared to the nine months ended March 31, 2014. The slight increase in other income was primarily the result of reduced interest expense as we repaid approximately $1.6 million of debt during the nine month period ended March 31, 2014 and did not have any notes payable outstanding during the nine month period ended March 31,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00" w:type="dxa"/>
            <w:vAlign w:val="bottom"/>
            <w:gridSpan w:val="4"/>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gridSpan w:val="4"/>
          </w:tcPr>
          <w:p>
            <w:pPr>
              <w:jc w:val="center"/>
              <w:ind w:right="49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for the nine months ended March 31, 2015 increased by $0.3 million as compared to the nine months ended March 31, 2014 due to the recognition of a deferred tax asset valuation allowance since the nine month period ended March 31, 2014.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8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Implementation revenues are also typically higher during our fiscal third quarter as many of our new clients elect to implement our services following a calendar year-end. Implementation gross profit varies on a quarterly basis as costs are generally fixed in the near-term, while revenues vary based on the number of new client implementations.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reasonable under the circumstances. Actual results 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During the nine months ended March 31, 2015, there were no material changes to our critical accounting policies and use of estimates, which are disclosed in our audited consolidated financial statements for the year ended June 30, 2014 included in our Annual Report on Form 10-K filed with the SEC on August 22, 2014.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ectPr>
          <w:pgSz w:w="11900" w:h="16838" w:orient="portrait"/>
          <w:cols w:equalWidth="0" w:num="1">
            <w:col w:w="11420"/>
          </w:cols>
          <w:pgMar w:left="240" w:top="114" w:right="239" w:bottom="0" w:gutter="0" w:footer="0" w:header="0"/>
        </w:sectPr>
      </w:pPr>
    </w:p>
    <w:bookmarkStart w:id="20" w:name="page21"/>
    <w:bookmarkEnd w:id="20"/>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March 31, 2015, our principal source of liquidity was $93.2 million of cash and cash equivalents.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platform, data centers and infrastructure generally. The timing and amount of these investments will vary based on the rate at which we can add new clients and new personnel and the scale of our application development, data center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w:t>
      </w:r>
    </w:p>
    <w:p>
      <w:pPr>
        <w:spacing w:after="0" w:line="188"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Our cash flows from investing activities and our cash flows from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with each payroll cycle. Funds held for clients are restricted solely for the repayment of client fund obligations.</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believe our current cash and cash equivalents and cash flow from operations will be sufficient to meet our working capital, capital expenditure and other investment requirements for at least the next 12 months.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142"/>
        </w:trPr>
        <w:tc>
          <w:tcPr>
            <w:tcW w:w="57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internally-developed software costs</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(2,919)</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(2,544)</w:t>
            </w: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(4,954)</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(6,331)</w:t>
            </w:r>
          </w:p>
        </w:tc>
      </w:tr>
      <w:tr>
        <w:trPr>
          <w:trHeight w:val="21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for acquisitions</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(2,985)</w:t>
            </w: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funds held for clients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(185,818)</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(314,355)</w:t>
            </w:r>
          </w:p>
        </w:tc>
      </w:tr>
      <w:tr>
        <w:trPr>
          <w:trHeight w:val="210"/>
        </w:trPr>
        <w:tc>
          <w:tcPr>
            <w:tcW w:w="57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(193,691)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(326,215)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client funds obligation</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185,818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314,355</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IPO, net of issuance costs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82,709</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follow-on offering, net of issuance costs</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18,367</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initial public offering costs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settlements of equity awards</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(3,171)</w:t>
            </w: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(1,563)</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266,964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81,350</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$10.2 million for the nine months ended March 31, 2015 as compared to $8.1 million for the nine months ended March 31, 2014.</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increase in net cash provided by operating activities from the nine months ended March 31, 2014 to the nine months ended March 31, 2015 was primarily the result of an increase of $9.0 million in stock-based compensation expense, a $1.7 million increase in depreciation and amortization expense, as well as a $0.4 million increase in operating assets and liabilities, partially offset by a $9.1 million increase in net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Changes in net cash used in investing activities are significantly influenced by the amount of funds held for clients at the end of a reporting period. Changes in the amount of funds held for client from period to period will vary substantially. Our payroll processing activities involve the movement of significant funds from the account of an employer to employees and relevant taxing authorities. During fiscal 2014 we processed almost $39 billion in payroll transactions. We debit a client’s account prior to any disbursement on its behalf, at which time we begin earning interest on such funds. We currently have agreements with nine banks to execute ACH and wire transfers to support our client payroll and tax services. We believe we have sufficient capacity under these ACH arrangements to handle our transactions for the foreseeable future.</w:t>
      </w:r>
    </w:p>
    <w:p>
      <w:pPr>
        <w:spacing w:after="0" w:line="18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Other investing activities that influence our net cash used in investing activities are our capitalization of internally developed software costs and purchases of property and equipment. We also paid $3.0 million in consideration during the nine months ended March 31, 2015 under the terms of our fiscal 2014 reseller acquisition.</w:t>
      </w:r>
    </w:p>
    <w:p>
      <w:pPr>
        <w:spacing w:after="0" w:line="17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$326.2 million for the nine months ended March 31, 2015 as compared to $193.7 million for the nine months ended March 31, 2014.</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Excluding the net change in funds held for clients, our net cash used in investing activities was $11.9 million for the nine months ended March 31, 2015 as compared to $7.9 million for the nine months ended March 31, 2014.</w:t>
      </w:r>
    </w:p>
    <w:p>
      <w:pPr>
        <w:sectPr>
          <w:pgSz w:w="11900" w:h="16838" w:orient="portrait"/>
          <w:cols w:equalWidth="0" w:num="1">
            <w:col w:w="11420"/>
          </w:cols>
          <w:pgMar w:left="240" w:top="121" w:right="239" w:bottom="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$330.4 million for the nine months ended March 31, 2015 as compared to $267.0 million for the nine months ended March 31, 2014. The increase was primarily the result of the increase of $128.5 million in client fund obligations, partially offset by a $64.4 million year-over-year decrease in proceeds received as a result of public offerings, net of offering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principal commitments consist of operating lease obligations. The following table summarizes our contractual obligations at March 31, 2015: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0"/>
                <w:szCs w:val="10"/>
                <w:color w:val="auto"/>
              </w:rPr>
            </w:pPr>
          </w:p>
        </w:tc>
        <w:tc>
          <w:tcPr>
            <w:tcW w:w="10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60" w:type="dxa"/>
            <w:vAlign w:val="bottom"/>
          </w:tcPr>
          <w:p>
            <w:pPr>
              <w:spacing w:after="0"/>
              <w:rPr>
                <w:sz w:val="10"/>
                <w:szCs w:val="10"/>
                <w:color w:val="auto"/>
              </w:rPr>
            </w:pPr>
          </w:p>
        </w:tc>
        <w:tc>
          <w:tcPr>
            <w:tcW w:w="96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77" w:lineRule="auto"/>
        <w:rPr>
          <w:sz w:val="20"/>
          <w:szCs w:val="20"/>
          <w:color w:val="auto"/>
        </w:rPr>
      </w:pPr>
      <w:r>
        <w:rPr>
          <w:rFonts w:ascii="Times New Roman" w:cs="Times New Roman" w:eastAsia="Times New Roman" w:hAnsi="Times New Roman"/>
          <w:sz w:val="17"/>
          <w:szCs w:val="17"/>
          <w:color w:val="auto"/>
        </w:rPr>
        <w:t>Our remaining reseller agreement originally provided that the reseller may terminate the agreement by providing nine months’ prior notice or upon an initial public offering by us. We amended this agreement in December of 2013 to provide that the reseller may not give a nine-month termination notice until after the earlier of (i) six months following the closing of an initial public offering by us or (ii) December 31, 2014. In addition, we, but not the reseller, have the right to terminate the agreement at any time. We paid the second reseller $0.6 million and $0.9 million during the three-month periods ended March 31, 2014 and 2015, respectively and $1.5 million and $2.3 million during the nine-month periods ended March 31, 2014 and 2015, respectively.</w:t>
      </w:r>
    </w:p>
    <w:p>
      <w:pPr>
        <w:spacing w:after="0" w:line="16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April 2015, we exercised our right to terminate the agreement and closed on the purchase of substantially all of the reseller’s assets for an estimated purchase price of $9.5 million. We paid $9.0 million at closing, will pay an estimated $0.2 million in August 2015 and will pay an estimated $0.3 million in January 2016 subject to any qualifying indemnification claims in accordance with the asset purchase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increase capital spending as we continue to grow our business and expand and enhance our data centers and technical infrastructure.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capital requirements will depend on many factors, including our rate of sales growth. In the event that our sales growth or other factors do not meet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expectations, we may eliminate or curtail capital projects in order to mitigate the impact on our use of cash. Capital expenditures were $5.0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 million for the nine months ended March 31, 2014 and 2015, respectively, exclusive of capitalized internally developed software costs of $2.9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$2.5 million for the same periods,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 Board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ASU 2014-09 supersedes a majority of existing revenue recognition guidance 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Topic 606 allows for either a “ retrospective” or “cumulative effect” transition method. We are currently evaluating which adoption method it will use.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Early application is not permitted. We plan on adopting ASU 2014-09 beginning July 1, 2017, or in accordance with the FASB’s final guidance, and are currently assessing the potential effects of these changes to our consolidated financial statements.</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us as of the specified effective date. Unless otherwise discussed, we believe that the impact of recently issued standards that are not yet effective will not have a material impact on our consolidated financial statements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have operations solely in the United States and are exposed to market risks in the ordinary course of our business. These risks primarily include interest rate and certain exposure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Funds held for clients are held in interest-bearing accounts at financial institutions. As a result of our investing activities, we are exposed to changes in interest rates that may materially affect our results of operations. In a falling rate environment, a decline in interest rates would decrease our interest income.</w:t>
      </w:r>
    </w:p>
    <w:p>
      <w:pPr>
        <w:sectPr>
          <w:pgSz w:w="11900" w:h="16838" w:orient="portrait"/>
          <w:cols w:equalWidth="0" w:num="1">
            <w:col w:w="11420"/>
          </w:cols>
          <w:pgMar w:left="240" w:top="364" w:right="239"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March 31, 2015,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 period covered by this Quarterly Report on Form 10-Q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litigation relating to claims arising in the ordinary course of business. Management believes that there are no claims or actions pending or threatened against the Company, the ultimate disposition of which would have a material impact on our consolidated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business, prospects, financial condition or operating results could be materially adversely affected by any of the risks and uncertainties described below, as well as other risks not currently known to us or that are currently considered immaterial.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in the past, and we may not be able to achieve or sustain profitability for the foreseeable future.</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have incurred net losses from time to time. We incurred net losses of $130,000 and $7,110,000 in fiscal 2011 and fiscal 2014, respectively, and incurred a net loss of $9,543,000 in the first three quarters of fiscal 2015.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and support new clients. We intend for the foreseeable future to continue to focus predominately on adding new clients, and we cannot predict when we will achieve sustained profitability, if at all. We also expect to make other significant expenditures and investments in research and development to expand and improve our product offerings and technical infrastructure. In addition, as a public company, we will incur significant legal, accounting and other expenses that we do not incur as a private company. These increased expenditures will make it harder for us to achieve and maintain profitability. We also may incur losses in the future for a number of other unforeseen reasons. Accordingly, we may not be able to maintain profitability, and we may incur losses for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have fluctuated in the past and may continue to fluctuate, causing the value of our common stock to decline substantially.</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number of new clients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other risk factors listed in this section, some of the important factors that may cause fluctuations in our quarterly operating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207" w:lineRule="exact"/>
        <w:rPr>
          <w:sz w:val="20"/>
          <w:szCs w:val="20"/>
          <w:color w:val="auto"/>
        </w:rPr>
      </w:pPr>
    </w:p>
    <w:p>
      <w:pPr>
        <w:ind w:left="1260" w:hanging="280"/>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products achieve or maintain market acceptance;</w:t>
      </w:r>
    </w:p>
    <w:p>
      <w:pPr>
        <w:sectPr>
          <w:pgSz w:w="11900" w:h="16838" w:orient="portrait"/>
          <w:cols w:equalWidth="0" w:num="1">
            <w:col w:w="11400"/>
          </w:cols>
          <w:pgMar w:left="240" w:top="333" w:right="259" w:bottom="0" w:gutter="0" w:footer="0" w:header="0"/>
        </w:sectPr>
      </w:pPr>
    </w:p>
    <w:bookmarkStart w:id="23" w:name="page24"/>
    <w:bookmarkEnd w:id="23"/>
    <w:p>
      <w:pPr>
        <w:spacing w:after="0" w:line="20" w:lineRule="exact"/>
        <w:rPr>
          <w:sz w:val="20"/>
          <w:szCs w:val="20"/>
          <w:color w:val="auto"/>
        </w:rPr>
      </w:pPr>
    </w:p>
    <w:p>
      <w:pPr>
        <w:ind w:left="1260" w:hanging="280"/>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enhancements and updates to our existing products on a timely basis;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and the introduction of enhanced products and services from competitors;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 and procurement policies;</w:t>
      </w:r>
    </w:p>
    <w:p>
      <w:pPr>
        <w:spacing w:after="0" w:line="225"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investment in research and development activities and whether such investments are capitalized or expensed as incurred;</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clients’ employees;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recognition of revenues and expenses;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renewal rates;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our business;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 with our products or interruptions in our services;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personnel;</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requirements and environment related to the products and services which we offer; and</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legal expenses, including litigation and settlement costs.</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do not have long-term agreements with clients, and our standard agreements with clients are generally terminable by our clients upon 60 or fewer days’ notice. If a significant number of clients elected to terminate their agreements with us, our operating results and our business would be adversely affected.</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0"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could increase our expenses, decrease our revenue, and prevent us from implementing our business strategy.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highly competitive, and if we do not compete effectively, our operating results could be adversely affected.</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and other regional providers, and HCM point solutions, such as Cornerstone OnDemand, Inc.</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8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58" w:orient="portrait"/>
          <w:cols w:equalWidth="0" w:num="1">
            <w:col w:w="11420"/>
          </w:cols>
          <w:pgMar w:left="240" w:top="121" w:right="239" w:bottom="0" w:gutter="0" w:footer="0" w:header="0"/>
          <w:type w:val="continuous"/>
        </w:sectPr>
      </w:pPr>
    </w:p>
    <w:bookmarkStart w:id="24" w:name="page25"/>
    <w:bookmarkEnd w:id="24"/>
    <w:p>
      <w:pPr>
        <w:spacing w:after="0" w:line="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7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5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8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1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In addition, significant changes in tax, benefit and other laws and regulations could require us to make significant modifications to our products, which could result in substantial expenses.</w:t>
      </w:r>
    </w:p>
    <w:p>
      <w:pPr>
        <w:spacing w:after="0" w:line="1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recognize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recognize our expenses over varying periods based on the nature of the expense. In particular, we recognize implementation costs and sales commissions as they are incurred even though we recognize revenue as we perform services over extended periods. When a client terminates its relationship with us, we may not have derived enough revenue from that client to cover associated implementation costs. As a result, we may report poor operating results due to higher implementation costs and sales commissions in a period in which we experience strong sales of our solutions. Alternatively, we may report better operating results due to lower implementation costs and sales commissions in a period in which we experience a slowdown in sales. As a result, our expenses fluctuate as a percentage of revenue, and changes in our business generally may not be immediately reflected in our results of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and system passwords.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19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w:t>
      </w:r>
    </w:p>
    <w:p>
      <w:pPr>
        <w:sectPr>
          <w:pgSz w:w="11900" w:h="16848" w:orient="portrait"/>
          <w:cols w:equalWidth="0" w:num="1">
            <w:col w:w="11420"/>
          </w:cols>
          <w:pgMar w:left="240" w:top="337" w:right="239" w:bottom="0" w:gutter="0" w:footer="0" w:header="0"/>
        </w:sectPr>
      </w:pPr>
    </w:p>
    <w:bookmarkStart w:id="25" w:name="page26"/>
    <w:bookmarkEnd w:id="25"/>
    <w:p>
      <w:pPr>
        <w:ind w:right="260"/>
        <w:spacing w:after="0" w:line="282" w:lineRule="auto"/>
        <w:rPr>
          <w:sz w:val="20"/>
          <w:szCs w:val="20"/>
          <w:color w:val="auto"/>
        </w:rPr>
      </w:pPr>
      <w:r>
        <w:rPr>
          <w:rFonts w:ascii="Times New Roman" w:cs="Times New Roman" w:eastAsia="Times New Roman" w:hAnsi="Times New Roman"/>
          <w:sz w:val="18"/>
          <w:szCs w:val="18"/>
          <w:color w:val="auto"/>
        </w:rPr>
        <w:t>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adequately expand our direct sales force with qualified and productive persons, we may not be able to grow our business effectively.</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8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referral network participants reduce their referrals to us, we may not be able to grow our client base or revenues in the future.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greater than 25% of our new sales in fiscal 2014 were referred to us from our referral network participants, and our referral network may become an even more significant source of client referrals in the future. In most cases, our relationships with referral network participants are informal, although in some cases, we have formalized relationships where we are a recommended vendor for their client.</w:t>
      </w:r>
    </w:p>
    <w:p>
      <w:pPr>
        <w:spacing w:after="0" w:line="18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80"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with our referral network participants, sales leads from these participants could be reduced or cease entirely. If we are not successful, we may lose sales opportunities and our revenues and profitability could suffer.</w:t>
      </w:r>
    </w:p>
    <w:p>
      <w:pPr>
        <w:spacing w:after="0" w:line="15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8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pay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payroll processing business involves the movement of significant funds from the account of a client to employees and relevant taxing authorities. For example, in fiscal 2014 we processed almost $39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economic or political conditions could adversely affect our operating results and our business.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further in the future. If weakness in the economy continues or worsens, many clients may reduce their number of employees and delay or reduce technology purchases. This could also result in reductions in our revenues and sales of our products, longer sales cycles, increased price competition and clients’</w:t>
      </w:r>
    </w:p>
    <w:p>
      <w:pPr>
        <w:sectPr>
          <w:pgSz w:w="11900" w:h="16838" w:orient="portrait"/>
          <w:cols w:equalWidth="0" w:num="1">
            <w:col w:w="11420"/>
          </w:cols>
          <w:pgMar w:left="240" w:top="121" w:right="239" w:bottom="0" w:gutter="0" w:footer="0" w:header="0"/>
        </w:sectPr>
      </w:pPr>
    </w:p>
    <w:bookmarkStart w:id="26" w:name="page27"/>
    <w:bookmarkEnd w:id="26"/>
    <w:p>
      <w:pPr>
        <w:spacing w:after="0" w:line="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purchasing fewer solutions than they have in the past. Any of these events would likely harm our business, results of operations, financial condition and cash flows from operations.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18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have agreements with nine banks to execute ACH and wire transfers to support our client payroll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and the loss of these persons or an inability to attract and retain highly skilled employees could adversely affect our business.</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including Steven R. Beauchamp, our President and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certain of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highly-skilled product development and other technical persons, our ability to develop and support widely-accepted products could be impaired and our business could be harmed.</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8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concerns and laws or other domestic regulations may reduce the effectiveness of our applications and adversely affect our business.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The costs 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18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we do not effectively implement our solutions or our clients are not satisfied with our implementation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ability to deliver our payroll and HCM solutions depends on our ability to effectively implement and to transition to, and train our clients on, our solutions. We do not recognize revenue from new clients until they process their first payroll. Further, our agreements with our clients are generally</w:t>
      </w:r>
    </w:p>
    <w:p>
      <w:pPr>
        <w:sectPr>
          <w:pgSz w:w="11900" w:h="16866" w:orient="portrait"/>
          <w:cols w:equalWidth="0" w:num="1">
            <w:col w:w="11400"/>
          </w:cols>
          <w:pgMar w:left="240" w:top="121" w:right="259" w:bottom="0" w:gutter="0" w:footer="0" w:header="0"/>
        </w:sectPr>
      </w:pPr>
    </w:p>
    <w:bookmarkStart w:id="27" w:name="page28"/>
    <w:bookmarkEnd w:id="27"/>
    <w:p>
      <w:pPr>
        <w:ind w:right="180"/>
        <w:spacing w:after="0" w:line="261" w:lineRule="auto"/>
        <w:rPr>
          <w:sz w:val="20"/>
          <w:szCs w:val="20"/>
          <w:color w:val="auto"/>
        </w:rPr>
      </w:pPr>
      <w:r>
        <w:rPr>
          <w:rFonts w:ascii="Times New Roman" w:cs="Times New Roman" w:eastAsia="Times New Roman" w:hAnsi="Times New Roman"/>
          <w:sz w:val="18"/>
          <w:szCs w:val="18"/>
          <w:color w:val="auto"/>
        </w:rPr>
        <w:t>terminable by the clients on 60 days’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affected if we are unable to accommodate increased demand for our implementation services resulting from growth in our business.</w:t>
      </w:r>
    </w:p>
    <w:p>
      <w:pPr>
        <w:spacing w:after="0" w:line="15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We may be unable to respond quickly enough to accommodate increased client demand for implementation services driven by our growth. The implementation process is the first substantive interaction with a new client. As a predicate to providing knowledgeable implementation services, we must have a sufficient number of personnel dedicated to that process. In order to ensure that we have sufficient employees to implement our solutions, we must closely coordinate hiring of personnel with our projected sales for a particular period. Because our sales cycle is typically only three to six weeks long, we may not be successful in coordinating hiring of implementation personnel to meet increased demand for our implementation services. Increased demand for implementation services without a corresponding staffing increase of qualified personnel could adversely affect the quality of services provided to new clients, and our business and our reputation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client services may adversely affect our relationships with our clients and our financial results.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Once our applications are deployed, our clients depend on our client service organization to resolve issues relating to our solutions.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technical operations infrastructure, our existing clients may experience service outages and our new clients may experience delays in the deployment of our applications.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experienced significant growth in the number of users, transactions and data that our operations infrastructure supports. We seek to maintain sufficient excess capacity in our data center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9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8" w:lineRule="exact"/>
        <w:rPr>
          <w:sz w:val="20"/>
          <w:szCs w:val="20"/>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from fire, power loss, natural disasters and other force majeure events outside our control;</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failures;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hardware errors, failures and crashes;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computer viruses, hacking, denial-of-service attacks and similar disruptive problems; and</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interruptions.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121" w:right="239" w:bottom="36" w:gutter="0" w:footer="0" w:header="0"/>
        </w:sectPr>
      </w:pPr>
    </w:p>
    <w:bookmarkStart w:id="28" w:name="page29"/>
    <w:bookmarkEnd w:id="28"/>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disruption in the operation of our data centers could adversely affect our business.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host our applications and serve all of our clients from data centers located at our company headquarters in Arlington Heights, Illinois with a backup data center at a third-party facility in Kenosha, Wisconsin. We also may decide to employ additional offsite data centers in the future to accommodate growth.</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8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addition, while we own, control and have access to our servers and all of the components of our network that are located in our backup data center, we do not control the operation of this facility. The operator of our Wisconsin data center facility has no obligation to renew its agreement with us on commercially reasonable terms, or at all. If we are unable to renew this agreement on commercially reasonable terms, or if the data center operator is acquired, we may be required to transfer our servers and other infrastructure to a new data center facility, and we may incur costs and experience service interruption in doing so.</w:t>
      </w:r>
    </w:p>
    <w:p>
      <w:pPr>
        <w:spacing w:after="0" w:line="1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5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84"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 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8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7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Client funds that we hold are subject to market, interest rate, credit and liquidity risks. The loss of these funds could have an adverse impact on our business.</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invest funds held for our clients in liquid, investment-grade marketable securities, money market securities, and other cash equivalents. Nevertheless, our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8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In addition, these funds are held in consolidated trust accounts,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ectPr>
          <w:pgSz w:w="11900" w:h="16838" w:orient="portrait"/>
          <w:cols w:equalWidth="0" w:num="1">
            <w:col w:w="11420"/>
          </w:cols>
          <w:pgMar w:left="240" w:top="121" w:right="239" w:bottom="0" w:gutter="0" w:footer="0" w:header="0"/>
        </w:sectPr>
      </w:pPr>
    </w:p>
    <w:bookmarkStart w:id="29" w:name="page30"/>
    <w:bookmarkEnd w:id="29"/>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example, we might lose sales or incur significant expenses if states successfully impose broader guidelines on state sales and use taxes. A successful assertion by one or more states requiring us to collect sales or other taxes on the licensing of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software and services to our clients and might adversely affect our ability to retain existing clients or to gain new clients in the areas in which such taxes are imposed.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may become subject, from time to time, to legal proceedings and claims that arise in the ordinary course of business such as claims brought by our clients in connection with commercial disputes or employment claims made by our current or former employees.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89"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w:t>
      </w:r>
    </w:p>
    <w:p>
      <w:pPr>
        <w:sectPr>
          <w:pgSz w:w="11900" w:h="16838" w:orient="portrait"/>
          <w:cols w:equalWidth="0" w:num="1">
            <w:col w:w="11420"/>
          </w:cols>
          <w:pgMar w:left="240" w:top="117" w:right="239" w:bottom="0" w:gutter="0" w:footer="0" w:header="0"/>
        </w:sectPr>
      </w:pPr>
    </w:p>
    <w:bookmarkStart w:id="30" w:name="page31"/>
    <w:bookmarkEnd w:id="30"/>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and solutions may expose us to additional risks and harm our intellectual property rights.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nature of open source software, it may be more likely that third parties might assert copyright and other intellectual property infringement claims against us based on our use of these open source software programs.</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third-party software used in our products is not adequately maintained or updated, our business could be materially adversely affected.</w:t>
      </w:r>
    </w:p>
    <w:p>
      <w:pPr>
        <w:spacing w:after="0" w:line="229" w:lineRule="exact"/>
        <w:rPr>
          <w:sz w:val="20"/>
          <w:szCs w:val="20"/>
          <w:color w:val="auto"/>
        </w:rPr>
      </w:pPr>
    </w:p>
    <w:p>
      <w:pPr>
        <w:jc w:val="both"/>
        <w:ind w:right="300" w:firstLine="648"/>
        <w:spacing w:after="0" w:line="257" w:lineRule="auto"/>
        <w:rPr>
          <w:sz w:val="20"/>
          <w:szCs w:val="20"/>
          <w:color w:val="auto"/>
        </w:rPr>
      </w:pPr>
      <w:r>
        <w:rPr>
          <w:rFonts w:ascii="Times New Roman" w:cs="Times New Roman" w:eastAsia="Times New Roman" w:hAnsi="Times New Roman"/>
          <w:sz w:val="18"/>
          <w:szCs w:val="18"/>
          <w:color w:val="auto"/>
        </w:rPr>
        <w:t>Our products utilize certain software of third-party software developers. For example, we license technology from bswift as part of our Paylocity Web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w:t>
      </w:r>
    </w:p>
    <w:p>
      <w:pPr>
        <w:spacing w:after="0" w:line="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84"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1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ectPr>
          <w:pgSz w:w="11900" w:h="16838" w:orient="portrait"/>
          <w:cols w:equalWidth="0" w:num="1">
            <w:col w:w="11420"/>
          </w:cols>
          <w:pgMar w:left="240" w:top="121" w:right="239" w:bottom="0" w:gutter="0" w:footer="0" w:header="0"/>
        </w:sectPr>
      </w:pPr>
    </w:p>
    <w:bookmarkStart w:id="31" w:name="page32"/>
    <w:bookmarkEnd w:id="31"/>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business growth, and this capital might not be available.</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might require additional funds to respond to business challenges or opportunities, including the need to develop new products and services or enhance our existing services,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enhance our operating infrastructure, and acquire complementary businesses and technologies. Accordingly, we might need to engage in equity or debt financings to secure additional funds. In addition, we will need to expand our ACH capacity as we grow our business.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services present the potential for embezzlement, identity theft, or other similar illegal behavior by our associates with respect to third parties.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rely on third-party couriers such as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Financial Accounting Standards Board, or FASB, the Securities and Exchange Commission,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5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76"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limited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76" w:lineRule="exact"/>
        <w:rPr>
          <w:sz w:val="20"/>
          <w:szCs w:val="20"/>
          <w:color w:val="auto"/>
        </w:rPr>
      </w:pPr>
    </w:p>
    <w:p>
      <w:pPr>
        <w:ind w:left="1260" w:hanging="280"/>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costs;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225" w:lineRule="exact"/>
        <w:rPr>
          <w:rFonts w:ascii="Times New Roman" w:cs="Times New Roman" w:eastAsia="Times New Roman" w:hAnsi="Times New Roman"/>
          <w:sz w:val="18"/>
          <w:szCs w:val="18"/>
          <w:color w:val="auto"/>
        </w:rPr>
      </w:pPr>
    </w:p>
    <w:p>
      <w:pPr>
        <w:ind w:left="1300" w:right="380" w:hanging="320"/>
        <w:spacing w:after="0" w:line="282" w:lineRule="auto"/>
        <w:tabs>
          <w:tab w:leader="none" w:pos="12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converting the clients of the acquired business onto our applications and contract terms, including disparities in the revenues, licensing, support or professional services model of the acquired company;</w:t>
      </w:r>
    </w:p>
    <w:p>
      <w:pPr>
        <w:sectPr>
          <w:pgSz w:w="11900" w:h="16838" w:orient="portrait"/>
          <w:cols w:equalWidth="0" w:num="1">
            <w:col w:w="11400"/>
          </w:cols>
          <w:pgMar w:left="240" w:top="121" w:right="25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21" w:right="259" w:bottom="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clients as a result of the acquisition;</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if an acquired business fails to meet our expectations, our operating results, business and financial position may suffer.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of May 1, our directors, executive officers and holders of more than 5% of our common stock, together with their respective affiliates, beneficially owned, in the aggregate, approximately 69.0%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subject to wide fluctuations.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trading price of our common stock could be subject to wide fluctuations in response to various factors, some of which are beyond our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include those discussed in this “Risk Factors” section of this Quarterly Report on Form 10-Q and others such as:</w:t>
      </w:r>
    </w:p>
    <w:p>
      <w:pPr>
        <w:spacing w:after="0" w:line="207" w:lineRule="exact"/>
        <w:rPr>
          <w:sz w:val="20"/>
          <w:szCs w:val="20"/>
          <w:color w:val="auto"/>
        </w:rPr>
      </w:pPr>
    </w:p>
    <w:p>
      <w:pPr>
        <w:ind w:left="1260" w:hanging="280"/>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operating performance of similar companies;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senior management;</w:t>
      </w:r>
    </w:p>
    <w:p>
      <w:pPr>
        <w:spacing w:after="0" w:line="225" w:lineRule="exact"/>
        <w:rPr>
          <w:rFonts w:ascii="Times New Roman" w:cs="Times New Roman" w:eastAsia="Times New Roman" w:hAnsi="Times New Roman"/>
          <w:sz w:val="18"/>
          <w:szCs w:val="18"/>
          <w:color w:val="auto"/>
        </w:rPr>
      </w:pPr>
    </w:p>
    <w:p>
      <w:pPr>
        <w:ind w:left="1300" w:right="540" w:hanging="320"/>
        <w:spacing w:after="0" w:line="282" w:lineRule="auto"/>
        <w:tabs>
          <w:tab w:leader="none" w:pos="1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us, our competitors,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our directors and executive officers;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reaction to our reduced disclosure as a result of being an emerging growth company under the JOBS Act;</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and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left="1300" w:right="140" w:hanging="320"/>
        <w:spacing w:after="0" w:line="266" w:lineRule="auto"/>
        <w:tabs>
          <w:tab w:leader="none" w:pos="1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changes in general conditions in the United States and global economies or financial markets (including those resulting from ongoing budget negotiations and intermittent government shutdowns in the United States, acts of God, war, incidents of terrorism, or responses to such events).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ectPr>
          <w:pgSz w:w="11900" w:h="16838" w:orient="portrait"/>
          <w:cols w:equalWidth="0" w:num="1">
            <w:col w:w="11380"/>
          </w:cols>
          <w:pgMar w:left="240" w:top="513" w:right="279" w:bottom="0" w:gutter="0" w:footer="0" w:header="0"/>
        </w:sectPr>
      </w:pPr>
    </w:p>
    <w:bookmarkStart w:id="33" w:name="page34"/>
    <w:bookmarkEnd w:id="33"/>
    <w:p>
      <w:pPr>
        <w:spacing w:after="0" w:line="5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only declared or paid cash dividends on our common stock once since 2008 and do not currently intend to do so for the foreseeable future. We currently intend to invest our future earnings, if any, to fund our growth.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by existing stockholders could depress the market price of our common stock.</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As of May 1, 2015, we had an aggregate of 50,624,561 outstanding shares of common stock. The 13,061,750, shares sold in our initial public offering and follow-on offering can be freely sold in the public market without restriction. The remaining shares can be freely sold in the public market, subject in some cases to volume and other restrictions under Rules 144 and 701 under the Securities Act of 1933, as amended, and various agreements.</w:t>
      </w:r>
    </w:p>
    <w:p>
      <w:pPr>
        <w:spacing w:after="0" w:line="176"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registered 10,485,694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8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7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controls over financial reporting in the future, investors may lose confidence in the accuracy and completeness of our financial reports and the market price of our common stock may be negatively affected.</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beginning with our annual report for the fiscal year ending June 30, 2015, provide a management report on the internal controls over financial reporting, which must be attested to by our independent registered public accounting firm to the extent we are no longer an “emerging growth company,” as defined by the Jumpstart Our Business Startups Act of 2012, or the JOBS Act. If we have a material weakness in our internal controls over financial reporting, we may not detect errors on a timely basis and our financial statements may be materially misstated. We are in the process of designing and implementing the internal controls over financial reporting required to comply with this obligation, which process will be time consuming, costly and complicated. If we identify material weaknesses in our internal controls over financial reporting, if we are unable to comply with the requirements of Section 404 in a timely manner,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example, we are now subject to the reporting requirements of the Securities Exchange Act of 1934, as amended, or the Exchange Act, and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required to comply with the applicable requirements of the Sarbanes-Oxley Act and the Dodd-Frank Wall Street Reform and Consumer Protection Act,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as rules and regulations subsequently implemented by the SEC and the NASDAQ Global Select Market including the establishment and maintenance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disclosure and financial controls and changes in corporate governance practices. We expect that compliance with these requirements will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legal and financial compliance costs and will make some activities more time consuming and costly. In addition, we expect that our management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personnel will need to divert attention from operational and other business matters to devote substantial time to these public company requirements.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particular, we expect to incur significant expenses and devote substantial management effort toward ensuring compliance with the requirements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404 of the Sarbanes-Oxley Act, which will increase when we are no longer an emerging growth company, as defined by the JOBS Act. We will need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hire additional accounting and financial staff with appropriate public company experience and technical accounting knowledge and may need to establish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internal audit function. We cannot predict or estimate the amount of additional costs we may incur as a result of becoming a public company or the timing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costs.</w:t>
      </w:r>
    </w:p>
    <w:p>
      <w:pPr>
        <w:spacing w:after="0" w:line="20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59"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7"/>
          <w:szCs w:val="17"/>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w:t>
      </w:r>
    </w:p>
    <w:p>
      <w:pPr>
        <w:sectPr>
          <w:pgSz w:w="11900" w:h="16889" w:orient="portrait"/>
          <w:cols w:equalWidth="0" w:num="1">
            <w:col w:w="11400"/>
          </w:cols>
          <w:pgMar w:left="240" w:top="117" w:right="259" w:bottom="0" w:gutter="0" w:footer="0" w:header="0"/>
        </w:sectPr>
      </w:pPr>
    </w:p>
    <w:bookmarkStart w:id="34" w:name="page35"/>
    <w:bookmarkEnd w:id="34"/>
    <w:p>
      <w:pPr>
        <w:jc w:val="both"/>
        <w:ind w:right="740"/>
        <w:spacing w:after="0" w:line="266" w:lineRule="auto"/>
        <w:rPr>
          <w:sz w:val="20"/>
          <w:szCs w:val="20"/>
          <w:color w:val="auto"/>
        </w:rPr>
      </w:pPr>
      <w:r>
        <w:rPr>
          <w:rFonts w:ascii="Times New Roman" w:cs="Times New Roman" w:eastAsia="Times New Roman" w:hAnsi="Times New Roman"/>
          <w:sz w:val="18"/>
          <w:szCs w:val="18"/>
          <w:color w:val="auto"/>
        </w:rPr>
        <w:t>stockholder becomes an interested stockholder, even if a change in control would be beneficial to our existing stockholders. In addition, our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176" w:lineRule="exact"/>
        <w:rPr>
          <w:sz w:val="20"/>
          <w:szCs w:val="20"/>
          <w:color w:val="auto"/>
        </w:rPr>
      </w:pPr>
    </w:p>
    <w:p>
      <w:pPr>
        <w:ind w:left="1300" w:right="480" w:hanging="320"/>
        <w:spacing w:after="0" w:line="282" w:lineRule="auto"/>
        <w:tabs>
          <w:tab w:leader="none" w:pos="12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convertible preferred stock that could be issued by our board of directors to thwart a takeover attempt;</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2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 only upon a supermajority stockholder vote;</w:t>
      </w:r>
    </w:p>
    <w:p>
      <w:pPr>
        <w:spacing w:after="0" w:line="225"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including newly-created directorships, may be filled only by a majority vote of directors then in office rather than by stockholders;</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stockholders from calling special meetings; and</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requiring all actions to be taken at a meeting of the stockholders.</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5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the JOBS Act, emerging growth companies can delay adopting new or revised accounting standards until such time as those standards apply to private companies.</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we intend to take advantage of certain other exemptions from various reporting requirements that are applicable to other public companies including, but not limited to, reduced disclosure obligations regarding executive compensation in our periodic reports and proxy statements, exemptions from the requirements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holding a nonbinding advisory vote on executive compensation and stockholder approval of any golden parachute payments not previously approved, and exemptions from the requirements of auditor attestation reports on the effectiveness of our internal control over financial reporting.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Although we are eligible under the JOBS Act to delay adoption of new or revised financial accounting standards until they are applicable to private companies, we have elected not to avail ourselves of this exclusion. This election by us is irrevocable.</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end of the fiscal year in which the market value of our common stock that is held by non-affiliates exceeds $700 million as of December 31 of that fiscal year, (ii) the end of the fiscal year in which we have total annual gross revenue of $1 billion or more during such fiscal year, (iii) the date on which we issue more than $1 billion in non-convertible debt in a three-year period or (iv) five years from March 19,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and paid $9.5 million for the purchase of substantially all of the assets of BFKMS Inc.</w:t>
      </w:r>
    </w:p>
    <w:p>
      <w:pPr>
        <w:spacing w:after="0" w:line="18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December 17, 2014, we completed a follow-on offering of 4,600,000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offering from that described in the final prospectus filed with the SEC pursuant to Rule 424(b) on December 12, 2014.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90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ectPr>
          <w:pgSz w:w="11900" w:h="16838" w:orient="portrait"/>
          <w:cols w:equalWidth="0" w:num="1">
            <w:col w:w="11420"/>
          </w:cols>
          <w:pgMar w:left="240" w:top="121" w:right="239" w:bottom="0" w:gutter="0" w:footer="0" w:header="0"/>
        </w:sectPr>
      </w:pPr>
    </w:p>
    <w:bookmarkStart w:id="35" w:name="page36"/>
    <w:bookmarkEnd w:id="35"/>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9760" w:type="dxa"/>
            <w:vAlign w:val="bottom"/>
          </w:tcPr>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First Amended and Restated Certificate of Incorporation (filed as Exhibit 3.2 of the Paylocity Holding Corporation’s Form S-1</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(Registration No. 333-193661).</w:t>
            </w:r>
          </w:p>
        </w:tc>
        <w:tc>
          <w:tcPr>
            <w:tcW w:w="40" w:type="dxa"/>
            <w:vAlign w:val="bottom"/>
          </w:tcPr>
          <w:p>
            <w:pPr>
              <w:spacing w:after="0"/>
              <w:rPr>
                <w:sz w:val="20"/>
                <w:szCs w:val="20"/>
                <w:color w:val="auto"/>
              </w:rPr>
            </w:pPr>
          </w:p>
        </w:tc>
      </w:tr>
      <w:tr>
        <w:trPr>
          <w:trHeight w:val="41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Paylocity Holding Corporation. (filed as Exhibit 3.4 of Paylocity Holding Corporation’s Form S-1</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(Registration No. 333-193661).</w:t>
            </w:r>
          </w:p>
        </w:tc>
        <w:tc>
          <w:tcPr>
            <w:tcW w:w="40" w:type="dxa"/>
            <w:vAlign w:val="bottom"/>
          </w:tcPr>
          <w:p>
            <w:pPr>
              <w:spacing w:after="0"/>
              <w:rPr>
                <w:sz w:val="20"/>
                <w:szCs w:val="20"/>
                <w:color w:val="auto"/>
              </w:rPr>
            </w:pPr>
          </w:p>
        </w:tc>
      </w:tr>
      <w:tr>
        <w:trPr>
          <w:trHeight w:val="41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Securities Exchange Act Rules 13a-4 and 15d-14 as adopted pursuant to</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c>
          <w:tcPr>
            <w:tcW w:w="40" w:type="dxa"/>
            <w:vAlign w:val="bottom"/>
          </w:tcPr>
          <w:p>
            <w:pPr>
              <w:spacing w:after="0"/>
              <w:rPr>
                <w:sz w:val="20"/>
                <w:szCs w:val="20"/>
                <w:color w:val="auto"/>
              </w:rPr>
            </w:pPr>
          </w:p>
        </w:tc>
      </w:tr>
      <w:tr>
        <w:trPr>
          <w:trHeight w:val="41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Securities Exchange Act Rules 13a-4 and 15d-14 as adopted pursuant to</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c>
          <w:tcPr>
            <w:tcW w:w="40" w:type="dxa"/>
            <w:vAlign w:val="bottom"/>
          </w:tcPr>
          <w:p>
            <w:pPr>
              <w:spacing w:after="0"/>
              <w:rPr>
                <w:sz w:val="20"/>
                <w:szCs w:val="20"/>
                <w:color w:val="auto"/>
              </w:rPr>
            </w:pPr>
          </w:p>
        </w:tc>
      </w:tr>
      <w:tr>
        <w:trPr>
          <w:trHeight w:val="41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18 U.S.C. 1350, adopted pursuant to Section 906 of the Sarbanes-Oxley Act of 2002, by Chief Executive</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80" w:type="dxa"/>
            <w:vAlign w:val="bottom"/>
            <w:tcBorders>
              <w:bottom w:val="single" w:sz="8" w:color="010101"/>
            </w:tcBorders>
            <w:gridSpan w:val="2"/>
          </w:tcPr>
          <w:p>
            <w:pPr>
              <w:spacing w:after="0"/>
              <w:rPr>
                <w:sz w:val="11"/>
                <w:szCs w:val="11"/>
                <w:color w:val="auto"/>
              </w:rPr>
            </w:pPr>
          </w:p>
        </w:tc>
        <w:tc>
          <w:tcPr>
            <w:tcW w:w="9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660" w:type="dxa"/>
            <w:vAlign w:val="bottom"/>
            <w:gridSpan w:val="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380" w:type="dxa"/>
            <w:vAlign w:val="bottom"/>
            <w:gridSpan w:val="2"/>
          </w:tcPr>
          <w:p>
            <w:pPr>
              <w:spacing w:after="0"/>
              <w:rPr>
                <w:sz w:val="24"/>
                <w:szCs w:val="24"/>
                <w:color w:val="auto"/>
              </w:rPr>
            </w:pPr>
          </w:p>
        </w:tc>
        <w:tc>
          <w:tcPr>
            <w:tcW w:w="9760" w:type="dxa"/>
            <w:vAlign w:val="bottom"/>
          </w:tcPr>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1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Certification pursuant to 18 U.S.C. 1350, adopted pursuant to Section 906 of the Sarbanes-Oxley Act of 2002, by Chief Financial</w:t>
            </w:r>
          </w:p>
        </w:tc>
        <w:tc>
          <w:tcPr>
            <w:tcW w:w="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40" w:type="dxa"/>
            <w:vAlign w:val="bottom"/>
          </w:tcPr>
          <w:p>
            <w:pPr>
              <w:spacing w:after="0"/>
              <w:rPr>
                <w:sz w:val="20"/>
                <w:szCs w:val="20"/>
                <w:color w:val="auto"/>
              </w:rPr>
            </w:pPr>
          </w:p>
        </w:tc>
      </w:tr>
      <w:tr>
        <w:trPr>
          <w:trHeight w:val="432"/>
        </w:trPr>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40" w:type="dxa"/>
            <w:vAlign w:val="bottom"/>
          </w:tcPr>
          <w:p>
            <w:pPr>
              <w:spacing w:after="0"/>
              <w:rPr>
                <w:sz w:val="24"/>
                <w:szCs w:val="24"/>
                <w:color w:val="auto"/>
              </w:rPr>
            </w:pPr>
          </w:p>
        </w:tc>
      </w:tr>
      <w:tr>
        <w:trPr>
          <w:trHeight w:val="432"/>
        </w:trPr>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0" w:type="dxa"/>
            <w:vAlign w:val="bottom"/>
          </w:tcPr>
          <w:p>
            <w:pPr>
              <w:spacing w:after="0"/>
              <w:rPr>
                <w:sz w:val="24"/>
                <w:szCs w:val="24"/>
                <w:color w:val="auto"/>
              </w:rPr>
            </w:pPr>
          </w:p>
        </w:tc>
      </w:tr>
      <w:tr>
        <w:trPr>
          <w:trHeight w:val="432"/>
        </w:trPr>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0" w:type="dxa"/>
            <w:vAlign w:val="bottom"/>
          </w:tcPr>
          <w:p>
            <w:pPr>
              <w:spacing w:after="0"/>
              <w:rPr>
                <w:sz w:val="24"/>
                <w:szCs w:val="24"/>
                <w:color w:val="auto"/>
              </w:rPr>
            </w:pPr>
          </w:p>
        </w:tc>
      </w:tr>
      <w:tr>
        <w:trPr>
          <w:trHeight w:val="432"/>
        </w:trPr>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0" w:type="dxa"/>
            <w:vAlign w:val="bottom"/>
          </w:tcPr>
          <w:p>
            <w:pPr>
              <w:spacing w:after="0"/>
              <w:rPr>
                <w:sz w:val="24"/>
                <w:szCs w:val="24"/>
                <w:color w:val="auto"/>
              </w:rPr>
            </w:pPr>
          </w:p>
        </w:tc>
      </w:tr>
      <w:tr>
        <w:trPr>
          <w:trHeight w:val="432"/>
        </w:trPr>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40" w:type="dxa"/>
            <w:vAlign w:val="bottom"/>
          </w:tcPr>
          <w:p>
            <w:pPr>
              <w:spacing w:after="0"/>
              <w:rPr>
                <w:sz w:val="24"/>
                <w:szCs w:val="24"/>
                <w:color w:val="auto"/>
              </w:rPr>
            </w:pPr>
          </w:p>
        </w:tc>
      </w:tr>
      <w:tr>
        <w:trPr>
          <w:trHeight w:val="432"/>
        </w:trPr>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-2548255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-2548255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hanging="432"/>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440" w:hanging="432"/>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PAYLOCITY HOLDING CORPORATION</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2015</w:t>
            </w:r>
          </w:p>
        </w:tc>
        <w:tc>
          <w:tcPr>
            <w:tcW w:w="31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c>
          <w:tcPr>
            <w:tcW w:w="40" w:type="dxa"/>
            <w:vAlign w:val="bottom"/>
          </w:tcPr>
          <w:p>
            <w:pPr>
              <w:spacing w:after="0"/>
              <w:rPr>
                <w:sz w:val="24"/>
                <w:szCs w:val="24"/>
                <w:color w:val="auto"/>
              </w:rPr>
            </w:pPr>
          </w:p>
        </w:tc>
      </w:tr>
      <w:tr>
        <w:trPr>
          <w:trHeight w:val="187"/>
        </w:trPr>
        <w:tc>
          <w:tcPr>
            <w:tcW w:w="3500" w:type="dxa"/>
            <w:vAlign w:val="bottom"/>
          </w:tcPr>
          <w:p>
            <w:pPr>
              <w:spacing w:after="0"/>
              <w:rPr>
                <w:sz w:val="16"/>
                <w:szCs w:val="16"/>
                <w:color w:val="auto"/>
              </w:rPr>
            </w:pPr>
          </w:p>
        </w:tc>
        <w:tc>
          <w:tcPr>
            <w:tcW w:w="3120" w:type="dxa"/>
            <w:vAlign w:val="bottom"/>
          </w:tcPr>
          <w:p>
            <w:pPr>
              <w:ind w:left="222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48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Steven R. Beauchamp</w:t>
            </w:r>
          </w:p>
        </w:tc>
        <w:tc>
          <w:tcPr>
            <w:tcW w:w="40" w:type="dxa"/>
            <w:vAlign w:val="bottom"/>
          </w:tcPr>
          <w:p>
            <w:pPr>
              <w:spacing w:after="0"/>
              <w:rPr>
                <w:sz w:val="16"/>
                <w:szCs w:val="16"/>
                <w:color w:val="auto"/>
              </w:rPr>
            </w:pPr>
          </w:p>
        </w:tc>
      </w:tr>
      <w:tr>
        <w:trPr>
          <w:trHeight w:val="238"/>
        </w:trPr>
        <w:tc>
          <w:tcPr>
            <w:tcW w:w="3500" w:type="dxa"/>
            <w:vAlign w:val="bottom"/>
          </w:tcPr>
          <w:p>
            <w:pPr>
              <w:spacing w:after="0"/>
              <w:rPr>
                <w:sz w:val="20"/>
                <w:szCs w:val="20"/>
                <w:color w:val="auto"/>
              </w:rPr>
            </w:pPr>
          </w:p>
        </w:tc>
        <w:tc>
          <w:tcPr>
            <w:tcW w:w="312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2015</w:t>
            </w:r>
          </w:p>
        </w:tc>
        <w:tc>
          <w:tcPr>
            <w:tcW w:w="31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J. McGrail</w:t>
            </w:r>
          </w:p>
        </w:tc>
        <w:tc>
          <w:tcPr>
            <w:tcW w:w="40" w:type="dxa"/>
            <w:vAlign w:val="bottom"/>
          </w:tcPr>
          <w:p>
            <w:pPr>
              <w:spacing w:after="0"/>
              <w:rPr>
                <w:sz w:val="24"/>
                <w:szCs w:val="24"/>
                <w:color w:val="auto"/>
              </w:rPr>
            </w:pPr>
          </w:p>
        </w:tc>
      </w:tr>
      <w:tr>
        <w:trPr>
          <w:trHeight w:val="187"/>
        </w:trPr>
        <w:tc>
          <w:tcPr>
            <w:tcW w:w="3500" w:type="dxa"/>
            <w:vAlign w:val="bottom"/>
          </w:tcPr>
          <w:p>
            <w:pPr>
              <w:spacing w:after="0"/>
              <w:rPr>
                <w:sz w:val="16"/>
                <w:szCs w:val="16"/>
                <w:color w:val="auto"/>
              </w:rPr>
            </w:pPr>
          </w:p>
        </w:tc>
        <w:tc>
          <w:tcPr>
            <w:tcW w:w="3120" w:type="dxa"/>
            <w:vAlign w:val="bottom"/>
          </w:tcPr>
          <w:p>
            <w:pPr>
              <w:ind w:left="222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48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Peter J. McGrail</w:t>
            </w:r>
          </w:p>
        </w:tc>
        <w:tc>
          <w:tcPr>
            <w:tcW w:w="40" w:type="dxa"/>
            <w:vAlign w:val="bottom"/>
          </w:tcPr>
          <w:p>
            <w:pPr>
              <w:spacing w:after="0"/>
              <w:rPr>
                <w:sz w:val="16"/>
                <w:szCs w:val="16"/>
                <w:color w:val="auto"/>
              </w:rPr>
            </w:pPr>
          </w:p>
        </w:tc>
      </w:tr>
      <w:tr>
        <w:trPr>
          <w:trHeight w:val="238"/>
        </w:trPr>
        <w:tc>
          <w:tcPr>
            <w:tcW w:w="3500" w:type="dxa"/>
            <w:vAlign w:val="bottom"/>
          </w:tcPr>
          <w:p>
            <w:pPr>
              <w:spacing w:after="0"/>
              <w:rPr>
                <w:sz w:val="20"/>
                <w:szCs w:val="20"/>
                <w:color w:val="auto"/>
              </w:rPr>
            </w:pPr>
          </w:p>
        </w:tc>
        <w:tc>
          <w:tcPr>
            <w:tcW w:w="312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&amp; Chief Accounting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31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48</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3120" w:type="dxa"/>
            <w:vAlign w:val="bottom"/>
            <w:tcBorders>
              <w:bottom w:val="single" w:sz="8" w:color="010101"/>
            </w:tcBorders>
          </w:tcPr>
          <w:p>
            <w:pPr>
              <w:spacing w:after="0"/>
              <w:rPr>
                <w:sz w:val="11"/>
                <w:szCs w:val="11"/>
                <w:color w:val="auto"/>
              </w:rPr>
            </w:pPr>
          </w:p>
        </w:tc>
        <w:tc>
          <w:tcPr>
            <w:tcW w:w="4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ectPr>
          <w:pgSz w:w="11900" w:h="16866" w:orient="portrait"/>
          <w:cols w:equalWidth="0" w:num="1">
            <w:col w:w="11460"/>
          </w:cols>
          <w:pgMar w:left="240" w:top="337" w:right="19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3"/>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40" w:type="dxa"/>
            <w:vAlign w:val="bottom"/>
          </w:tcPr>
          <w:p>
            <w:pPr>
              <w:spacing w:after="0"/>
              <w:rPr>
                <w:sz w:val="15"/>
                <w:szCs w:val="15"/>
                <w:color w:val="auto"/>
              </w:rPr>
            </w:pPr>
          </w:p>
        </w:tc>
        <w:tc>
          <w:tcPr>
            <w:tcW w:w="9740" w:type="dxa"/>
            <w:vAlign w:val="bottom"/>
            <w:tcBorders>
              <w:bottom w:val="single" w:sz="8" w:color="auto"/>
            </w:tcBorders>
          </w:tcPr>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First Amended and Restated Certificate of Incorporation (filed as Exhibit 3.2 of the Paylocity Holding Corporation’s Form S-1</w:t>
            </w:r>
          </w:p>
        </w:tc>
      </w:tr>
      <w:tr>
        <w:trPr>
          <w:trHeight w:val="234"/>
        </w:trPr>
        <w:tc>
          <w:tcPr>
            <w:tcW w:w="1440" w:type="dxa"/>
            <w:vAlign w:val="bottom"/>
          </w:tcPr>
          <w:p>
            <w:pPr>
              <w:spacing w:after="0"/>
              <w:rPr>
                <w:sz w:val="20"/>
                <w:szCs w:val="20"/>
                <w:color w:val="auto"/>
              </w:rPr>
            </w:pP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Registration Statement (Registration No. 333-193661).</w:t>
            </w:r>
          </w:p>
        </w:tc>
      </w:tr>
      <w:tr>
        <w:trPr>
          <w:trHeight w:val="41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Amended and Restated By-Laws of Paylocity Holding Corporation. (filed as Exhibit 3.4 of Paylocity Holding Corporation’s Form S-1</w:t>
            </w:r>
          </w:p>
        </w:tc>
      </w:tr>
      <w:tr>
        <w:trPr>
          <w:trHeight w:val="234"/>
        </w:trPr>
        <w:tc>
          <w:tcPr>
            <w:tcW w:w="1440" w:type="dxa"/>
            <w:vAlign w:val="bottom"/>
          </w:tcPr>
          <w:p>
            <w:pPr>
              <w:spacing w:after="0"/>
              <w:rPr>
                <w:sz w:val="20"/>
                <w:szCs w:val="20"/>
                <w:color w:val="auto"/>
              </w:rPr>
            </w:pP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Registration Statement (Registration No. 333-193661).</w:t>
            </w:r>
          </w:p>
        </w:tc>
      </w:tr>
      <w:tr>
        <w:trPr>
          <w:trHeight w:val="41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Securities Exchange Act Rules 13a-4 and 15d-14 as adopted pursuant to</w:t>
            </w:r>
          </w:p>
        </w:tc>
      </w:tr>
      <w:tr>
        <w:trPr>
          <w:trHeight w:val="234"/>
        </w:trPr>
        <w:tc>
          <w:tcPr>
            <w:tcW w:w="1440" w:type="dxa"/>
            <w:vAlign w:val="bottom"/>
          </w:tcPr>
          <w:p>
            <w:pPr>
              <w:spacing w:after="0"/>
              <w:rPr>
                <w:sz w:val="20"/>
                <w:szCs w:val="20"/>
                <w:color w:val="auto"/>
              </w:rPr>
            </w:pP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41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Securities Exchange Act Rules 13a-4 and 15d-14 as adopted pursuant to</w:t>
            </w:r>
          </w:p>
        </w:tc>
      </w:tr>
      <w:tr>
        <w:trPr>
          <w:trHeight w:val="234"/>
        </w:trPr>
        <w:tc>
          <w:tcPr>
            <w:tcW w:w="1440" w:type="dxa"/>
            <w:vAlign w:val="bottom"/>
          </w:tcPr>
          <w:p>
            <w:pPr>
              <w:spacing w:after="0"/>
              <w:rPr>
                <w:sz w:val="20"/>
                <w:szCs w:val="20"/>
                <w:color w:val="auto"/>
              </w:rPr>
            </w:pP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41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Certification pursuant to 18 U.S.C. 1350, adopted pursuant to Section 906 of the Sarbanes-Oxley Act of 2002, by Chief Executive</w:t>
            </w:r>
          </w:p>
        </w:tc>
      </w:tr>
      <w:tr>
        <w:trPr>
          <w:trHeight w:val="234"/>
        </w:trPr>
        <w:tc>
          <w:tcPr>
            <w:tcW w:w="1440" w:type="dxa"/>
            <w:vAlign w:val="bottom"/>
          </w:tcPr>
          <w:p>
            <w:pPr>
              <w:spacing w:after="0"/>
              <w:rPr>
                <w:sz w:val="20"/>
                <w:szCs w:val="20"/>
                <w:color w:val="auto"/>
              </w:rPr>
            </w:pP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Officer.</w:t>
            </w:r>
          </w:p>
        </w:tc>
      </w:tr>
      <w:tr>
        <w:trPr>
          <w:trHeight w:val="41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Certification pursuant to 18 U.S.C. 1350, adopted pursuant to Section 906 of the Sarbanes-Oxley Act of 2002, by Chief Financial</w:t>
            </w:r>
          </w:p>
        </w:tc>
      </w:tr>
      <w:tr>
        <w:trPr>
          <w:trHeight w:val="234"/>
        </w:trPr>
        <w:tc>
          <w:tcPr>
            <w:tcW w:w="1440" w:type="dxa"/>
            <w:vAlign w:val="bottom"/>
          </w:tcPr>
          <w:p>
            <w:pPr>
              <w:spacing w:after="0"/>
              <w:rPr>
                <w:sz w:val="20"/>
                <w:szCs w:val="20"/>
                <w:color w:val="auto"/>
              </w:rPr>
            </w:pP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Officer.</w:t>
            </w:r>
          </w:p>
        </w:tc>
      </w:tr>
      <w:tr>
        <w:trPr>
          <w:trHeight w:val="43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hanging="432"/>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440" w:hanging="432"/>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37" w:name="page38"/>
    <w:bookmarkEnd w:id="37"/>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Beauchamp, certify that:</w:t>
      </w:r>
    </w:p>
    <w:p>
      <w:pPr>
        <w:spacing w:after="0" w:line="225" w:lineRule="exact"/>
        <w:rPr>
          <w:sz w:val="20"/>
          <w:szCs w:val="20"/>
          <w:color w:val="auto"/>
        </w:rPr>
      </w:pPr>
    </w:p>
    <w:p>
      <w:pPr>
        <w:ind w:left="1060" w:hanging="171"/>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225" w:lineRule="exact"/>
        <w:rPr>
          <w:rFonts w:ascii="Times New Roman" w:cs="Times New Roman" w:eastAsia="Times New Roman" w:hAnsi="Times New Roman"/>
          <w:sz w:val="18"/>
          <w:szCs w:val="18"/>
          <w:color w:val="auto"/>
        </w:rPr>
      </w:pPr>
    </w:p>
    <w:p>
      <w:pPr>
        <w:ind w:left="440" w:right="180" w:firstLine="449"/>
        <w:spacing w:after="0" w:line="266" w:lineRule="auto"/>
        <w:tabs>
          <w:tab w:leader="none" w:pos="10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40" w:right="140" w:firstLine="449"/>
        <w:spacing w:after="0" w:line="282" w:lineRule="auto"/>
        <w:tabs>
          <w:tab w:leader="none" w:pos="10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right="120" w:firstLine="449"/>
        <w:spacing w:after="0" w:line="266" w:lineRule="auto"/>
        <w:tabs>
          <w:tab w:leader="none" w:pos="10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500" w:hanging="170"/>
        <w:spacing w:after="0"/>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27" w:lineRule="exact"/>
        <w:rPr>
          <w:rFonts w:ascii="Times New Roman" w:cs="Times New Roman" w:eastAsia="Times New Roman" w:hAnsi="Times New Roman"/>
          <w:sz w:val="18"/>
          <w:szCs w:val="18"/>
          <w:color w:val="auto"/>
        </w:rPr>
      </w:pPr>
    </w:p>
    <w:p>
      <w:pPr>
        <w:ind w:left="880"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80" w:right="40" w:firstLine="450"/>
        <w:spacing w:after="0" w:line="266" w:lineRule="auto"/>
        <w:tabs>
          <w:tab w:leader="none" w:pos="150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80" w:right="260" w:firstLine="450"/>
        <w:spacing w:after="0" w:line="282" w:lineRule="auto"/>
        <w:tabs>
          <w:tab w:leader="none" w:pos="149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880" w:right="180" w:firstLine="450"/>
        <w:spacing w:after="0" w:line="266" w:lineRule="auto"/>
        <w:tabs>
          <w:tab w:leader="none" w:pos="150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March 31, 2015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40" w:right="80" w:firstLine="449"/>
        <w:spacing w:after="0" w:line="282" w:lineRule="auto"/>
        <w:tabs>
          <w:tab w:leader="none" w:pos="10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80" w:right="480" w:firstLine="450"/>
        <w:spacing w:after="0" w:line="282" w:lineRule="auto"/>
        <w:tabs>
          <w:tab w:leader="none" w:pos="149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80" w:right="160" w:firstLine="450"/>
        <w:spacing w:after="0" w:line="282" w:lineRule="auto"/>
        <w:tabs>
          <w:tab w:leader="none" w:pos="150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2015</w:t>
            </w: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c>
          <w:tcPr>
            <w:tcW w:w="40" w:type="dxa"/>
            <w:vAlign w:val="bottom"/>
          </w:tcPr>
          <w:p>
            <w:pPr>
              <w:spacing w:after="0"/>
              <w:rPr>
                <w:sz w:val="20"/>
                <w:szCs w:val="20"/>
                <w:color w:val="auto"/>
              </w:rPr>
            </w:pPr>
          </w:p>
        </w:tc>
      </w:tr>
      <w:tr>
        <w:trPr>
          <w:trHeight w:val="187"/>
        </w:trPr>
        <w:tc>
          <w:tcPr>
            <w:tcW w:w="6580" w:type="dxa"/>
            <w:vAlign w:val="bottom"/>
          </w:tcPr>
          <w:p>
            <w:pPr>
              <w:ind w:left="570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4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Steven R. Beauchamp</w:t>
            </w:r>
          </w:p>
        </w:tc>
        <w:tc>
          <w:tcPr>
            <w:tcW w:w="40" w:type="dxa"/>
            <w:vAlign w:val="bottom"/>
          </w:tcPr>
          <w:p>
            <w:pPr>
              <w:spacing w:after="0"/>
              <w:rPr>
                <w:sz w:val="16"/>
                <w:szCs w:val="16"/>
                <w:color w:val="auto"/>
              </w:rPr>
            </w:pPr>
          </w:p>
        </w:tc>
      </w:tr>
      <w:tr>
        <w:trPr>
          <w:trHeight w:val="238"/>
        </w:trPr>
        <w:tc>
          <w:tcPr>
            <w:tcW w:w="6580" w:type="dxa"/>
            <w:vAlign w:val="bottom"/>
          </w:tcPr>
          <w:p>
            <w:pPr>
              <w:ind w:left="57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40" w:type="dxa"/>
            <w:vAlign w:val="bottom"/>
          </w:tcPr>
          <w:p>
            <w:pPr>
              <w:spacing w:after="0"/>
              <w:rPr>
                <w:sz w:val="20"/>
                <w:szCs w:val="20"/>
                <w:color w:val="auto"/>
              </w:rPr>
            </w:pPr>
          </w:p>
        </w:tc>
      </w:tr>
      <w:tr>
        <w:trPr>
          <w:trHeight w:val="348"/>
        </w:trPr>
        <w:tc>
          <w:tcPr>
            <w:tcW w:w="6580" w:type="dxa"/>
            <w:vAlign w:val="bottom"/>
            <w:tcBorders>
              <w:bottom w:val="single" w:sz="8" w:color="010101"/>
            </w:tcBorders>
          </w:tcPr>
          <w:p>
            <w:pPr>
              <w:spacing w:after="0"/>
              <w:rPr>
                <w:sz w:val="24"/>
                <w:szCs w:val="24"/>
                <w:color w:val="auto"/>
              </w:rPr>
            </w:pPr>
          </w:p>
        </w:tc>
        <w:tc>
          <w:tcPr>
            <w:tcW w:w="48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38" w:name="page39"/>
    <w:bookmarkEnd w:id="38"/>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 McGrail, certify that:</w:t>
      </w:r>
    </w:p>
    <w:p>
      <w:pPr>
        <w:spacing w:after="0" w:line="225" w:lineRule="exact"/>
        <w:rPr>
          <w:sz w:val="20"/>
          <w:szCs w:val="20"/>
          <w:color w:val="auto"/>
        </w:rPr>
      </w:pPr>
    </w:p>
    <w:p>
      <w:pPr>
        <w:ind w:left="1060" w:hanging="171"/>
        <w:spacing w:after="0"/>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225" w:lineRule="exact"/>
        <w:rPr>
          <w:rFonts w:ascii="Times New Roman" w:cs="Times New Roman" w:eastAsia="Times New Roman" w:hAnsi="Times New Roman"/>
          <w:sz w:val="18"/>
          <w:szCs w:val="18"/>
          <w:color w:val="auto"/>
        </w:rPr>
      </w:pPr>
    </w:p>
    <w:p>
      <w:pPr>
        <w:ind w:left="440" w:right="180" w:firstLine="449"/>
        <w:spacing w:after="0" w:line="266" w:lineRule="auto"/>
        <w:tabs>
          <w:tab w:leader="none" w:pos="10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40" w:right="140" w:firstLine="449"/>
        <w:spacing w:after="0" w:line="282" w:lineRule="auto"/>
        <w:tabs>
          <w:tab w:leader="none" w:pos="10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right="120" w:firstLine="449"/>
        <w:spacing w:after="0" w:line="266" w:lineRule="auto"/>
        <w:tabs>
          <w:tab w:leader="none" w:pos="10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500" w:hanging="170"/>
        <w:spacing w:after="0"/>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27" w:lineRule="exact"/>
        <w:rPr>
          <w:rFonts w:ascii="Times New Roman" w:cs="Times New Roman" w:eastAsia="Times New Roman" w:hAnsi="Times New Roman"/>
          <w:sz w:val="18"/>
          <w:szCs w:val="18"/>
          <w:color w:val="auto"/>
        </w:rPr>
      </w:pPr>
    </w:p>
    <w:p>
      <w:pPr>
        <w:ind w:left="880"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80" w:right="40" w:firstLine="450"/>
        <w:spacing w:after="0" w:line="266" w:lineRule="auto"/>
        <w:tabs>
          <w:tab w:leader="none" w:pos="150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80" w:right="260" w:firstLine="450"/>
        <w:spacing w:after="0" w:line="282" w:lineRule="auto"/>
        <w:tabs>
          <w:tab w:leader="none" w:pos="149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880" w:right="180" w:firstLine="450"/>
        <w:spacing w:after="0" w:line="266" w:lineRule="auto"/>
        <w:tabs>
          <w:tab w:leader="none" w:pos="150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March 31, 2015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40" w:right="80" w:firstLine="449"/>
        <w:spacing w:after="0" w:line="282" w:lineRule="auto"/>
        <w:tabs>
          <w:tab w:leader="none" w:pos="10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80" w:right="480" w:firstLine="450"/>
        <w:spacing w:after="0" w:line="282" w:lineRule="auto"/>
        <w:tabs>
          <w:tab w:leader="none" w:pos="149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80" w:right="160" w:firstLine="450"/>
        <w:spacing w:after="0" w:line="282" w:lineRule="auto"/>
        <w:tabs>
          <w:tab w:leader="none" w:pos="150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2015</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J. McGrail</w:t>
            </w:r>
          </w:p>
        </w:tc>
        <w:tc>
          <w:tcPr>
            <w:tcW w:w="40" w:type="dxa"/>
            <w:vAlign w:val="bottom"/>
          </w:tcPr>
          <w:p>
            <w:pPr>
              <w:spacing w:after="0"/>
              <w:rPr>
                <w:sz w:val="20"/>
                <w:szCs w:val="20"/>
                <w:color w:val="auto"/>
              </w:rPr>
            </w:pPr>
          </w:p>
        </w:tc>
      </w:tr>
      <w:tr>
        <w:trPr>
          <w:trHeight w:val="187"/>
        </w:trPr>
        <w:tc>
          <w:tcPr>
            <w:tcW w:w="6620" w:type="dxa"/>
            <w:vAlign w:val="bottom"/>
          </w:tcPr>
          <w:p>
            <w:pPr>
              <w:ind w:left="566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48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Peter J. McGrail</w:t>
            </w:r>
          </w:p>
        </w:tc>
        <w:tc>
          <w:tcPr>
            <w:tcW w:w="40" w:type="dxa"/>
            <w:vAlign w:val="bottom"/>
          </w:tcPr>
          <w:p>
            <w:pPr>
              <w:spacing w:after="0"/>
              <w:rPr>
                <w:sz w:val="16"/>
                <w:szCs w:val="16"/>
                <w:color w:val="auto"/>
              </w:rPr>
            </w:pPr>
          </w:p>
        </w:tc>
      </w:tr>
      <w:tr>
        <w:trPr>
          <w:trHeight w:val="238"/>
        </w:trPr>
        <w:tc>
          <w:tcPr>
            <w:tcW w:w="6620" w:type="dxa"/>
            <w:vAlign w:val="bottom"/>
          </w:tcPr>
          <w:p>
            <w:pPr>
              <w:ind w:left="56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40" w:type="dxa"/>
            <w:vAlign w:val="bottom"/>
          </w:tcPr>
          <w:p>
            <w:pPr>
              <w:spacing w:after="0"/>
              <w:rPr>
                <w:sz w:val="20"/>
                <w:szCs w:val="20"/>
                <w:color w:val="auto"/>
              </w:rPr>
            </w:pPr>
          </w:p>
        </w:tc>
      </w:tr>
      <w:tr>
        <w:trPr>
          <w:trHeight w:val="348"/>
        </w:trPr>
        <w:tc>
          <w:tcPr>
            <w:tcW w:w="6620" w:type="dxa"/>
            <w:vAlign w:val="bottom"/>
            <w:tcBorders>
              <w:bottom w:val="single" w:sz="8" w:color="010101"/>
            </w:tcBorders>
          </w:tcPr>
          <w:p>
            <w:pPr>
              <w:spacing w:after="0"/>
              <w:rPr>
                <w:sz w:val="24"/>
                <w:szCs w:val="24"/>
                <w:color w:val="auto"/>
              </w:rPr>
            </w:pPr>
          </w:p>
        </w:tc>
        <w:tc>
          <w:tcPr>
            <w:tcW w:w="48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March 31, 2015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84" w:lineRule="exact"/>
        <w:rPr>
          <w:sz w:val="20"/>
          <w:szCs w:val="20"/>
          <w:color w:val="auto"/>
        </w:rPr>
      </w:pPr>
    </w:p>
    <w:p>
      <w:pPr>
        <w:spacing w:after="0"/>
        <w:tabs>
          <w:tab w:leader="none" w:pos="7600" w:val="left"/>
        </w:tabs>
        <w:rPr>
          <w:sz w:val="20"/>
          <w:szCs w:val="20"/>
          <w:color w:val="auto"/>
        </w:rPr>
      </w:pPr>
      <w:r>
        <w:rPr>
          <w:rFonts w:ascii="Times New Roman" w:cs="Times New Roman" w:eastAsia="Times New Roman" w:hAnsi="Times New Roman"/>
          <w:sz w:val="18"/>
          <w:szCs w:val="18"/>
          <w:color w:val="auto"/>
        </w:rPr>
        <w:t>Dated: May 8, 2015</w:t>
      </w:r>
      <w:r>
        <w:rPr>
          <w:sz w:val="20"/>
          <w:szCs w:val="20"/>
          <w:color w:val="auto"/>
        </w:rPr>
        <w:tab/>
      </w:r>
      <w:r>
        <w:rPr>
          <w:rFonts w:ascii="Times New Roman" w:cs="Times New Roman" w:eastAsia="Times New Roman" w:hAnsi="Times New Roman"/>
          <w:sz w:val="17"/>
          <w:szCs w:val="17"/>
          <w:color w:val="auto"/>
        </w:rPr>
        <w:t>/S/ Steven R. Beauchamp</w:t>
      </w:r>
    </w:p>
    <w:p>
      <w:pPr>
        <w:spacing w:after="0" w:line="27"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b w:val="1"/>
          <w:bCs w:val="1"/>
          <w:color w:val="auto"/>
        </w:rPr>
        <w:t>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36531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3"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7"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March 31, 2015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80" w:lineRule="exact"/>
        <w:rPr>
          <w:sz w:val="20"/>
          <w:szCs w:val="20"/>
          <w:color w:val="auto"/>
        </w:rPr>
      </w:pPr>
    </w:p>
    <w:p>
      <w:pPr>
        <w:spacing w:after="0"/>
        <w:tabs>
          <w:tab w:leader="none" w:pos="7820" w:val="left"/>
        </w:tabs>
        <w:rPr>
          <w:sz w:val="20"/>
          <w:szCs w:val="20"/>
          <w:color w:val="auto"/>
        </w:rPr>
      </w:pPr>
      <w:r>
        <w:rPr>
          <w:rFonts w:ascii="Times New Roman" w:cs="Times New Roman" w:eastAsia="Times New Roman" w:hAnsi="Times New Roman"/>
          <w:sz w:val="18"/>
          <w:szCs w:val="18"/>
          <w:color w:val="auto"/>
        </w:rPr>
        <w:t>Dated: May 8, 2015</w:t>
      </w:r>
      <w:r>
        <w:rPr>
          <w:sz w:val="20"/>
          <w:szCs w:val="20"/>
          <w:color w:val="auto"/>
        </w:rPr>
        <w:tab/>
      </w:r>
      <w:r>
        <w:rPr>
          <w:rFonts w:ascii="Times New Roman" w:cs="Times New Roman" w:eastAsia="Times New Roman" w:hAnsi="Times New Roman"/>
          <w:sz w:val="18"/>
          <w:szCs w:val="18"/>
          <w:color w:val="auto"/>
        </w:rPr>
        <w:t>/S/ Peter J. McGrail</w:t>
      </w:r>
    </w:p>
    <w:p>
      <w:pPr>
        <w:spacing w:after="0" w:line="27"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8"/>
          <w:szCs w:val="18"/>
          <w:b w:val="1"/>
          <w:bCs w:val="1"/>
          <w:color w:val="auto"/>
        </w:rPr>
        <w:t>Peter J. McGrail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36360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Letter"/>
      <w:start w:val="1"/>
    </w:lvl>
    <w:lvl w:ilvl="1">
      <w:lvlJc w:val="left"/>
      <w:lvlText w:val="(%2)"/>
      <w:numFmt w:val="decimal"/>
      <w:start w:val="2"/>
    </w:lvl>
  </w:abstractNum>
  <w:abstractNum w:abstractNumId="1">
    <w:nsid w:val="1BEFD79F"/>
    <w:multiLevelType w:val="hybridMultilevel"/>
    <w:lvl w:ilvl="0">
      <w:lvlJc w:val="left"/>
      <w:lvlText w:val="(%1)"/>
      <w:numFmt w:val="lowerLetter"/>
      <w:start w:val="1"/>
    </w:lvl>
    <w:lvl w:ilvl="1">
      <w:lvlJc w:val="left"/>
      <w:lvlText w:val="%2"/>
      <w:numFmt w:val="decimal"/>
      <w:start w:val="1"/>
    </w:lvl>
  </w:abstractNum>
  <w:abstractNum w:abstractNumId="2">
    <w:nsid w:val="41A7C4C9"/>
    <w:multiLevelType w:val="hybridMultilevel"/>
    <w:lvl w:ilvl="0">
      <w:lvlJc w:val="left"/>
      <w:lvlText w:val="(%1)"/>
      <w:numFmt w:val="lowerLetter"/>
      <w:start w:val="2"/>
    </w:lvl>
  </w:abstractNum>
  <w:abstractNum w:abstractNumId="3">
    <w:nsid w:val="6B68079A"/>
    <w:multiLevelType w:val="hybridMultilevel"/>
    <w:lvl w:ilvl="0">
      <w:lvlJc w:val="left"/>
      <w:lvlText w:val="(%1)"/>
      <w:numFmt w:val="lowerLetter"/>
      <w:start w:val="3"/>
    </w:lvl>
  </w:abstractNum>
  <w:abstractNum w:abstractNumId="4">
    <w:nsid w:val="4E6AFB66"/>
    <w:multiLevelType w:val="hybridMultilevel"/>
    <w:lvl w:ilvl="0">
      <w:lvlJc w:val="left"/>
      <w:lvlText w:val="(%1)"/>
      <w:numFmt w:val="lowerLetter"/>
      <w:start w:val="4"/>
    </w:lvl>
  </w:abstractNum>
  <w:abstractNum w:abstractNumId="5">
    <w:nsid w:val="25E45D32"/>
    <w:multiLevelType w:val="hybridMultilevel"/>
    <w:lvl w:ilvl="0">
      <w:lvlJc w:val="left"/>
      <w:lvlText w:val="(%1)"/>
      <w:numFmt w:val="lowerLetter"/>
      <w:start w:val="5"/>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lowerLetter"/>
      <w:start w:val="2"/>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2019-12-29T17:27:32Z</dcterms:created>
  <dcterms:modified xsi:type="dcterms:W3CDTF">2019-12-29T17:27:32Z</dcterms:modified>
</cp:coreProperties>
</file>