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2025</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53,876,692 shares of Common Stock, $0.001 par value per share, as of January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6320" w:type="dxa"/>
            <w:vAlign w:val="bottom"/>
            <w:gridSpan w:val="10"/>
            <w:vMerge w:val="restart"/>
          </w:tcPr>
          <w:p>
            <w:pPr>
              <w:jc w:val="center"/>
              <w:ind w:right="344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320" w:type="dxa"/>
            <w:vAlign w:val="bottom"/>
            <w:gridSpan w:val="10"/>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8"/>
          </w:tcPr>
          <w:p>
            <w:pPr>
              <w:spacing w:after="0"/>
              <w:rPr>
                <w:sz w:val="24"/>
                <w:szCs w:val="24"/>
                <w:color w:val="auto"/>
              </w:rPr>
            </w:pPr>
          </w:p>
        </w:tc>
        <w:tc>
          <w:tcPr>
            <w:tcW w:w="34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560" w:type="dxa"/>
            <w:vAlign w:val="bottom"/>
            <w:tcBorders>
              <w:top w:val="single" w:sz="8" w:color="0000FF"/>
            </w:tcBorders>
            <w:gridSpan w:val="5"/>
          </w:tcPr>
          <w:p>
            <w:pPr>
              <w:spacing w:after="0"/>
              <w:rPr>
                <w:sz w:val="24"/>
                <w:szCs w:val="24"/>
                <w:color w:val="auto"/>
              </w:rPr>
            </w:pPr>
          </w:p>
        </w:tc>
        <w:tc>
          <w:tcPr>
            <w:tcW w:w="36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center"/>
              <w:ind w:left="4330"/>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52,541</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383,701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5,510,227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5,893,928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409,005</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6,972,784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178,872</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5,499,182</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5,678,054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5,874,469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2025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2025 and December 31, 2025;</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55,366 shares issued and outstanding at June 30, 2025 and 53,873 shares issued and outstanding at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93,148</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998,771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1,098,315</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6,972,784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40" w:right="238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680,819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765,838</w:t>
            </w: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58,468</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824,306</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262,376</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500,431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561,930</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194,446</w:t>
            </w: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113,346</w:t>
            </w:r>
          </w:p>
        </w:tc>
      </w:tr>
      <w:tr>
        <w:trPr>
          <w:trHeight w:val="230"/>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109,546</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417,338</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144,592</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145,090</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98,939</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56,740</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54,773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56,536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55,342</w:t>
            </w:r>
          </w:p>
        </w:tc>
      </w:tr>
      <w:tr>
        <w:trPr>
          <w:trHeight w:val="21"/>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5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Three Months Ended December 31, 2024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42"/>
              <w:spacing w:after="0" w:line="118"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vMerge w:val="restart"/>
          </w:tcPr>
          <w:p>
            <w:pPr>
              <w:jc w:val="center"/>
              <w:ind w:right="280"/>
              <w:spacing w:after="0" w:line="11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restart"/>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6"/>
                <w:szCs w:val="6"/>
                <w:color w:val="auto"/>
              </w:rPr>
            </w:pPr>
          </w:p>
        </w:tc>
        <w:tc>
          <w:tcPr>
            <w:tcW w:w="1420" w:type="dxa"/>
            <w:vAlign w:val="bottom"/>
            <w:gridSpan w:val="3"/>
            <w:vMerge w:val="restart"/>
          </w:tcPr>
          <w:p>
            <w:pPr>
              <w:jc w:val="center"/>
              <w:ind w:right="280"/>
              <w:spacing w:after="0" w:line="11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42"/>
              <w:spacing w:after="0" w:line="11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55,738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376,952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723,029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5,875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1,105,912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47,967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47,967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37,465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37,465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760,494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Three Months Ended December 31, 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42"/>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54,376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148,581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948,574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6,270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1,103,479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45,642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45,642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50,197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53,873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93,148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998,771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6,342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1,098,315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Six Months Ended December 31, 2024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42"/>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360,488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673,456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1,033,064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85,967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85,967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87,038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87,038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760,494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Six Months Ended December 31, 2025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vMerge w:val="restart"/>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restart"/>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6"/>
                <w:szCs w:val="6"/>
                <w:color w:val="auto"/>
              </w:rPr>
            </w:pPr>
          </w:p>
        </w:tc>
        <w:tc>
          <w:tcPr>
            <w:tcW w:w="1420" w:type="dxa"/>
            <w:vAlign w:val="bottom"/>
            <w:gridSpan w:val="3"/>
            <w:vMerge w:val="restart"/>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22"/>
              <w:spacing w:after="0" w:line="11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2025</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55,366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327,518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900,583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1,233,747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(28,609)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(28,609)</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(302,438)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98,188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98,188</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2025</w:t>
            </w:r>
          </w:p>
        </w:tc>
        <w:tc>
          <w:tcPr>
            <w:tcW w:w="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53,873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93,148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998,771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6,342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1,098,315</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87,038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55,256</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(25,440)</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203,455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126,413</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and funds held for clients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2,804,340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2,403,676</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2,579,643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3,525,884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5,062,169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45,968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482,364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162,495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3,043,520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4,899,674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3,525,884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5,062,169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HR, finance and IT software solutions that deliver a comprehensive platform for the modern workforce. Services are provided in a Software-as-a-Service (“SaaS”) delivery model. The Company offers an intuitive, easy-to-use product suite that helps businesses automate and streamline HR, finance and IT processes, attract and retain talent, and build culture and connection with their employees.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0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4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2025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2025 included in the Company’s Annual Report on Form 10-K.</w:t>
      </w:r>
    </w:p>
    <w:p>
      <w:pPr>
        <w:spacing w:after="0" w:line="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While adoption of this ASU is not expected to have a material effect on the Company's consolidated financial condition, results of operations or cash flows, it will result in expanded income tax disclosures beginning with the Company's Annual Report on Form 10-K for the fiscal year ended June 30, 2026.</w:t>
      </w:r>
    </w:p>
    <w:p>
      <w:pPr>
        <w:spacing w:after="0" w:line="16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734,381</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26,779</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33,256</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as follows: $19,618 in fiscal 2026, $10,965 in fiscal 2027 and $2,673 in fiscal 2028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utilizes the portfolio approach to account for both the cost of obtaining a contract and the cost of fulfilling a contract. These capitalized costs are amortized over the expected period of benefit, which has been determined to be generally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294,437</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533,656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533,656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$166,139 as of December 31, 2025,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 disclosed below using the acquisition method of accounting and recognized assets and liabilities at their fair values as of the date of acquisitions, with the excess recorded to goodwill.</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for Airbase was as follows, which reflects certain immaterial measurement period adjustments recorded before the measurement period closed on September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The goodwill related to this transaction is primarily attributable to the assembled workforce and growth opportunities from the expansion and enhancement of the Company’s product offerings and is not deductible for income tax purposes. Direct costs related to the acquisition were not material and were expensed as incurred as General and administrative expense in the Unaudited Consolidated Statements of Operations and Comprehensive Income. Pro forma financial information was immaterial for both the three and six months ended December 31, 2024.</w:t>
      </w:r>
    </w:p>
    <w:p>
      <w:pPr>
        <w:sectPr>
          <w:pgSz w:w="11900" w:h="16838" w:orient="portrait"/>
          <w:cols w:equalWidth="0" w:num="1">
            <w:col w:w="11240"/>
          </w:cols>
          <w:pgMar w:left="320" w:top="256" w:right="339" w:bottom="144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2,837</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939</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400,122</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437,390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(267,805)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(302,773)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132,317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134,617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$14,833 and $17,718 for the three months ended December 31, 2024 and 2025, respectively, and $28,610 and $34,968 for the six months ended December 31, 2024 and 2025,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(108,536)</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$5,149 and $4,910 for the three months ended December 31, 2024 and 2025, respectively, and $10,377 and $9,852 for the six months ended December 31, 2024 and 2025,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six months ended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343,100</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343,158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(74,034)</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$5,678 and $5,175 for the three months ended December 31, 2024 and 2025, respectively, and $8,225 and $10,436 for the six months ended December 31, 2024 and 2025, respectively, and is included in Cost of revenues and General and administrative.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December 31, 2025 is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9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38,473</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4,899,674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601,840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610,553</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5,664,007</w:t>
            </w:r>
          </w:p>
        </w:tc>
        <w:tc>
          <w:tcPr>
            <w:tcW w:w="10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80" w:type="dxa"/>
            <w:vAlign w:val="bottom"/>
          </w:tcPr>
          <w:p>
            <w:pPr>
              <w:spacing w:after="0"/>
              <w:rPr>
                <w:sz w:val="22"/>
                <w:szCs w:val="22"/>
                <w:color w:val="auto"/>
              </w:rPr>
            </w:pPr>
          </w:p>
        </w:tc>
        <w:tc>
          <w:tcPr>
            <w:tcW w:w="4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5,672,722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2025 and December 31, 2025.</w:t>
      </w:r>
    </w:p>
    <w:p>
      <w:pPr>
        <w:spacing w:after="0" w:line="18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money market funds and commercial paper at June 30, 2025 and December 31,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5,510,227</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5,672,722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had fair market value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8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88,477</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6"/>
                <w:szCs w:val="16"/>
                <w:color w:val="auto"/>
              </w:rPr>
            </w:pPr>
          </w:p>
        </w:tc>
        <w:tc>
          <w:tcPr>
            <w:tcW w:w="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100,702</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8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198"/>
        </w:trPr>
        <w:tc>
          <w:tcPr>
            <w:tcW w:w="20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six months ended December 31, 2024 or 2025. All securities in the Company’s portfolio held an A-1 rating or better as of December 31, 2025.</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2024 or 2025. There were no realized gains or losses on the sale of available-for-sale securities for the three or six months ended December 31, 2024 or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December 31,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262,096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610,553</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4"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and borrowings on its credit facility using Level 2 inputs. The Company considers the recorded value of these financial assets and liabilities to approximate the fair value of the respective assets and liabilities at June 30, 2025 and December 31, 2025 based upon the short-term nature of these assets and liabilities.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2025 or December 31,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levels for the Company’s cash and cash equivalents and available-for-sale securities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2,482,526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4,895,880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5,672,722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5,058,375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614,347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 using Level 3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During fiscal 2025, the Company borrowed $325,000 to fund the acquisition of Airbase Inc. in October 2024, of which it repaid $162,500 in the second half of fiscal 2025. The Company repaid an additional $81,250 during the six months ended December 31, 2025. As a result, $81,250 remained outstanding at December 31, 2025. Refer to Note 4 for further details on the Company's acquisition of Airbase Inc.</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Any borrowings under the credit facility will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2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December 31, 2025, the Company was in compliance with all of the aforementioned 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which was amended and restated in December 2025 to increase the number of shares available for issuance by 444 shares and remove certain share recycling provisions for stock options and stock appreciation rights. The 2023 Plan serves as the successor to the 2014 Plan and permits the granting of restricted stock units ("RSUs"), performance stock units ("PSUs"), market stock units ("MSUs") and other equity incentives at the discretion of the compensation committee of the Company’s board of directors ("Committee"). No new awards have been nor will be issued under the 2014 Plan since the effective date of the 2023 Plan. Outstanding awards under the 2014 Plan continue to be subject to the terms and conditions of the 2014 Plan.</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1,544 shares available for future grant under the 2023 Plan, and 1,907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w:t>
      </w:r>
    </w:p>
    <w:p>
      <w:pPr>
        <w:spacing w:after="0" w:line="1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Company's Employee Stock Purchase Plan is included in the following line items in the accompanying Unaudited Consolidated Statements of Operations and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10,457</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11,412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16,047</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43,666</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42,244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$3,623 and $3,231 of stock-based compensation expense in its capitalized internal-use software costs in the three months ended December 31, 2024 and 2025, respectively, and $7,454 and $6,147 for the six months ended December 31, 2024 and 2025, respectively.</w:t>
      </w:r>
    </w:p>
    <w:p>
      <w:pPr>
        <w:spacing w:after="0" w:line="13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Committee. RSUs are time-based awards that generally vest over four years following the grant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six months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171.49</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178.14</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December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PSU activity during the six months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balance at July 1, 2025</w:t>
            </w: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 balance at December 31, 2025</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six months ended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391.85</w:t>
            </w:r>
          </w:p>
        </w:tc>
      </w:tr>
      <w:tr>
        <w:trPr>
          <w:trHeight w:val="276"/>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December 31,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9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904"/>
        </w:trPr>
        <w:tc>
          <w:tcPr>
            <w:tcW w:w="7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there was $161,808 of total unrecognized compensation cost, net of estimated forfeitures, related to unvested RSUs, PSUs and MSUs. That cost is expected to be recognized over a weighted average period of 1.8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20.0% and 28.5% for the three months ended December 31, 2024 and 2025, respectively. The Company's effective tax rate for the three months ended December 31, 2024 was lower than the federal statutory rate of 21% primarily due to the excess tax benefit from stock-based compensation. The Company's effective tax rate for the three months ended December 31, 2025 was higher than the federal statutory rate of 21% primarily due to stock-based compensation shortfalls realized and state and local income taxes.</w:t>
      </w:r>
    </w:p>
    <w:p>
      <w:pPr>
        <w:spacing w:after="0" w:line="207" w:lineRule="exact"/>
        <w:rPr>
          <w:sz w:val="20"/>
          <w:szCs w:val="20"/>
          <w:color w:val="auto"/>
        </w:rPr>
      </w:pPr>
    </w:p>
    <w:p>
      <w:pPr>
        <w:jc w:val="both"/>
        <w:ind w:right="300" w:firstLine="648"/>
        <w:spacing w:after="0" w:line="281" w:lineRule="auto"/>
        <w:rPr>
          <w:sz w:val="20"/>
          <w:szCs w:val="20"/>
          <w:color w:val="auto"/>
        </w:rPr>
      </w:pPr>
      <w:r>
        <w:rPr>
          <w:rFonts w:ascii="Times New Roman" w:cs="Times New Roman" w:eastAsia="Times New Roman" w:hAnsi="Times New Roman"/>
          <w:sz w:val="17"/>
          <w:szCs w:val="17"/>
          <w:color w:val="auto"/>
        </w:rPr>
        <w:t>The Company's effective tax rate was 24.8% and 32.3% for the six months ended December 31, 2024 and 2025, respectively. The Company's effective tax rate for the six months ended December 31, 2024 was higher than the federal statutory rate of 21% primarily due to state and local income taxes. The Company's effective tax rate for the six months ended December 31, 2025 was higher than the federal statutory rate of 21% primarily due to stock-based compensation shortfalls realized, state and local income taxes and an increase to the valuation allowance as explained below.</w:t>
      </w:r>
    </w:p>
    <w:p>
      <w:pPr>
        <w:spacing w:after="0" w:line="12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the Company relates to accelerated tax deductions for qualified property and research expenditures. As a result of this provision, deferred tax assets and liabilities and income tax payables and receivables were impacted starting in fiscal 2026 and the Company expects cash tax benefits due to lower cash tax payments throughout fiscal 2026. Furthermore, the Company evaluated the impacts of the Act on certain state tax attributes and determined that a valuation allowance was needed to reflect the realizability of those assets based on current federal and state law as of December 31, 2025.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RSUs, PSUs and MSUs as of the balance sheet date. The following table presents the calculation of basic and diluted net income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37,465</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98,188</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55,826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54,550</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RSUs, PSUs and MSUs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56,740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54,773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performance stock units and market stock units as of December 31, 2024 and 2025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604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6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9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determined that it operates as one reportable segment and derives revenues from customers by providing its HR,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significant expenses and other segment items as included in consolidated net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(174,834)</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(92,526)</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(73,621)</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(46,902)</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(130,628)</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Other segment items primarily include amortization of capitalized internal-use software and acquired intangible assets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2025 filed with the SEC on August 6,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are a leading cloud-based provider of HR,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with their employees. We are expanding the spend management capabilities of our platform beyond expense management to include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14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Effective management of human capital and business-related spend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44" w:lineRule="exact"/>
        <w:rPr>
          <w:sz w:val="20"/>
          <w:szCs w:val="20"/>
          <w:color w:val="auto"/>
        </w:rPr>
      </w:pPr>
    </w:p>
    <w:p>
      <w:pPr>
        <w:ind w:right="60" w:firstLine="177"/>
        <w:spacing w:after="0" w:line="239"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5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5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$377.0 million for the three months ended December 31, 2024 to $416.1 million for the three months ended December 31, 2025, representing a 10% year-over-year increase. Total revenues increased from $739.9 million for the six months ended December 31, 2024 to $824.3 million for the six months ended December 31, 2025, representing an 11% year-over-year increase. The increase in year-over-year revenue growth was driven by the strong performance by our sales team.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described below. We define Adjusted EBITDA as net income before interest expense, income tax expense, depreciation and amortization expense, stock-based compensation expense and employer payroll taxes related to stock releases and option exercises and other items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500,431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561,930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546,924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98,188</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203,916</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right="680" w:hanging="652"/>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ind w:left="660" w:right="380" w:hanging="652"/>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transaction-related costs and severance costs related to certain roles that have been eliminated. We exclude one-off severance costs that we incur as part of the normal course of our business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for our preparation of W-2 documents and annual required filings on behalf of our clients. We charge implementation fees for professional services provided to implement our software solutions.</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92% and 93% of our total revenues for the three months ended December 31, 2024 and 2025, respectively, and 92% and 93% of our total revenues for the six months ended December 31, 2024 and 2025, respectively.</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Cost of revenues consists primarily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generally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$14.8 million and $17.7 million of capitalized internal-use software costs during the three months ended December 31, 2024 and 2025, respectively, and $28.6 million and $35.0 million of capitalized internal-use software costs for the six months ended December 31, 2024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generally amortize them over a period of 7 years.</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2024 and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17,253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56,155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57,739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113,346</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73,408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150,614</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765,838</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58,468</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824,306</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262,376</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561,930</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194,446</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113,346</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109,546</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417,338</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2024 and 2025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7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347,714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386,980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December 31, 2025 increased by $39.3 million, or 11%, to $387.0 million from $347.7 million for the three months ended December 31, 2024.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December 31, 2025 was flat as compared to the three months ended December 31, 2024. Interest income on funds held for clients decreased slightly as the negative impact from lower interest rates was mostly offset by positive impact from higher average daily balances of funds held for new and existing clients as compared to the prior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124,545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133,996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Cost of revenues for the three months ended December 31, 2025 increased by $9.5 million, or 8%, to $134.0 million from $124.5 million for the three months ended December 31, 2024. Cost of revenues increased primarily as a result of the continued growth of our business, in particular, $5.9 million in additional employee-related costs, $2.9 million in additional amortization of internal-use software and $1.5 million in additional processing and delivery related costs. Gross margin increased from 67% for the three months ended December 31, 2024 to 68% for the three months ended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93,133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98,078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2025 increased by $4.9 million, or 5%, to $98.1 million from $93.1 million for the three months ended December 31, 2024. The increase in sales and marketing expense was primarily due to $4.9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56,155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57,739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December 31, 2025 increased by $1.6 million, or 3%, to $57.7 million from $56.2 million for the three months ended December 31, 2024. The increase in research and development expenses was primarily due to $2.4 million of additional employee-related costs related to additional development personnel, net of capitalized internal-use software costs, partially offset by $1.5 million in lower stock-based compensation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56,524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2025 decreased by $0.6 million, or 1%, to $55.9 million from $56.5 million for the three months ended December 31, 2024. General and administrative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expenses decreased primarily due to lower acquisition-related costs and other non-recurring items partially offset by an increase in stock-based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three months ended December 31, 2025 decreased by $0.4 million as compared to the three months ended December 31, 2024. The change in other income was primarily due to a $3.9 million reduction in interest earned on our cash and cash equivalents from lower average balances, partially offset by a $3.6 million decrease in interest expense related to less borrowings under our revolving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20.0% and 28.5% for the three months ended December 31, 2024 and 2025, respectively. Our effective tax rate for the three months ended December 31, 2024 was lower than the federal statutory rate of 21% primarily due to excess tax benefit from stock-based compensation. Our effective tax rate for the three months ended December 31, 2025 was higher than the federal statutory rate of 21% primarily due to stock-based compensation shortfalls realized and state and local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2024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680,819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765,838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59,117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six months ended December 31, 2025 increased by $85.0 million, or 12%, to $765.8 million from $680.8 million for the six months ended December 31, 2024.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on funds held for clients for the six months ended December 31, 2025 decreased by $0.6 million, or 1%, to $58.5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$59.1 million for the six months ended December 31, 2024. Interest income on funds held for clients decreased slightly, as the negative impact from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was mostly offset by positive impact from higher average daily balances of funds held for new and existing clients as compared to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239,505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262,376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22,871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six months ended December 31, 2025 increased by $22.9 million, or 10%, to $262.4 million from $239.5 million for the six months ended December 31, 2024. Cost of revenues increased primarily as a result of the continued growth of our business, in particular, $12.3 million in additional employee-related costs, $6.3 million in additional amortization of internal-use software, $3.0 million in additional processing and delivery related costs and $2.3</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million in additional amortization of certain intangible assets. Gross margin remained consistent at 68% for both the six months ended December 31, 2024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181,564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194,446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12,882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six months ended December 31, 2025 increased by $12.9 million, or 7%, to $194.4 million from $181.6 million for the six months ended December 31, 2024. The increase in sales and marketing expense was primarily due to $11.6 million of additional employee-related costs, including those incurred to expand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December 31, 2025 increased by $9.9 million, or 10%, to $113.3 million from $103.4 million for the six months ended December 31, 2024. The increase in research and development expenses was primarily due to $10.1 million of additional employee-related costs related to additional development personnel, net of capitalized internal-use software costs, partially offset by $2.0 million in lower stock-based compensation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104,685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109,546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60" w:firstLine="648"/>
        <w:spacing w:after="0" w:line="290" w:lineRule="auto"/>
        <w:rPr>
          <w:sz w:val="20"/>
          <w:szCs w:val="20"/>
          <w:color w:val="auto"/>
        </w:rPr>
      </w:pPr>
      <w:r>
        <w:rPr>
          <w:rFonts w:ascii="Times New Roman" w:cs="Times New Roman" w:eastAsia="Times New Roman" w:hAnsi="Times New Roman"/>
          <w:sz w:val="17"/>
          <w:szCs w:val="17"/>
          <w:color w:val="auto"/>
        </w:rPr>
        <w:t>General and administrative expenses for the six months ended December 31, 2025 increased by $4.9 million, or 5%, to $109.5 million from $104.7 million for the six months ended December 31, 2024. General and administrative expenses increased primarily due to $7.0 million in additional</w:t>
      </w:r>
    </w:p>
    <w:p>
      <w:pPr>
        <w:ind w:right="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largely driven by executive award forfeitures during the six months ended December 31, 2024 and $3.6 million in additional employee-related costs during the six months ended December 31, 2025, partially offset by a decrease in acquisition-related costs and other non-recurring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six months ended December 31, 2025 decreased by $4.4 million as compared to the six months ended December 31, 2024. The change in other income was primarily due to $5.9 million reduction in interest earned on our cash and cash equivalents from lower average balances, partially offset by a $1.7 million decrease in interest expense related to less borrowings under our revolving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was 24.8% and 32.3% for the six months ended December 31, 2024 and 2025, respectively. Our effective tax rate for the six months ended December 31, 2024 was higher than the federal statutory rate of 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primarily due to state and local income taxes. Our effective tax rate for the six months ended December 31, 2025 was higher than the federal statutory rate of 21% primarily due to stock-based compensation shortfalls realized, state and local income taxes and an increase to the valuation allowance as explained below.</w:t>
      </w:r>
    </w:p>
    <w:p>
      <w:pPr>
        <w:spacing w:after="0" w:line="15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us relates to accelerated tax deductions for qualified property and research expenditures. As a result of this provision, deferred tax assets and liabilities and income tax payables and receivables were impacted starting in fiscal 2026 and we expect cash tax benefits due to lower cash tax payments throughout fiscal 2026. Furthermore, we evaluated the impacts of the Act on certain state tax attributes and determined that a valuation allowance was needed to reflect the realizability of those assets based on current federal and state law as of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There have been no material changes in our critical accounting policies and use of estimates from the information provided in Item 7 of our audited consolidated financial statements for the year ended June 30, 2025 included in our Annual Report on Form 10-K filed with the SEC on August 6,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Our primary liquidity needs are related to the funding of general business requirements, including working capital requirements, research and development, and capital expenditures. As of December 31, 2025, our principal source of liquidity was $162.5 million of cash and cash equivalents. We maintain a credit agreement that provides for a $550.0 million revolving credit facility, which may be increased up to $825.0 million. During fiscal 2025, we borrowed $325.0 million under this credit facility to fund the October 2024 acquisition of Airbase Inc. We had $81.3 million in outstanding borrowings</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under this credit facility at December 31, 2025, as we repaid $162.5 million in the second half of fiscal 2025 and an additional $81.3 million during the first half of fiscal 2026. Refer to Notes 4 and 8 of the Notes to the Unaudited Consolidated Financial Statements for additional details on the Airbase acquisition and credit agreement, respectively.</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In July 2025, our board of directors approved a $500.0 million increase to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the six months ended December 31, 2025, we repurchased an aggregate of 1.8 million shares for approximately $300.0 million at an average cost per share of $162.66 under the Repurchase Program.</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approximately $400.4 million remains authorized for repurchases under the Repurchase Program.</w:t>
      </w:r>
    </w:p>
    <w:p>
      <w:pPr>
        <w:spacing w:after="0" w:line="18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December 31, 2025, we did not have any corporate investments classified as available-for-sale securities.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203,455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and funds held for clients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2,804,340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2,403,676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$145.7 million and $203.5 million for the six months ended December 31, 2024 and 2025, respectively. The change in net cash provided by operating activities from the six months ended December 31, 2024 to the six months ended December 31, 2025 was primarily driven by improved operating results after adjusting for non-cash items, including stock-based compensation expense, depreciation and amortization expense and deferred income tax expense (benefit) and lower income tax payments resulting from the provisions of the One Big Beautiful Bill Act, partially offset by changes in operating assets and liabilities over the same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$301.0 million and $27.5 million for the six months ended December 31, 2024 and 2025,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$278.0 million paid for the acquisition of Airbase Inc., net of cash and funds held for clients acquired during the six months ended December 31, 2024. The change was also due to a $46.4 million increase in proceeds from the sales and maturities of available-for-sale securities, partially offset by a $49.2 million increase in purchases of available-for-sale securities during the six months ended December 31, 2025 as compared to the six months ended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$835.5 million and $2,403.7 million for the six months ended December 31, 2024 and 2025, respectively. The change in net cash provided by financing activities was primarily due to the net change in client fund obligations of $2,259.0 million due to the timing of client funds collected and related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remittance of those funds to client employees and taxing authorities. This was partially offset by $325.0 million in borrowings under our credit facility during the six months ended December 31, 2024 and $291.6 million in additional share repurchases and $81.3 million repayment of amounts borrowed on our credit facility during the six months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our principal commitments consisted of $81.3 million in borrowings on our revolving credit facility, which is contractually not due in the next twelve months, and related interest payments, as well as $60.5 million in operating lease obligations, of which $10.5 million is due in the next twelve months. We also had $143.2 million in purchase obligations, of which $73.8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$5.3 million and $7.2 million for the six months ended December 31, 2024 and 2025, respectively, exclusive of capitalized internal-use software costs of $29.6 million and $31.4 million for the same periods,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6, 2025 for risks related to our business.</w:t>
      </w:r>
    </w:p>
    <w:p>
      <w:pPr>
        <w:spacing w:after="0" w:line="13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$162.5 million and funds held for clients of $5,510.2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$12.6 million as of December 31, 2025. An immediate 100-basis point decrease in interest rates would have resulted in an increase in the market value of our available-for-sale securities by $13.0 million as of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December 31, 2025. Fluctuations in the value of our available-for-sale securities caused by changes in interest rates are recorded in other comprehensive income and are only realized if we sell the underlying securities.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 xml:space="preserve">$81.3 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market risk 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December 31, 2025,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2025 filed with the SEC on August 6,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its common stock during the three months ended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20" w:type="dxa"/>
            <w:vAlign w:val="bottom"/>
          </w:tcPr>
          <w:p>
            <w:pPr>
              <w:spacing w:after="0"/>
              <w:rPr>
                <w:sz w:val="15"/>
                <w:szCs w:val="15"/>
                <w:color w:val="auto"/>
              </w:rPr>
            </w:pPr>
          </w:p>
        </w:tc>
        <w:tc>
          <w:tcPr>
            <w:tcW w:w="2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the Plans or Programs (2)</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500,362,644</w:t>
            </w:r>
          </w:p>
        </w:tc>
        <w:tc>
          <w:tcPr>
            <w:tcW w:w="0" w:type="dxa"/>
            <w:vAlign w:val="bottom"/>
          </w:tcPr>
          <w:p>
            <w:pPr>
              <w:spacing w:after="0"/>
              <w:rPr>
                <w:sz w:val="1"/>
                <w:szCs w:val="1"/>
                <w:color w:val="auto"/>
              </w:rPr>
            </w:pPr>
          </w:p>
        </w:tc>
      </w:tr>
      <w:tr>
        <w:trPr>
          <w:trHeight w:val="21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 November 30,</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144.86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690,309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400,362,721</w:t>
            </w:r>
          </w:p>
        </w:tc>
        <w:tc>
          <w:tcPr>
            <w:tcW w:w="0" w:type="dxa"/>
            <w:vAlign w:val="bottom"/>
          </w:tcPr>
          <w:p>
            <w:pPr>
              <w:spacing w:after="0"/>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400,362,721</w:t>
            </w:r>
          </w:p>
        </w:tc>
        <w:tc>
          <w:tcPr>
            <w:tcW w:w="0" w:type="dxa"/>
            <w:vAlign w:val="bottom"/>
          </w:tcPr>
          <w:p>
            <w:pPr>
              <w:spacing w:after="0"/>
              <w:rPr>
                <w:sz w:val="1"/>
                <w:szCs w:val="1"/>
                <w:color w:val="auto"/>
              </w:rPr>
            </w:pPr>
          </w:p>
        </w:tc>
      </w:tr>
      <w:tr>
        <w:trPr>
          <w:trHeight w:val="223"/>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690,309</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580" w:firstLine="8"/>
        <w:spacing w:after="0" w:line="266" w:lineRule="auto"/>
        <w:tabs>
          <w:tab w:leader="none" w:pos="3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In July 2025, our board of directors approved a $500 million increase to the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 following directors and/or officers (as defined in Rule 16a-1(f)) adopted a “Rule 10b5-1 trading arrangement,” as defined in Item 408(a) of Regulation S-K intending to satisfy the affirmative defense conditions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23"/>
                <w:szCs w:val="23"/>
                <w:b w:val="1"/>
                <w:bCs w:val="1"/>
                <w:color w:val="auto"/>
                <w:vertAlign w:val="superscript"/>
              </w:rPr>
              <w:t>(1)</w:t>
            </w:r>
          </w:p>
        </w:tc>
        <w:tc>
          <w:tcPr>
            <w:tcW w:w="2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3060" w:type="dxa"/>
            <w:vAlign w:val="bottom"/>
            <w:vMerge w:val="continue"/>
          </w:tcPr>
          <w:p>
            <w:pPr>
              <w:spacing w:after="0"/>
              <w:rPr>
                <w:sz w:val="21"/>
                <w:szCs w:val="21"/>
                <w:color w:val="auto"/>
              </w:rPr>
            </w:pPr>
          </w:p>
        </w:tc>
        <w:tc>
          <w:tcPr>
            <w:tcW w:w="2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08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Rost</w:t>
            </w:r>
          </w:p>
        </w:tc>
        <w:tc>
          <w:tcPr>
            <w:tcW w:w="23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23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Up to 2,181</w:t>
            </w:r>
            <w:r>
              <w:rPr>
                <w:rFonts w:ascii="Times New Roman" w:cs="Times New Roman" w:eastAsia="Times New Roman" w:hAnsi="Times New Roman"/>
                <w:sz w:val="23"/>
                <w:szCs w:val="23"/>
                <w:color w:val="auto"/>
                <w:vertAlign w:val="superscript"/>
              </w:rPr>
              <w:t>(2)</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February 24, 2026 -</w:t>
            </w:r>
          </w:p>
        </w:tc>
        <w:tc>
          <w:tcPr>
            <w:tcW w:w="20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Treasurer</w:t>
            </w:r>
          </w:p>
        </w:tc>
        <w:tc>
          <w:tcPr>
            <w:tcW w:w="2320" w:type="dxa"/>
            <w:vAlign w:val="bottom"/>
            <w:vMerge w:val="continue"/>
            <w:shd w:val="clear" w:color="auto" w:fill="CCEEFF"/>
          </w:tcPr>
          <w:p>
            <w:pPr>
              <w:spacing w:after="0"/>
              <w:rPr>
                <w:sz w:val="21"/>
                <w:szCs w:val="21"/>
                <w:color w:val="auto"/>
              </w:rPr>
            </w:pP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August 21, 2026</w:t>
            </w: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November 25,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21, 2026</w:t>
            </w: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I. Sarowitz</w:t>
            </w:r>
          </w:p>
        </w:tc>
        <w:tc>
          <w:tcPr>
            <w:tcW w:w="2320" w:type="dxa"/>
            <w:vAlign w:val="bottom"/>
          </w:tcPr>
          <w:p>
            <w:pPr>
              <w:spacing w:after="0"/>
              <w:rPr>
                <w:sz w:val="20"/>
                <w:szCs w:val="20"/>
                <w:color w:val="auto"/>
              </w:rPr>
            </w:pPr>
          </w:p>
        </w:tc>
        <w:tc>
          <w:tcPr>
            <w:tcW w:w="2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March 18, 2026 -</w:t>
            </w:r>
          </w:p>
        </w:tc>
        <w:tc>
          <w:tcPr>
            <w:tcW w:w="2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540,000</w:t>
            </w:r>
            <w:r>
              <w:rPr>
                <w:rFonts w:ascii="Times New Roman" w:cs="Times New Roman" w:eastAsia="Times New Roman" w:hAnsi="Times New Roman"/>
                <w:sz w:val="23"/>
                <w:szCs w:val="23"/>
                <w:color w:val="auto"/>
                <w:vertAlign w:val="superscript"/>
              </w:rPr>
              <w:t>(3)</w:t>
            </w:r>
          </w:p>
        </w:tc>
        <w:tc>
          <w:tcPr>
            <w:tcW w:w="208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vMerge w:val="continue"/>
          </w:tcPr>
          <w:p>
            <w:pPr>
              <w:spacing w:after="0"/>
              <w:rPr>
                <w:sz w:val="24"/>
                <w:szCs w:val="24"/>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2026</w:t>
            </w: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15,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660" w:right="380" w:hanging="652"/>
        <w:spacing w:after="0" w:line="222" w:lineRule="auto"/>
        <w:tabs>
          <w:tab w:leader="none" w:pos="32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spacing w:after="0" w:line="9" w:lineRule="exact"/>
        <w:rPr>
          <w:rFonts w:ascii="Times New Roman" w:cs="Times New Roman" w:eastAsia="Times New Roman" w:hAnsi="Times New Roman"/>
          <w:sz w:val="23"/>
          <w:szCs w:val="23"/>
          <w:color w:val="auto"/>
          <w:vertAlign w:val="superscript"/>
        </w:rPr>
      </w:pPr>
    </w:p>
    <w:p>
      <w:pPr>
        <w:ind w:left="660" w:right="60" w:hanging="652"/>
        <w:spacing w:after="0" w:line="216"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subject to certain outstanding equity awards with time-based vesting conditions. Additionally, the actual number of shares that may be sold will be net of the number of shares withheld by the Company to satisfy tax withholding obligations arising from the vesting of such awards, which is not determinable at this time.</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232"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that will be sold is determined, in part, based on pricing triggers outlined in the adopting person's trading arrangement.</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5"/>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8-K on December 4, 2023 (File No. 001-36348)).</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5"/>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5"/>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Amended and Restated 2023 Equity Incentive Plan (filed as Exhibit 10.1 of Paylocity Holding Corporation's Current Report on Form 8-</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7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K on December 5, 2025.</w:t>
              </w:r>
            </w:hyperlink>
          </w:p>
        </w:tc>
        <w:tc>
          <w:tcPr>
            <w:tcW w:w="80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264"/>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6"/>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6"/>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7"/>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3"/>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6, 2026</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6, 2026</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December 31,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3"/>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9" Type="http://schemas.openxmlformats.org/officeDocument/2006/relationships/hyperlink" Target="https://www.sec.gov/Archives/edgar/data/1591698/000159169823000278/pcty-20231130xexhibit31.htm" TargetMode="External"/><Relationship Id="rId60" Type="http://schemas.openxmlformats.org/officeDocument/2006/relationships/hyperlink" Target="https://www.sec.gov/Archives/edgar/data/1591698/000159169823000278/pcty-20231130xexhibit32.htm" TargetMode="External"/><Relationship Id="rId61" Type="http://schemas.openxmlformats.org/officeDocument/2006/relationships/hyperlink" Target="https://www.sec.gov/Archives/edgar/data/1591698/000159169825000132/pcty-20251204x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2026-02-06T10:09:24Z</dcterms:created>
  <dcterms:modified xsi:type="dcterms:W3CDTF">2026-02-06T10:09:24Z</dcterms:modified>
</cp:coreProperties>
</file>