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September 30, 2017</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3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136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308"/>
              <w:spacing w:after="0"/>
              <w:rPr>
                <w:sz w:val="20"/>
                <w:szCs w:val="20"/>
                <w:color w:val="auto"/>
              </w:rPr>
            </w:pPr>
            <w:r>
              <w:rPr>
                <w:rFonts w:ascii="Arial" w:cs="Arial" w:eastAsia="Arial" w:hAnsi="Arial"/>
                <w:sz w:val="14"/>
                <w:szCs w:val="14"/>
                <w:color w:val="auto"/>
                <w:w w:val="94"/>
              </w:rPr>
              <w:t>incorporation or organization)</w:t>
            </w:r>
          </w:p>
        </w:tc>
        <w:tc>
          <w:tcPr>
            <w:tcW w:w="1360" w:type="dxa"/>
            <w:vAlign w:val="bottom"/>
          </w:tcPr>
          <w:p>
            <w:pPr>
              <w:jc w:val="center"/>
              <w:ind w:left="2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208"/>
              <w:spacing w:after="0"/>
              <w:rPr>
                <w:sz w:val="20"/>
                <w:szCs w:val="20"/>
                <w:color w:val="auto"/>
              </w:rPr>
            </w:pPr>
            <w:r>
              <w:rPr>
                <w:rFonts w:ascii="Arial" w:cs="Arial" w:eastAsia="Arial" w:hAnsi="Arial"/>
                <w:sz w:val="14"/>
                <w:szCs w:val="14"/>
                <w:b w:val="1"/>
                <w:bCs w:val="1"/>
                <w:color w:val="auto"/>
                <w:w w:val="94"/>
              </w:rPr>
              <w:t>3850 N. Wilke Road</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60004</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5"/>
              </w:rPr>
              <w:t>Arlington Heights,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340"/>
          </w:cols>
          <w:pgMar w:left="760" w:top="233" w:right="799" w:bottom="1440" w:gutter="0" w:footer="0" w:header="0"/>
        </w:sectPr>
      </w:pPr>
    </w:p>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4">
            <w:col w:w="1340" w:space="400"/>
            <w:col w:w="3900" w:space="720"/>
            <w:col w:w="1120" w:space="720"/>
            <w:col w:w="2140"/>
          </w:cols>
          <w:pgMar w:left="760" w:top="233" w:right="79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3" w:lineRule="exact"/>
        <w:rPr>
          <w:sz w:val="24"/>
          <w:szCs w:val="24"/>
          <w:color w:val="auto"/>
        </w:rPr>
      </w:pPr>
    </w:p>
    <w:p>
      <w:pPr>
        <w:sectPr>
          <w:pgSz w:w="11900" w:h="16838" w:orient="portrait"/>
          <w:cols w:equalWidth="0" w:num="5">
            <w:col w:w="1280" w:space="460"/>
            <w:col w:w="120" w:space="80"/>
            <w:col w:w="3700" w:space="720"/>
            <w:col w:w="1640" w:space="200"/>
            <w:col w:w="2140"/>
          </w:cols>
          <w:pgMar w:left="760" w:top="233" w:right="79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52,516,830 shares of Common Stock, $0.001 par value per share, as of October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and Comprehensive Income (Loss)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180" w:type="dxa"/>
            <w:vAlign w:val="bottom"/>
            <w:tcBorders>
              <w:top w:val="single" w:sz="8" w:color="0000EE"/>
            </w:tcBorders>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24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INFORMATION</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941,989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1,062,846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1,055,447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1,137,441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1,134,268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2017 and September 30, 2017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2017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w w:val="91"/>
              </w:rPr>
              <w:t>September 30, 2017; 51,738 shares issued and outstanding at June 30, 2017 and 52,075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shares issued and outstanding at September 30, 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1,137,441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1,134,268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440" w:right="1240"/>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(Loss) (in thousands, except per share data)</w:t>
      </w:r>
    </w:p>
    <w:p>
      <w:pPr>
        <w:spacing w:after="0" w:line="185"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61,920</w:t>
            </w:r>
          </w:p>
        </w:tc>
        <w:tc>
          <w:tcPr>
            <w:tcW w:w="10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Implementation services and other</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Implementation services and other</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Income (loss) before income taxes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Unrealized losses on securities, net of tax</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Basic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Weighted-average shares used in computing net income (loss)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51,231</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712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51,231</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54,610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Stockholders’ Equity</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51,738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$ 192,837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price related to equity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Unrealized losses on securities, net of tax</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Balances at September 30, 2017</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52,075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$ 193,406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(44,733)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Net accretion of discounts and amortization of premiums on available-for-sale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Loss on disposal of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Tenant improvement allowance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available-for-sale securities from funds held for clients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Net change in funds held for clients’ cash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468,674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internal-use software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allowances used for tenant improvements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462,835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client fund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(468,674)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(473,216)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77,998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w w:val="98"/>
              </w:rPr>
              <w:t>Purchase of property and equipment and internal-use software, accrued but not paid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incurred but not reported medical and dental claims,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9"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2017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2017 included in the Company’s Annual Report on Form 10-K filed with the SEC on August 11, 2017.</w:t>
      </w:r>
    </w:p>
    <w:p>
      <w:pPr>
        <w:spacing w:after="0" w:line="167"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and Corporate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Funds held for clients is primarily comprised of cash and cash equivalents invested in demand deposit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Starting in July 2017, the Company also invested a portion of its funds held for clients in marketable securities.</w:t>
      </w:r>
    </w:p>
    <w:p>
      <w:pPr>
        <w:spacing w:after="0" w:line="21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All marketable securities are classified as available-for-sale and are recorded at fair value on the consolidated balance sheets. Unrealized gains and losses, net of applicable income taxes, are reported as other comprehensive income (loss) in the consolidated statements of operations and comprehensive income (loss). Interest on marketable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in funds held for clients is reported as interest income on funds held for clients on the consolidated statements of operations and comprehensive income (loss).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three months ended September 30, 2017.</w:t>
      </w:r>
    </w:p>
    <w:p>
      <w:pPr>
        <w:spacing w:after="0" w:line="188"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Differences in the normal relationship between the income tax expense and pre-tax income (loss) materially result from the existence of a valuation allowance recorded against the preponderance of the net deferred tax assets.</w:t>
      </w:r>
    </w:p>
    <w:p>
      <w:pPr>
        <w:spacing w:after="0" w:line="147"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78" w:lineRule="exact"/>
        <w:rPr>
          <w:sz w:val="20"/>
          <w:szCs w:val="20"/>
          <w:color w:val="auto"/>
        </w:rPr>
      </w:pPr>
    </w:p>
    <w:p>
      <w:pPr>
        <w:ind w:left="280" w:hanging="277"/>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(“ASU 2014-09”). ASU 2014-09 supersedes a majority of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Revenue from Contracts with Customers (Topic 606): Principal versus Agent Considerations (Reporting Revenue Gross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respectively, to amend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w:t>
      </w:r>
    </w:p>
    <w:p>
      <w:pPr>
        <w:spacing w:after="0" w:line="16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currently expects to adopt the new standard in its fiscal year beginning July 1, 2018 and is evaluating adoption methods. While the impact the new revenue recognition standard will have on its consolidated financial statements and disclosures has not yet been fully assessed, the Company currently expects that there will be a material impact in the manner in which it treats certain costs of obtaining new contracts (i.e., selling and commission costs). The new standard will require the Company to defer these costs and amortize them versus expensing these costs as incurred. The Company is continuing to evaluate all potential impacts as well as the changes required for systems, processes and internal controls to meet the new standard’s reporting and disclosure requirements.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adopted this standard effective July 1, 2017. Due to the Company’s tax valuation allowance, the adoption of this standard did not have a material impact on its consolidated financial statements and disclosures. The Company will continue to estimate forfeitures at each reporting period, rather than electing an accounting policy change to record the impact of such forfeitures as they occur.</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w w:val="94"/>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Balance at September 30, 2017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0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53,637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(32,269)</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(35,658)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Amortization of capitalized internal-use software costs is included in Cost of Revenues-Recurring Revenues and amounted to $1,684 and $3,389 for the three months ended September 30, 2016 and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5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26,766</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4,880</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40" w:type="dxa"/>
            <w:vAlign w:val="bottom"/>
            <w:tcBorders>
              <w:bottom w:val="single" w:sz="8" w:color="CCEEFF"/>
            </w:tcBorders>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72,952</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(27,984)</w:t>
            </w:r>
          </w:p>
        </w:tc>
      </w:tr>
      <w:tr>
        <w:trPr>
          <w:trHeight w:val="21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expense amounted to $2,203 and $2,925 for the three months ended September 30, 2016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2 - 3 years</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60" w:firstLine="648"/>
        <w:spacing w:after="0" w:line="277" w:lineRule="auto"/>
        <w:rPr>
          <w:sz w:val="20"/>
          <w:szCs w:val="20"/>
          <w:color w:val="auto"/>
        </w:rPr>
      </w:pPr>
      <w:r>
        <w:rPr>
          <w:rFonts w:ascii="Arial" w:cs="Arial" w:eastAsia="Arial" w:hAnsi="Arial"/>
          <w:sz w:val="18"/>
          <w:szCs w:val="18"/>
          <w:color w:val="auto"/>
        </w:rPr>
        <w:t>Amortization expense for acquired intangible assets was $381 and $359 for the three months ended September 30, 2016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September 30,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Fiscal 2019</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40" w:type="dxa"/>
            <w:vAlign w:val="bottom"/>
          </w:tcPr>
          <w:p>
            <w:pPr>
              <w:ind w:left="660"/>
              <w:spacing w:after="0"/>
              <w:rPr>
                <w:sz w:val="20"/>
                <w:szCs w:val="20"/>
                <w:color w:val="auto"/>
              </w:rPr>
            </w:pPr>
            <w:r>
              <w:rPr>
                <w:rFonts w:ascii="Arial" w:cs="Arial" w:eastAsia="Arial" w:hAnsi="Arial"/>
                <w:sz w:val="18"/>
                <w:szCs w:val="18"/>
                <w:color w:val="auto"/>
              </w:rPr>
              <w:t>The components of accrued expenses were as follows: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25,131</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30,301</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540" w:type="dxa"/>
            <w:vAlign w:val="bottom"/>
          </w:tcPr>
          <w:p>
            <w:pPr>
              <w:spacing w:after="0"/>
              <w:rPr>
                <w:sz w:val="20"/>
                <w:szCs w:val="20"/>
                <w:color w:val="auto"/>
              </w:rPr>
            </w:pPr>
            <w:r>
              <w:rPr>
                <w:rFonts w:ascii="Arial" w:cs="Arial" w:eastAsia="Arial" w:hAnsi="Arial"/>
                <w:sz w:val="18"/>
                <w:szCs w:val="18"/>
                <w:b w:val="1"/>
                <w:bCs w:val="1"/>
                <w:color w:val="auto"/>
              </w:rPr>
              <w:t>(4) Funds Held for Clients and Corporate Investments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40" w:type="dxa"/>
            <w:vAlign w:val="bottom"/>
          </w:tcPr>
          <w:p>
            <w:pPr>
              <w:ind w:left="620"/>
              <w:spacing w:after="0"/>
              <w:rPr>
                <w:sz w:val="20"/>
                <w:szCs w:val="20"/>
                <w:color w:val="auto"/>
              </w:rPr>
            </w:pPr>
            <w:r>
              <w:rPr>
                <w:rFonts w:ascii="Arial" w:cs="Arial" w:eastAsia="Arial" w:hAnsi="Arial"/>
                <w:sz w:val="18"/>
                <w:szCs w:val="18"/>
                <w:color w:val="auto"/>
                <w:w w:val="97"/>
              </w:rPr>
              <w:t>Investments consist of the following as of September 30, 2017: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24"/>
                <w:szCs w:val="24"/>
                <w:color w:val="auto"/>
              </w:rPr>
            </w:pPr>
          </w:p>
        </w:tc>
        <w:tc>
          <w:tcPr>
            <w:tcW w:w="5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Type of Issue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89"/>
              </w:rPr>
              <w:t>unrealized</w:t>
            </w:r>
          </w:p>
        </w:tc>
        <w:tc>
          <w:tcPr>
            <w:tcW w:w="9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w w:val="92"/>
              </w:rPr>
              <w:t>gains</w:t>
            </w: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$ 883,777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883,777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25,339</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25,333</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ind w:right="17"/>
              <w:spacing w:after="0"/>
              <w:rPr>
                <w:sz w:val="20"/>
                <w:szCs w:val="20"/>
                <w:color w:val="auto"/>
              </w:rPr>
            </w:pPr>
            <w:r>
              <w:rPr>
                <w:rFonts w:ascii="Arial" w:cs="Arial" w:eastAsia="Arial" w:hAnsi="Arial"/>
                <w:sz w:val="18"/>
                <w:szCs w:val="18"/>
                <w:color w:val="auto"/>
              </w:rPr>
              <w:t>23,500</w:t>
            </w: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0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9,505</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58,344</w:t>
            </w: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58,339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2"/>
              </w:rPr>
              <w:t>$ 942,121</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942,116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Funds held for clients’ cash and cash equivalents included demand deposit accounts, commercial paper, corporate bonds and money market funds as of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8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941,989</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Prepaids and Other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942,116</w:t>
            </w:r>
          </w:p>
        </w:tc>
      </w:tr>
    </w:tbl>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Available-for-sale securities in the corporate bonds category that have been in an unrealized loss position for a period of less than 12 months as of September 30, 2017 had a fair market value of $14,330 and an unrealized loss of $10. Unrealized losses for asset-backed securities and commercial paper were immaterial as of September 30, 2017. As the Company started investing funds held for clients in available-for-sale securities during the three months ended September 30, 2017, no securities have been in an unrealized loss position for more than 12 months. The Company did not make any reclassification adjustments out of accumulated other comprehensive loss for realized gains and losses on the sale of available-for-sale securities as of September 30, 2017. Realized gains and losses were immaterial for the three months ended September 30, 2017.</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loss during the three months ended September 30, 2017, nor does it believe that OTTI exists in its portfolio as of September 30, 2017.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September 30, 2017.</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Expected maturities of available-for-sale securities at September 30, 2017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45,346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One year to two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10,898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2,100</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58,344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Fair Value Measurements and Disclosures, and ASU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520" w:firstLine="648"/>
        <w:spacing w:after="0" w:line="381" w:lineRule="auto"/>
        <w:rPr>
          <w:sz w:val="20"/>
          <w:szCs w:val="20"/>
          <w:color w:val="auto"/>
        </w:rPr>
      </w:pPr>
      <w:r>
        <w:rPr>
          <w:rFonts w:ascii="Arial" w:cs="Arial" w:eastAsia="Arial" w:hAnsi="Arial"/>
          <w:sz w:val="15"/>
          <w:szCs w:val="15"/>
          <w:color w:val="auto"/>
        </w:rPr>
        <w:t>The Company measures any cash and cash equivalents, accounts receivable, accounts payable and client fund obligations at fair value on a recurring basis using Level 1 inputs. The Company considers the recorded value of these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financial assets and liabilities to approximate the fair value of the respective assets and liabilities at June 30, 2017 and September 30, 2017 based upon the short-term nature of these assets and liabilities.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asset-backed securities, corporate bonds and commercial paper.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September 30, 2017, and the Company did not transfer assets between Levels during the three months ended September 30, 2017. The Company did not hold any marketable securities at June 30,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level for the funds held for clients’ cash and cash equivalents and available-for-sale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Level 1</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$ 883,777</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$ 867,334</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$ 16,443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9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25,333</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23,501</w:t>
            </w:r>
          </w:p>
        </w:tc>
        <w:tc>
          <w:tcPr>
            <w:tcW w:w="94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23,501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9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9,505</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3"/>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10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58,339</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58,339</w:t>
            </w: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r>
      <w:tr>
        <w:trPr>
          <w:trHeight w:val="21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$ 942,116</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$ 867,334</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$ 74,782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Benefit Plans</w:t>
      </w:r>
    </w:p>
    <w:p>
      <w:pPr>
        <w:spacing w:after="0" w:line="229"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2017, the Company had 12,079 shares allocated to the plans, of which 4,519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three months ended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September 30, 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 (loss):</w:t>
      </w:r>
    </w:p>
    <w:p>
      <w:pPr>
        <w:spacing w:after="0" w:line="186"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ind w:left="76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4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4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40" w:type="dxa"/>
            <w:vAlign w:val="bottom"/>
            <w:shd w:val="clear" w:color="auto" w:fill="CCEEFF"/>
          </w:tcPr>
          <w:p>
            <w:pPr>
              <w:spacing w:after="0"/>
              <w:rPr>
                <w:sz w:val="18"/>
                <w:szCs w:val="18"/>
                <w:color w:val="auto"/>
              </w:rPr>
            </w:pPr>
          </w:p>
        </w:tc>
      </w:tr>
      <w:tr>
        <w:trPr>
          <w:trHeight w:val="217"/>
        </w:trPr>
        <w:tc>
          <w:tcPr>
            <w:tcW w:w="71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In addition, the Company capitalized $372 and $433 of stock-based compensation expense in its capitalized internal-use software costs in the three months ended September 30, 2016 and 2017, respectively.</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2016 or 2017. The table below presents stock option activity during the three months ended September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11.42</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4.81</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98,848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September 30,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September 30, 2017</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2,636</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11.37</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4.81</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98,722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options exercised was $3,891 and $3,380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and 2017, respectively. At September 30, 2017, there was $467 of total unrecognized compensation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cost, net of estimated forfeitures, related to unvested stock options granted under the Plan. That cost is expected to be recognized over a weighted average period of 1.26 years.</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the achievement of certain revenue and Adjusted EBITDA targets in future fiscal years. The following table represents restricted stock unit activity during the three months ended September 30,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837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39.59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September 30, 2017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September 30, 2017</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1,598</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At September 30, 2017, there was $47,656 of total unrecognized compensation cost, net of estimated forfeitures, related to unvested restricted stock units granted. That cost is expected to be recognized over a weighted average period of 2.09 years.</w:t>
      </w:r>
    </w:p>
    <w:p>
      <w:pPr>
        <w:spacing w:after="0" w:line="181"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September 30, 2017, a total of 824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recorded compensation expense attributable to the ESPP of $344 and $339 for the three months ended September 30, 2016 and 2017, respectively, which is included in the summary of stock-based compensation expense above. The grant date fair value of the ESPP offering periods was estimated using the following weighted average assumptions: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3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7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8"/>
                <w:szCs w:val="18"/>
                <w:color w:val="auto"/>
              </w:rPr>
            </w:pPr>
          </w:p>
        </w:tc>
      </w:tr>
      <w:tr>
        <w:trPr>
          <w:trHeight w:val="210"/>
        </w:trPr>
        <w:tc>
          <w:tcPr>
            <w:tcW w:w="3100" w:type="dxa"/>
            <w:vAlign w:val="bottom"/>
          </w:tcPr>
          <w:p>
            <w:pPr>
              <w:spacing w:after="0"/>
              <w:rPr>
                <w:sz w:val="18"/>
                <w:szCs w:val="18"/>
                <w:color w:val="auto"/>
              </w:rPr>
            </w:pPr>
          </w:p>
        </w:tc>
        <w:tc>
          <w:tcPr>
            <w:tcW w:w="4660" w:type="dxa"/>
            <w:vAlign w:val="bottom"/>
            <w:gridSpan w:val="2"/>
          </w:tcPr>
          <w:p>
            <w:pPr>
              <w:ind w:left="416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3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60" w:type="dxa"/>
            <w:vAlign w:val="bottom"/>
            <w:gridSpan w:val="3"/>
          </w:tcPr>
          <w:p>
            <w:pPr>
              <w:jc w:val="right"/>
              <w:ind w:right="140"/>
              <w:spacing w:after="0"/>
              <w:rPr>
                <w:sz w:val="20"/>
                <w:szCs w:val="20"/>
                <w:color w:val="auto"/>
              </w:rPr>
            </w:pPr>
            <w:r>
              <w:rPr>
                <w:rFonts w:ascii="Arial" w:cs="Arial" w:eastAsia="Arial" w:hAnsi="Arial"/>
                <w:sz w:val="18"/>
                <w:szCs w:val="18"/>
                <w:color w:val="auto"/>
              </w:rPr>
              <w:t>0 %</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53.4 %</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39.1 %</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term (years)</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r>
      <w:tr>
        <w:trPr>
          <w:trHeight w:val="230"/>
        </w:trPr>
        <w:tc>
          <w:tcPr>
            <w:tcW w:w="31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4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0.28 %</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1.02 %</w:t>
            </w:r>
          </w:p>
        </w:tc>
      </w:tr>
      <w:tr>
        <w:trPr>
          <w:trHeight w:val="648"/>
        </w:trPr>
        <w:tc>
          <w:tcPr>
            <w:tcW w:w="3100" w:type="dxa"/>
            <w:vAlign w:val="bottom"/>
          </w:tcPr>
          <w:p>
            <w:pPr>
              <w:spacing w:after="0"/>
              <w:rPr>
                <w:sz w:val="24"/>
                <w:szCs w:val="24"/>
                <w:color w:val="auto"/>
              </w:rPr>
            </w:pPr>
          </w:p>
        </w:tc>
        <w:tc>
          <w:tcPr>
            <w:tcW w:w="3960" w:type="dxa"/>
            <w:vAlign w:val="bottom"/>
          </w:tcPr>
          <w:p>
            <w:pPr>
              <w:jc w:val="right"/>
              <w:ind w:right="2353"/>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77"/>
        </w:trPr>
        <w:tc>
          <w:tcPr>
            <w:tcW w:w="3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$902 and $1,111 for the three months ended September 30, 2016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(Loss) Per Share</w:t>
      </w:r>
    </w:p>
    <w:p>
      <w:pPr>
        <w:spacing w:after="0" w:line="229"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color w:val="auto"/>
        </w:rPr>
        <w:t>Basic net income (loss) per common share is computed using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Diluted net income (loss) per share is computed using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(loss) per share:</w:t>
      </w:r>
    </w:p>
    <w:p>
      <w:pPr>
        <w:spacing w:after="0" w:line="21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(2,568)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3"/>
              </w:rPr>
              <w:t>Employee stock options, restricted stock units and employee stock purchase plan shares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300" w:type="dxa"/>
            <w:vAlign w:val="bottom"/>
          </w:tcPr>
          <w:p>
            <w:pPr>
              <w:spacing w:after="0"/>
              <w:rPr>
                <w:sz w:val="14"/>
                <w:szCs w:val="14"/>
                <w:color w:val="auto"/>
              </w:rPr>
            </w:pPr>
          </w:p>
        </w:tc>
        <w:tc>
          <w:tcPr>
            <w:tcW w:w="17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discrete effective tax rate method.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recorded income tax expense of $100 and $81 for the three months ended September 30, 2016 and 2017 respectively. The Company’s effective tax rates for the three months ended September 30, 2016 and 2017 differ from statutory rates primarily due to the existence of a valuation allowance recorded against the preponderance of the net deferred tax assets.</w:t>
      </w:r>
    </w:p>
    <w:p>
      <w:pPr>
        <w:spacing w:after="0" w:line="11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It established a valuation allowance on all of its net deferred tax</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2017 and for the three months ended September 30, 2017. However, it is reasonably possible within the next 12 months that the Company may release all or a portion of its valuation allowance if results and other subjective evidence continue to improve such that the deferred tax assets become more likely than not to be realizable. As of September 30, 2017, the Company had no unrecognized tax benefits.</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$62.6 million for the three months ended September 30, 2016 to $78.9 million for the three months ended September 30, 2017, representing a 26% year-over-year increase. Recurring revenue represented 96% and 97% of total revenue during the three months ended September 30, 2016 and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32% and 27% for the three months ended September 30, 2016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(used in) operating activities, in each case as determined in accordance with GAAP. In addition, our definition of Adjusted Gross Profit,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Adjusted Recurring Gross Profit and Adjusted EBITDA may be different than the definition utilized for similarly-titled measures used by other companies.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depreciation and amortization expense, stock-based compensation expense, and employer payroll taxes related to stock releases and option exercises. The table below sets forth our Adjusted Gross Profit, Adjusted Recurring Gross Profit and Adjusted EBITDA for the periods presented.</w:t>
      </w:r>
    </w:p>
    <w:p>
      <w:pPr>
        <w:spacing w:after="0" w:line="18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8"/>
          </w:tcPr>
          <w:p>
            <w:pPr>
              <w:jc w:val="center"/>
              <w:ind w:right="1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39,300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51,111</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45,823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58,946</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14,592</w:t>
            </w:r>
          </w:p>
        </w:tc>
        <w:tc>
          <w:tcPr>
            <w:tcW w:w="60" w:type="dxa"/>
            <w:vAlign w:val="bottom"/>
            <w:shd w:val="clear" w:color="auto" w:fill="CCEEFF"/>
          </w:tcPr>
          <w:p>
            <w:pPr>
              <w:spacing w:after="0"/>
              <w:rPr>
                <w:sz w:val="18"/>
                <w:szCs w:val="18"/>
                <w:color w:val="auto"/>
              </w:rPr>
            </w:pPr>
          </w:p>
        </w:tc>
      </w:tr>
      <w:tr>
        <w:trPr>
          <w:trHeight w:val="355"/>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ind w:left="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8"/>
          </w:tcPr>
          <w:p>
            <w:pPr>
              <w:jc w:val="right"/>
              <w:ind w:right="373"/>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Gross profit</w:t>
            </w:r>
          </w:p>
        </w:tc>
        <w:tc>
          <w:tcPr>
            <w:tcW w:w="50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36,663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46,541</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6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60" w:type="dxa"/>
            <w:vAlign w:val="bottom"/>
            <w:tcBorders>
              <w:bottom w:val="single" w:sz="8" w:color="CCEEFF"/>
            </w:tcBorders>
          </w:tcPr>
          <w:p>
            <w:pPr>
              <w:spacing w:after="0"/>
              <w:rPr>
                <w:sz w:val="20"/>
                <w:szCs w:val="20"/>
                <w:color w:val="auto"/>
              </w:rPr>
            </w:pPr>
          </w:p>
        </w:tc>
      </w:tr>
      <w:tr>
        <w:trPr>
          <w:trHeight w:val="217"/>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39,300</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51,111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355"/>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8"/>
          </w:tcPr>
          <w:p>
            <w:pPr>
              <w:jc w:val="center"/>
              <w:ind w:right="17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Reconciliation from Total Recurring Revenues to Adjusted Recurring Gross Profit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62,637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78,911</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19,103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24,091</w:t>
            </w:r>
          </w:p>
        </w:tc>
        <w:tc>
          <w:tcPr>
            <w:tcW w:w="60" w:type="dxa"/>
            <w:vAlign w:val="bottom"/>
            <w:shd w:val="clear" w:color="auto" w:fill="CCEEFF"/>
          </w:tcPr>
          <w:p>
            <w:pPr>
              <w:spacing w:after="0"/>
              <w:rPr>
                <w:sz w:val="18"/>
                <w:szCs w:val="18"/>
                <w:color w:val="auto"/>
              </w:rPr>
            </w:pPr>
          </w:p>
        </w:tc>
      </w:tr>
      <w:tr>
        <w:trPr>
          <w:trHeight w:val="210"/>
        </w:trPr>
        <w:tc>
          <w:tcPr>
            <w:tcW w:w="688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43,534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54,820</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6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60" w:type="dxa"/>
            <w:vAlign w:val="bottom"/>
            <w:tcBorders>
              <w:bottom w:val="single" w:sz="8" w:color="CCEEFF"/>
            </w:tcBorders>
          </w:tcPr>
          <w:p>
            <w:pPr>
              <w:spacing w:after="0"/>
              <w:rPr>
                <w:sz w:val="20"/>
                <w:szCs w:val="20"/>
                <w:color w:val="auto"/>
              </w:rPr>
            </w:pPr>
          </w:p>
        </w:tc>
      </w:tr>
      <w:tr>
        <w:trPr>
          <w:trHeight w:val="217"/>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45,823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58,946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355"/>
        </w:trPr>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8"/>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(Loss) to Adjusted EBITDA</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(2,568)</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4,268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6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60" w:type="dxa"/>
            <w:vAlign w:val="bottom"/>
            <w:shd w:val="clear" w:color="auto" w:fill="CCEEFF"/>
          </w:tcPr>
          <w:p>
            <w:pPr>
              <w:spacing w:after="0"/>
              <w:rPr>
                <w:sz w:val="18"/>
                <w:szCs w:val="18"/>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6,171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60" w:type="dxa"/>
            <w:vAlign w:val="bottom"/>
            <w:tcBorders>
              <w:bottom w:val="single" w:sz="8" w:color="CCEEFF"/>
            </w:tcBorders>
          </w:tcPr>
          <w:p>
            <w:pPr>
              <w:spacing w:after="0"/>
              <w:rPr>
                <w:sz w:val="20"/>
                <w:szCs w:val="20"/>
                <w:color w:val="auto"/>
              </w:rPr>
            </w:pPr>
          </w:p>
        </w:tc>
      </w:tr>
      <w:tr>
        <w:trPr>
          <w:trHeight w:val="230"/>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gridSpan w:val="3"/>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7,971</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gridSpan w:val="3"/>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14,592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635"/>
        </w:trPr>
        <w:tc>
          <w:tcPr>
            <w:tcW w:w="6880" w:type="dxa"/>
            <w:vAlign w:val="bottom"/>
          </w:tcPr>
          <w:p>
            <w:pPr>
              <w:ind w:left="44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7"/>
        </w:trPr>
        <w:tc>
          <w:tcPr>
            <w:tcW w:w="6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95% of our total revenues during each of the three months ended September 30, 2016 and 2017.</w:t>
      </w:r>
    </w:p>
    <w:p>
      <w:pPr>
        <w:spacing w:after="0" w:line="182" w:lineRule="exact"/>
        <w:rPr>
          <w:sz w:val="20"/>
          <w:szCs w:val="20"/>
          <w:color w:val="auto"/>
        </w:rPr>
      </w:pPr>
    </w:p>
    <w:p>
      <w:pPr>
        <w:ind w:right="79" w:firstLine="648"/>
        <w:spacing w:after="0" w:line="302" w:lineRule="auto"/>
        <w:rPr>
          <w:sz w:val="20"/>
          <w:szCs w:val="20"/>
          <w:color w:val="auto"/>
        </w:rPr>
      </w:pPr>
      <w:r>
        <w:rPr>
          <w:rFonts w:ascii="Arial" w:cs="Arial" w:eastAsia="Arial" w:hAnsi="Arial"/>
          <w:sz w:val="16"/>
          <w:szCs w:val="16"/>
          <w:color w:val="auto"/>
        </w:rPr>
        <w:t>The majority of 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399" w:firstLine="648"/>
        <w:spacing w:after="0" w:line="264"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$1.7 million and $3.4 million of capitalized internal-use software costs during the three months ended September 30, 2016 and 2017, respectively.</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and are typically paid within two months after the start of service.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2016 and 2017.</w:t>
      </w:r>
    </w:p>
    <w:p>
      <w:pPr>
        <w:spacing w:after="0" w:line="192"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40" w:type="dxa"/>
            <w:vAlign w:val="bottom"/>
            <w:shd w:val="clear" w:color="auto" w:fill="CCEEFF"/>
          </w:tcPr>
          <w:p>
            <w:pPr>
              <w:spacing w:after="0"/>
              <w:rPr>
                <w:sz w:val="18"/>
                <w:szCs w:val="18"/>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Expensed portion of research and development</w:t>
            </w:r>
          </w:p>
        </w:tc>
        <w:tc>
          <w:tcPr>
            <w:tcW w:w="1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4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12,869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our general and administrative expenses to continue to increase in absolute dollars as a result of our operations as a public company. These expenses include costs associated with compliance with regulations governing public companies, costs of directors’ and officers’ liability insurance and professional services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received on our cash and cash equivalents, net of losses on disposal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30"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65,022</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34,959</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21,180</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15,951</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46,026</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3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3140" w:type="dxa"/>
            <w:vAlign w:val="bottom"/>
          </w:tcPr>
          <w:p>
            <w:pPr>
              <w:jc w:val="right"/>
              <w:ind w:right="23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7"/>
        </w:trPr>
        <w:tc>
          <w:tcPr>
            <w:tcW w:w="39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524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b w:val="1"/>
                <w:bCs w:val="1"/>
                <w:color w:val="auto"/>
                <w:w w:val="92"/>
              </w:rPr>
              <w:t>Comparison of Three Months Ended September 30, 2016 and 2017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61,920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77,294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$ 15,374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Recurring fees for the three months ended September 30, 2017 increased by $15.4 million, or 25%, to $77.3 million from $61.9 million for the three months ended September 30, 2016.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Interest income on funds held for clients for the three months ended September 30, 2017 increased by $0.9 million, or 126% to $1.6 million from $0.7 million for the three months ended September 30, 2016. Interest income on funds held for clients increased primarily as a result of higher average interest rates, increased average daily balance for funds held due to the addition of new clients to our client base and interest income from investing a portion of our funds held for clients in marketable securities starting in July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Implementation services and other revenue for the three months ended September 30, 2017 did not materially change from the prior period, increasing by $0.2 million, or 9%, to $2.6 million from $2.4 million for the three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19,103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$ 24,091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$ 10,868</w:t>
            </w: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Cost of recurring revenues for the three months ended September 30, 2017 increased by $5.0 million, or 26%, to $24.1 million from $19.1 million for the three months ended September 30, 2016. Cost of recurring revenues increased primarily as a result of the continued growth of our business, in particular, $1.9 million in additional employee-related costs resulting from additional personnel necessary to provide services to new and existing clients, $1.7 million in increased internal-use software amortization and $1.3 million in delivery and other processing-related fees. Recurring gross margin decreased from 70% for the three months ended September 30, 2016 to 69% for the three months ended September 30,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implementation services and other for the three months ended September 30, 2017 increased by</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$1.6 million, or 17%, to $10.9 million from $9.3 million for the three months ended September 30, 2016. The increase in cost of implementation services and other was primarily the result of $1.3 million of additional employee-related costs to implement our solutions for new and existing clients during the three months ended September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$ 18,011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$ 21,180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0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Sales and marketing expenses for the three months ended September 30, 2017 increased by $3.2 million, or 18%, to $21.2 million from $18.0 million for the three months ended September 30, 2016. The increase in sales and marketing expense was primarily the result of $3.2 million of additional employee-related costs from the expansion of our sales team by 110 personnel (including management, sales engineers, direct sales, sales administration and sales lead generation support).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$ 7,301</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8,895</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1,594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Research and development expenses for the three months ended September 30, 2017 increased by $1.6 million, or 22%, to $8.9 million from $7.3 million for the three months ended September 30, 2016. The increase in research and development expense was primarily the result of $2.0 million of additional employee-related costs related to 37 additional development personnel and $0.1 million of additional stock-based compensation costs associated with our equity incentive plan, partially offset by higher year-over-year capitalized internal-use software costs of $0.8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$ 13,858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$ 15,951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2,093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60"/>
              <w:spacing w:after="0"/>
              <w:rPr>
                <w:sz w:val="20"/>
                <w:szCs w:val="20"/>
                <w:color w:val="auto"/>
              </w:rPr>
            </w:pPr>
            <w:r>
              <w:rPr>
                <w:rFonts w:ascii="Arial" w:cs="Arial" w:eastAsia="Arial" w:hAnsi="Arial"/>
                <w:sz w:val="18"/>
                <w:szCs w:val="18"/>
                <w:color w:val="auto"/>
              </w:rPr>
              <w:t>22 %</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General and administrative expenses for the three months ended September 30, 2017 increased by $2.1 million, or 15%, to $16.0 million from $13.9 million for the three months ended September 30, 2016. The increase in general and administrative expense was primarily the result of $1.1 million of increased occupancy costs incurred as a result of our requirement for additional office space and $0.7 million of additional employee-related costs, including the addition of 4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Other income for the three months ended September 30, 2017 was not materially different as compared to the three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8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Income tax expense for the three months ended September 30, 2017 was not materially different as compared to the three months ended September 30, 2016.</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9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added a significant accounting policy related to the investment of funds held for clients in marketable securities starting in the first quarter of fiscal 2018. Refer to Note 2 of the Notes to the Unaudited Consolidated Financial Statements for additional detail around these investments. Our other critical accounting policies and use of estimates are disclosed in our audited consolidated financial statements for the year ended June 30, 2017 included in our Annual Report on Form 10-K filed with the SEC on August 11,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September 30, 2017, our principal source of liquidity was $97.4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portion of the funds held for clients in highly liquid, investment-grade marketable securities. Funds held for clients are used for the repayment of client fund obligations.</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(58,844)</w:t>
            </w:r>
          </w:p>
        </w:tc>
      </w:tr>
      <w:tr>
        <w:trPr>
          <w:trHeight w:val="216"/>
        </w:trPr>
        <w:tc>
          <w:tcPr>
            <w:tcW w:w="6380" w:type="dxa"/>
            <w:vAlign w:val="bottom"/>
          </w:tcPr>
          <w:p>
            <w:pPr>
              <w:ind w:left="320"/>
              <w:spacing w:after="0"/>
              <w:rPr>
                <w:sz w:val="20"/>
                <w:szCs w:val="20"/>
                <w:color w:val="auto"/>
              </w:rPr>
            </w:pPr>
            <w:r>
              <w:rPr>
                <w:rFonts w:ascii="Arial" w:cs="Arial" w:eastAsia="Arial" w:hAnsi="Arial"/>
                <w:sz w:val="18"/>
                <w:szCs w:val="18"/>
                <w:color w:val="auto"/>
                <w:w w:val="97"/>
              </w:rPr>
              <w:t>Proceeds from sales of available-for-sale securities from funds held for clients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r>
      <w:tr>
        <w:trPr>
          <w:trHeight w:val="210"/>
        </w:trPr>
        <w:tc>
          <w:tcPr>
            <w:tcW w:w="63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00" w:type="dxa"/>
            <w:vAlign w:val="bottom"/>
            <w:shd w:val="clear" w:color="auto" w:fill="CCEEFF"/>
          </w:tcPr>
          <w:p>
            <w:pPr>
              <w:spacing w:after="0"/>
              <w:rPr>
                <w:sz w:val="18"/>
                <w:szCs w:val="18"/>
                <w:color w:val="auto"/>
              </w:rPr>
            </w:pPr>
          </w:p>
        </w:tc>
      </w:tr>
      <w:tr>
        <w:trPr>
          <w:trHeight w:val="217"/>
        </w:trPr>
        <w:tc>
          <w:tcPr>
            <w:tcW w:w="63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Net cash provided by operating activities was $1.9 million and $8.2 million for the three months ended September 30, 2016 and 2017, respectively. The increase in net cash provided by operating activities from the three months ended September 30, 2016 to the three months ended September 30, 2017 was primarily due to improved operating results after adjusting for non-cash items including stock-based compensation expense and depreciation and amortization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provided by (used in) investing activities was $462.8 million and $(7.3) million for the three months ended September 30, 2016 and 2017, respectively.</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fiscal 2017, we processed over $92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 Fluctuations in the net change in funds held for clients’ cash and cash equivalents are also impacted by the timing of purchases and sales of investments as we invest a portion of the funds held for clients in highly liquid, investment-grade marketable securities.</w:t>
      </w:r>
    </w:p>
    <w:p>
      <w:pPr>
        <w:spacing w:after="0" w:line="180"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Excluding the net change in funds held for clients’ cash and cash equivalents and purchases and sales of available-for-sale securities from funds held for clients, our net cash used in investing activities was $5.8 million and $7.9 million for the three months ended September 30, 2016 and 2017, respectively. The change in net cash used in investing activities was primarily due to $1.5 million in lease allowances used for tenant improvements.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Net cash used in financing activities was $(473.2) million and $(6.9) million for the three months ended September 30, 2016 and 2017, respectively. Excluding the net change in client fund obligations, net cash used in financing activities was $(4.5) million and $(6.5) million for the three months ended September 30, 2016 and 2017, respectively. The change in cash used in financing activities, excluding the net change in client fund obligations, was primarily the result of higher taxes paid related to net share settlement of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September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Payment Due By Fiscal Period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 1</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3-5 Years</w:t>
            </w: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115,792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$ 17,598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$ 17,796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$ 73,101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118,042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$ 18,380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$ 73,101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We expect to increase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$3.0 million and</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$2.7 million for the three months ended September 30, 2016 and 2017, respectively, exclusive of capitalized internal-use software costs of $2.9 million and $3.8 million for the same periods, respectively. During the first quarter of fiscal 2018, we also purchased $1.5 million in capital expenditures for which we received reimbursement from tenant improvement allowances.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As of September 30, 2017, we had cash and cash equivalents of $97.4 million and funds held for clients of $942.0 million. We deposit our cash and cash equivalents and significant portions of our funds held for clients in demand deposit accounts with various financial institutions. Starting in July 2017, we invested a portion of our funds held for clients in marketable securities including commercial paper, corporate bonds and asset-backed securities which were classified as available-for-sale securities as of September 30, 2017.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 falling rate environment, a decline in interest rates would decrease our interest income earned on both cash and cash equivalents and funds held for clients. An increase in the overall interest rate environment may cause the market value of portions of our funds held for clients invested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September 30, 2017. A 25-basis point decrease in interest rates would have resulted in a $0.1 million increase in the market value of our available-for-sale securities included in funds held for clients as of September 30, 2017. Fluctuations in the value of our available-for-sale securities caused by a change in interest rates are recorded in other comprehensive income and are only realized if we sell the underlying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September 30, 2017,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9"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If a significant number of clients elected to terminate their agreements with us, our operating results and our business would be adversely affected.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in the past, and we may not be able to sustain profitability for the foreseeable future.</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incurred net losses from time to time. We incurred net losses of $7,110,000, $13,972,000 and $3,851,000 in fiscal 2014, fiscal 2015 and fiscal 2016, respectively. While we generated net income in fiscal 2017, it does not ensure that we will earn continued net income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we incur significant legal, accounting and other expenses in order to comply with the rules and regulations to which we are subject to as a public company. These increased expenditures have made it harder for us to achieve and maintain profitability. We also may incur losses in the future for a number of other unforeseen reasons. Accordingly, we may incur losses in the foreseeable future.</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or the ACA, is repealed in its entirety or certain aspects of the ACA are repealed or changed.</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as well as overall gross margins. While we expect continued challenges to the ACA, at this time we are unable to more precisely predict the full impact of any repeal, modification or delay in the implementation of the ACA.</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approximately 30% of our new sales in fiscal 2017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2017 we processed over $92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For example, United Kingdom’s decision to leave the European Union has created global economic uncertainty,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9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reduce the effectiveness of our applications and adversely affect our business.</w:t>
      </w:r>
    </w:p>
    <w:p>
      <w:pPr>
        <w:spacing w:after="0" w:line="17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Problems faced by our data center locations, with the telecommunications network providers with whom we or they contract, or with the systems by which our telecommunications providers allocate capacity among their clients,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invest funds held for our clients in liquid, investment-grade marketable securities such as corporate bonds, commercial paper, and asset-backed securities, money market securities, and other cash equivalents. We follow an established client fund investment policy and set of guidelines to monitor and help mitigate our exposure to liquidity and credit risks.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these funds are held in consolidated accounts in trust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88"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302" w:lineRule="auto"/>
        <w:rPr>
          <w:sz w:val="20"/>
          <w:szCs w:val="20"/>
          <w:color w:val="auto"/>
        </w:rPr>
      </w:pPr>
      <w:r>
        <w:rPr>
          <w:rFonts w:ascii="Arial" w:cs="Arial" w:eastAsia="Arial" w:hAnsi="Arial"/>
          <w:sz w:val="16"/>
          <w:szCs w:val="16"/>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00" w:hanging="325"/>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4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October 27, 2017, our directors, executive officers and holders of more than 5% of our common stock, together with their respective affiliates, beneficially owned, in the aggregate, approximately 45.1%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60" w:hanging="325"/>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of October 27, 2017, we had an aggregate of 52,516,830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we have registered 15,092,927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right="12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 provision, therefore, may dissuade or discourage claimants from initiating lawsuits or claims against us or our directors and officers in forums other than Delaware.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information required by this Item is set forth in the Index to Exhibits immediately following this page.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40" w:type="dxa"/>
            <w:vAlign w:val="bottom"/>
            <w:gridSpan w:val="10"/>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10"/>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rPr>
            </w:pPr>
            <w:hyperlink r:id="rId62">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Executive Employment Agreement between Paylocity Corporation and Toby J. Williams, dated September</w:t>
              </w:r>
            </w:hyperlink>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40" w:type="dxa"/>
            <w:vAlign w:val="bottom"/>
            <w:gridSpan w:val="2"/>
          </w:tcPr>
          <w:p>
            <w:pPr>
              <w:ind w:left="280"/>
              <w:spacing w:after="0" w:line="196"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18, 2017.</w:t>
              </w:r>
            </w:hyperlink>
          </w:p>
        </w:tc>
        <w:tc>
          <w:tcPr>
            <w:tcW w:w="1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99"/>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2002, by Chief Executive Officer.</w:t>
              </w:r>
            </w:hyperlink>
          </w:p>
        </w:tc>
        <w:tc>
          <w:tcPr>
            <w:tcW w:w="380" w:type="dxa"/>
            <w:vAlign w:val="bottom"/>
            <w:gridSpan w:val="4"/>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gridSpan w:val="2"/>
            <w:shd w:val="clear" w:color="auto" w:fill="0000EE"/>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2"/>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4"/>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280" w:type="dxa"/>
            <w:vAlign w:val="bottom"/>
            <w:gridSpan w:val="2"/>
          </w:tcPr>
          <w:p>
            <w:pPr>
              <w:ind w:left="162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3, 2017</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20" w:type="dxa"/>
            <w:vAlign w:val="bottom"/>
          </w:tcPr>
          <w:p>
            <w:pPr>
              <w:ind w:left="162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ind w:left="162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3, 2017</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20" w:type="dxa"/>
            <w:vAlign w:val="bottom"/>
          </w:tcPr>
          <w:p>
            <w:pPr>
              <w:ind w:left="162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ind w:left="162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Executive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by Paylocity Corporation, an Illinois corporation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Toby J. Williams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effective as of September 18,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parties agree as follows:</w:t>
      </w:r>
    </w:p>
    <w:p>
      <w:pPr>
        <w:spacing w:after="0" w:line="206" w:lineRule="exact"/>
        <w:rPr>
          <w:sz w:val="20"/>
          <w:szCs w:val="20"/>
          <w:color w:val="auto"/>
        </w:rPr>
      </w:pPr>
    </w:p>
    <w:p>
      <w:pPr>
        <w:ind w:firstLine="648"/>
        <w:spacing w:after="0" w:line="251" w:lineRule="auto"/>
        <w:tabs>
          <w:tab w:leader="none" w:pos="125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Company hereby employs Executive, and Executive hereby accepts such employment, upon the terms and conditions set forth herein.</w:t>
      </w:r>
    </w:p>
    <w:p>
      <w:pPr>
        <w:spacing w:after="0" w:line="173" w:lineRule="exact"/>
        <w:rPr>
          <w:rFonts w:ascii="Arial" w:cs="Arial" w:eastAsia="Arial" w:hAnsi="Arial"/>
          <w:sz w:val="22"/>
          <w:szCs w:val="22"/>
          <w:color w:val="auto"/>
        </w:rPr>
      </w:pPr>
    </w:p>
    <w:p>
      <w:pPr>
        <w:ind w:left="1240" w:hanging="592"/>
        <w:spacing w:after="0"/>
        <w:tabs>
          <w:tab w:leader="none" w:pos="12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Position</w:t>
      </w:r>
      <w:r>
        <w:rPr>
          <w:rFonts w:ascii="Arial" w:cs="Arial" w:eastAsia="Arial" w:hAnsi="Arial"/>
          <w:sz w:val="22"/>
          <w:szCs w:val="22"/>
          <w:color w:val="auto"/>
        </w:rPr>
        <w:t>. Executive is employed as Chief Financial Officer and shall have the duties and responsibilities assigned by Company’s Chief Executive Officer (“</w:t>
      </w:r>
      <w:r>
        <w:rPr>
          <w:rFonts w:ascii="Arial" w:cs="Arial" w:eastAsia="Arial" w:hAnsi="Arial"/>
          <w:sz w:val="22"/>
          <w:szCs w:val="22"/>
          <w:b w:val="1"/>
          <w:bCs w:val="1"/>
          <w:i w:val="1"/>
          <w:iCs w:val="1"/>
          <w:color w:val="auto"/>
        </w:rPr>
        <w:t>CEO</w:t>
      </w:r>
      <w:r>
        <w:rPr>
          <w:rFonts w:ascii="Arial" w:cs="Arial" w:eastAsia="Arial" w:hAnsi="Arial"/>
          <w:sz w:val="22"/>
          <w:szCs w:val="22"/>
          <w:color w:val="auto"/>
        </w:rPr>
        <w:t>”). Executive shall perform faithfully and diligently all duties assigned to Executive. Company reserves the right to modify Executive’s position and duties at any time in its sole and absolute discretion.</w:t>
      </w:r>
    </w:p>
    <w:p>
      <w:pPr>
        <w:spacing w:after="0" w:line="18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Best Efforts/Full-time</w:t>
      </w:r>
      <w:r>
        <w:rPr>
          <w:rFonts w:ascii="Arial" w:cs="Arial" w:eastAsia="Arial" w:hAnsi="Arial"/>
          <w:sz w:val="19"/>
          <w:szCs w:val="19"/>
          <w:color w:val="auto"/>
        </w:rPr>
        <w:t>. Executive will expend Executive’s best efforts on behalf of Company, and will abide by all policies and decisions made by Company, as well as all applicable federal, state and local laws, regulations or ordinances. Executive will act in the best interest of Company at all times. Executive shall devote Executive’s full business time and efforts to the performance of Executive’s assigned duties for Company, unless Executive notifies the CEO in advance of Executive’s intent to engage in other paid work and receives the CEO’s express written consent to do so. Notwithstanding the foregoing, Executive will be permitted to serve as an outside director on the board of directors for nonprofit or charitable entities or managing Executive’s personal financial and legal affairs, so long as the foregoing activities, provided such entities are not competitive with Company and subject to the provisions of Section 10 below.</w:t>
      </w:r>
    </w:p>
    <w:p>
      <w:pPr>
        <w:spacing w:after="0" w:line="15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Work Location</w:t>
      </w:r>
      <w:r>
        <w:rPr>
          <w:rFonts w:ascii="Arial" w:cs="Arial" w:eastAsia="Arial" w:hAnsi="Arial"/>
          <w:sz w:val="22"/>
          <w:szCs w:val="22"/>
          <w:color w:val="auto"/>
        </w:rPr>
        <w:t>. Executive’s principal place of work shall be located in Arlington Heights, Illinois, or such other location as Company may direct from time to time in connection with the performance of Executive’s duties.</w:t>
      </w:r>
    </w:p>
    <w:p>
      <w:pPr>
        <w:spacing w:after="0" w:line="186" w:lineRule="exact"/>
        <w:rPr>
          <w:sz w:val="20"/>
          <w:szCs w:val="20"/>
          <w:color w:val="auto"/>
        </w:rPr>
      </w:pPr>
    </w:p>
    <w:p>
      <w:pPr>
        <w:jc w:val="both"/>
        <w:ind w:firstLine="648"/>
        <w:spacing w:after="0" w:line="234" w:lineRule="auto"/>
        <w:tabs>
          <w:tab w:leader="none" w:pos="136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Executive’s employment with Company is at-will and not for any specified period and may be terminated at any time, with or without cause (as defined below) or advance notice, by either Executive or Company. No representative of Company, other than the CEO or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has the authority to alter the at-will employment relationship. Any change to the at-will employment relationship must be by specific, written agreement signed by Executive and the CEO or a duly-authorized representative of the Board. Nothing in this Agreement is intended to or should be construed to contradict, modify or alter this at-will relationship.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52" w:name="page53"/>
    <w:bookmarkEnd w:id="52"/>
    <w:p>
      <w:pPr>
        <w:ind w:left="1240" w:hanging="592"/>
        <w:spacing w:after="0"/>
        <w:tabs>
          <w:tab w:leader="none" w:pos="124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As compensation for Executive’s performance of Executive’s duties hereunder, Company shall pay to Executive a monthly base salary of $30,000, less required deductions for state and federal withholding tax, social security and all other employment taxes and payroll deductions, payable in accordance with the normal payroll practices of Company. Beginning in fiscal year 2019, the Compensation Committee of the Board shall conduct an annual review of Executive’s base salary based on third party comparison data and internal management recommendations. The salary change, if any, will be consistent with the timing of the salary adjustments of other senior executives of Company. In the event Executive’s employment under this Agreement is terminated by either party, for any reason, Executive will earn the base salary prorated to the date of termination.</w:t>
      </w:r>
    </w:p>
    <w:p>
      <w:pPr>
        <w:spacing w:after="0" w:line="15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Executive will be eligible to earn an annual incentive bonus, the target amount of which shall be a percentage as determined by the Company’s Compensation Committee (“</w:t>
      </w:r>
      <w:r>
        <w:rPr>
          <w:rFonts w:ascii="Arial" w:cs="Arial" w:eastAsia="Arial" w:hAnsi="Arial"/>
          <w:sz w:val="19"/>
          <w:szCs w:val="19"/>
          <w:b w:val="1"/>
          <w:bCs w:val="1"/>
          <w:i w:val="1"/>
          <w:i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The target amount of the Annual Bonus for fiscal year 2018 shall be 70% of Executive’s annualized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salary. The Annual Bonus will be based on Executive’s achievement of certain goals, which shall be established by Company’s Compensation Committee and the Board and communicated to Executive within 60 days of the beginning of each fiscal year. The Annual Bonus shall be less all required taxes and withholdings and will be paid out within 60 days following the end of the fiscal year in which it is earned. In addition to the Annual Bonus, Executive shall be entitled to a one-time signing bonus in an amount equal to $50,000, on the date that is 60 days following the Effective Date, provided Executive is still employed by Company on such date.</w:t>
      </w:r>
    </w:p>
    <w:p>
      <w:pPr>
        <w:spacing w:after="0" w:line="159"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Equity Incentive Grants</w:t>
      </w:r>
      <w:r>
        <w:rPr>
          <w:rFonts w:ascii="Arial" w:cs="Arial" w:eastAsia="Arial" w:hAnsi="Arial"/>
          <w:sz w:val="22"/>
          <w:szCs w:val="22"/>
          <w:color w:val="auto"/>
        </w:rPr>
        <w:t>. In consideration for the restrictive covenants set forth in Sections 11, 12 and 13, and in connection with Executive’s hiring, Executive will be entitled to receive a one-time grant of restricted stock units representing 70,000 shares of the common stock of Paylocity Holding Corporation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which will vest annually over four years in 25% increments. Beginning in fiscal 2019, Executive shall be eligible to receive additional long-term equity incentives, as determined during the annual review conducted by the Compensation Committee and the Board.</w:t>
      </w:r>
    </w:p>
    <w:p>
      <w:pPr>
        <w:spacing w:after="0" w:line="188" w:lineRule="exact"/>
        <w:rPr>
          <w:sz w:val="20"/>
          <w:szCs w:val="20"/>
          <w:color w:val="auto"/>
        </w:rPr>
      </w:pPr>
    </w:p>
    <w:p>
      <w:pPr>
        <w:jc w:val="both"/>
        <w:ind w:firstLine="1944"/>
        <w:spacing w:after="0" w:line="279" w:lineRule="auto"/>
        <w:tabs>
          <w:tab w:leader="none" w:pos="2616" w:val="left"/>
        </w:tabs>
        <w:numPr>
          <w:ilvl w:val="0"/>
          <w:numId w:val="26"/>
        </w:numPr>
        <w:rPr>
          <w:rFonts w:ascii="Arial" w:cs="Arial" w:eastAsia="Arial" w:hAnsi="Arial"/>
          <w:sz w:val="19"/>
          <w:szCs w:val="19"/>
          <w:color w:val="auto"/>
        </w:rPr>
      </w:pPr>
      <w:r>
        <w:rPr>
          <w:rFonts w:ascii="Arial" w:cs="Arial" w:eastAsia="Arial" w:hAnsi="Arial"/>
          <w:sz w:val="19"/>
          <w:szCs w:val="19"/>
          <w:color w:val="auto"/>
        </w:rPr>
        <w:t>Immediately prior to the consummation of a Change in Control, the vesting of all unvested shares subject to outstanding equity awards with time-based vesting issued to Executive by Parent shall be accelerated in full and, if applicable, such equity awards shall become exercisable or shall be settled in full immediately prior to such Change in Control provided that Executive’s employment with Company or Parent has not terminated prior to such Change in Control. For the purposes of this Agreement,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shall have the meaning set forth in Company’s 2014 Equity Incentive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944"/>
        <w:spacing w:after="0" w:line="236" w:lineRule="auto"/>
        <w:tabs>
          <w:tab w:leader="none" w:pos="2656"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Executive’s employment with Company terminates due to Executive’s death or Executive’s Disability (as such term is defined in the Plan), (i) the vesting of all unvested shares subject to outstanding equity awards with time-based vesting issued to Executive by Parent shall be accelerated in full and, if applicable, such equity awards shall become exercisable or shall be settled in full and (ii) the unvested shares subject to outstanding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3" w:name="page54"/>
    <w:bookmarkEnd w:id="53"/>
    <w:p>
      <w:pPr>
        <w:jc w:val="both"/>
        <w:spacing w:after="0" w:line="249" w:lineRule="auto"/>
        <w:rPr>
          <w:sz w:val="20"/>
          <w:szCs w:val="20"/>
          <w:color w:val="auto"/>
        </w:rPr>
      </w:pPr>
      <w:r>
        <w:rPr>
          <w:rFonts w:ascii="Arial" w:cs="Arial" w:eastAsia="Arial" w:hAnsi="Arial"/>
          <w:sz w:val="21"/>
          <w:szCs w:val="21"/>
          <w:color w:val="auto"/>
        </w:rPr>
        <w:t>equity awards with performance-based vesting shall remain outstanding, and vest based on actual achievement of the underlying performance goals, with Executive receiving a pro-rated portion of the performance-based award (based on the number of calendar days in the performance period that Executive was employed over the total number of calendar days in the performance period), and, if applicable, such equity awards shall become exercisable or shall be settled to the extent vested upon such determination.</w:t>
      </w:r>
    </w:p>
    <w:p>
      <w:pPr>
        <w:spacing w:after="0" w:line="179" w:lineRule="exact"/>
        <w:rPr>
          <w:sz w:val="20"/>
          <w:szCs w:val="20"/>
          <w:color w:val="auto"/>
        </w:rPr>
      </w:pPr>
    </w:p>
    <w:p>
      <w:pPr>
        <w:jc w:val="both"/>
        <w:ind w:firstLine="648"/>
        <w:spacing w:after="0" w:line="238" w:lineRule="auto"/>
        <w:tabs>
          <w:tab w:leader="none" w:pos="137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Customary Fringe Benefits</w:t>
      </w:r>
      <w:r>
        <w:rPr>
          <w:rFonts w:ascii="Arial" w:cs="Arial" w:eastAsia="Arial" w:hAnsi="Arial"/>
          <w:sz w:val="22"/>
          <w:szCs w:val="22"/>
          <w:color w:val="auto"/>
        </w:rPr>
        <w:t>. Executive will be eligible for all customary and usual fringe benefits generally available to Executives of Company subject to the terms and conditions of Company’s benefit plan documents. Company reserves the right to change or eliminate the fringe benefits on a prospective basis, at any time, effective upon notice to Executive.</w:t>
      </w:r>
    </w:p>
    <w:p>
      <w:pPr>
        <w:spacing w:after="0" w:line="185" w:lineRule="exact"/>
        <w:rPr>
          <w:rFonts w:ascii="Arial" w:cs="Arial" w:eastAsia="Arial" w:hAnsi="Arial"/>
          <w:sz w:val="22"/>
          <w:szCs w:val="22"/>
          <w:color w:val="auto"/>
        </w:rPr>
      </w:pPr>
    </w:p>
    <w:p>
      <w:pPr>
        <w:jc w:val="both"/>
        <w:ind w:firstLine="648"/>
        <w:spacing w:after="0" w:line="246" w:lineRule="auto"/>
        <w:tabs>
          <w:tab w:leader="none" w:pos="1243"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Business Expenses</w:t>
      </w:r>
      <w:r>
        <w:rPr>
          <w:rFonts w:ascii="Arial" w:cs="Arial" w:eastAsia="Arial" w:hAnsi="Arial"/>
          <w:sz w:val="21"/>
          <w:szCs w:val="21"/>
          <w:color w:val="auto"/>
        </w:rPr>
        <w:t>. Executive will be reimbursed for all reasonable, out-of-pocket business expenses incurred in the performance of Executive’s duties on behalf of Company, including reasonable out-of-pocket expenses associated with Executive’s commute as approved by the CEO. To obtain reimbursement, expenses must be submitted promptly with appropriate supporting documentation and will be reimbursed in accordance with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180" w:lineRule="exact"/>
        <w:rPr>
          <w:rFonts w:ascii="Arial" w:cs="Arial" w:eastAsia="Arial" w:hAnsi="Arial"/>
          <w:sz w:val="21"/>
          <w:szCs w:val="21"/>
          <w:color w:val="auto"/>
        </w:rPr>
      </w:pPr>
    </w:p>
    <w:p>
      <w:pPr>
        <w:ind w:left="1240" w:hanging="592"/>
        <w:spacing w:after="0"/>
        <w:tabs>
          <w:tab w:leader="none" w:pos="124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of Executive’s Employment</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Termination for Cause by Company</w:t>
      </w:r>
      <w:r>
        <w:rPr>
          <w:rFonts w:ascii="Arial" w:cs="Arial" w:eastAsia="Arial" w:hAnsi="Arial"/>
          <w:sz w:val="19"/>
          <w:szCs w:val="19"/>
          <w:color w:val="auto"/>
        </w:rPr>
        <w:t>. Company may terminate Executive’s employment immediately at any time for Cause. 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is defined as: (i) material dishonest or fraudulent behavior, or convictions of a felony; (ii) the material breach of any covenant contained or referred to in this Agreement; (iii) the failure of Executive to meet fair and reasonable performance standards established by Company from time to time; (iv) Executive’s failure or refusal to perform specific directives of Company’s Board or CEO, which directives are consistent with the scope and nature of Executive’s duties and responsibilities, and which are not remedied by Employee within thirty (30) days after written notice; (v) any violation of the covenant not to disclose confidential information regarding the business of Company and its products as set forth in Section 7 of this Agreement; or (vi) any act of material dishonesty by Executive which adversely affects the business of Company. In the event Executive’s employment is terminated in accordance with this subsection 7.1, Executive shall be entitled to receive only Executive’s base salary then in effect, prorated to the date of termination and all benefits accrued through the date of termination (“</w:t>
      </w:r>
      <w:r>
        <w:rPr>
          <w:rFonts w:ascii="Arial" w:cs="Arial" w:eastAsia="Arial" w:hAnsi="Arial"/>
          <w:sz w:val="19"/>
          <w:szCs w:val="19"/>
          <w:b w:val="1"/>
          <w:bCs w:val="1"/>
          <w:i w:val="1"/>
          <w:iCs w:val="1"/>
          <w:color w:val="auto"/>
        </w:rPr>
        <w:t>Accrued Benefits</w:t>
      </w:r>
      <w:r>
        <w:rPr>
          <w:rFonts w:ascii="Arial" w:cs="Arial" w:eastAsia="Arial" w:hAnsi="Arial"/>
          <w:sz w:val="19"/>
          <w:szCs w:val="19"/>
          <w:color w:val="auto"/>
        </w:rPr>
        <w:t>”). All other Company obligations to Executive pursuant to this Agreement will become automatically terminated and completely extinguished. Executive will not be entitled to receive the Severance Payment described in subsection 7.2 below.</w:t>
      </w:r>
    </w:p>
    <w:p>
      <w:pPr>
        <w:spacing w:after="0" w:line="16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Termination Without Cause by Company/Severance</w:t>
      </w:r>
      <w:r>
        <w:rPr>
          <w:rFonts w:ascii="Arial" w:cs="Arial" w:eastAsia="Arial" w:hAnsi="Arial"/>
          <w:sz w:val="22"/>
          <w:szCs w:val="22"/>
          <w:color w:val="auto"/>
        </w:rPr>
        <w:t>. Company may terminate Executive’s employment under this Agreement without Cause at any time on thirty (30) days’ advance written notice to Executive. In the event of such termination, Executive will receive Executive’s base salary then in effect, prorated to the date of termination, and Accrued Benefits. In addition, Executive will receive a “</w:t>
      </w:r>
      <w:r>
        <w:rPr>
          <w:rFonts w:ascii="Arial" w:cs="Arial" w:eastAsia="Arial" w:hAnsi="Arial"/>
          <w:sz w:val="22"/>
          <w:szCs w:val="22"/>
          <w:b w:val="1"/>
          <w:bCs w:val="1"/>
          <w:i w:val="1"/>
          <w:iCs w:val="1"/>
          <w:color w:val="auto"/>
        </w:rPr>
        <w:t>Severance Payment</w:t>
      </w:r>
      <w:r>
        <w:rPr>
          <w:rFonts w:ascii="Arial" w:cs="Arial" w:eastAsia="Arial" w:hAnsi="Arial"/>
          <w:sz w:val="22"/>
          <w:szCs w:val="22"/>
          <w:color w:val="auto"/>
        </w:rPr>
        <w:t>” equivalent to twelve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4" w:name="page55"/>
    <w:bookmarkEnd w:id="54"/>
    <w:p>
      <w:pPr>
        <w:jc w:val="both"/>
        <w:ind w:left="1" w:hanging="1"/>
        <w:spacing w:after="0" w:line="244" w:lineRule="auto"/>
        <w:tabs>
          <w:tab w:leader="none" w:pos="431" w:val="left"/>
        </w:tabs>
        <w:numPr>
          <w:ilvl w:val="0"/>
          <w:numId w:val="28"/>
        </w:numPr>
        <w:rPr>
          <w:rFonts w:ascii="Arial" w:cs="Arial" w:eastAsia="Arial" w:hAnsi="Arial"/>
          <w:sz w:val="21"/>
          <w:szCs w:val="21"/>
          <w:color w:val="auto"/>
        </w:rPr>
      </w:pPr>
      <w:r>
        <w:rPr>
          <w:rFonts w:ascii="Arial" w:cs="Arial" w:eastAsia="Arial" w:hAnsi="Arial"/>
          <w:sz w:val="21"/>
          <w:szCs w:val="21"/>
          <w:color w:val="auto"/>
        </w:rPr>
        <w:t>months of Executive’s base salary then in effect on the date of termination, payable as salary continuation in equal installments in accordance with Company’s regular payroll cycle over a twelve (12) month period, beginning on the first regular payday occurring 60 days following the termination date. Executive will only receive the Severance Payment if Executive executes a full general release in a form acceptable to Company, releasing all claims, known or unknown, that Executive may have against Company arising out of or any way related to Executive’s employment or termination of employment with Company, and such release has become effective in accordance with its terms prior to the 60th day following the termination date. All other Company obligations to Executive will be automatically terminated and completely extinguished. If Executive’s employment with Company terminates due to Executive’s death or Executive’s inability to perform the essential functions of Executive’s position with or without reasonable accommodation, Executive shall not be entitled to the Severance Payment described above.</w:t>
      </w:r>
    </w:p>
    <w:p>
      <w:pPr>
        <w:spacing w:after="0" w:line="190" w:lineRule="exact"/>
        <w:rPr>
          <w:sz w:val="20"/>
          <w:szCs w:val="20"/>
          <w:color w:val="auto"/>
        </w:rPr>
      </w:pPr>
    </w:p>
    <w:p>
      <w:pPr>
        <w:jc w:val="both"/>
        <w:ind w:left="1" w:firstLine="1297"/>
        <w:spacing w:after="0" w:line="235"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Voluntary Resignation by Executive</w:t>
      </w:r>
      <w:r>
        <w:rPr>
          <w:rFonts w:ascii="Arial" w:cs="Arial" w:eastAsia="Arial" w:hAnsi="Arial"/>
          <w:sz w:val="22"/>
          <w:szCs w:val="22"/>
          <w:color w:val="auto"/>
        </w:rPr>
        <w:t>. Executive may voluntarily resign Executive’s position with Company at any time on thirty (30) days’ advance written notice. In the event of Executive’s voluntary resignation, Executive will be entitled to receive only Accrued Benefits for the thirty-day notice period and no other amount. All other Company obligations to Executive pursuant to this Agreement will become automatically terminated and completely extinguished. In addition, Executive will not be entitled to receive the Severance Payment described in subsection 7.2 above.</w:t>
      </w:r>
    </w:p>
    <w:p>
      <w:pPr>
        <w:spacing w:after="0" w:line="188" w:lineRule="exact"/>
        <w:rPr>
          <w:sz w:val="20"/>
          <w:szCs w:val="20"/>
          <w:color w:val="auto"/>
        </w:rPr>
      </w:pPr>
    </w:p>
    <w:p>
      <w:pPr>
        <w:jc w:val="both"/>
        <w:ind w:left="1" w:firstLine="648"/>
        <w:spacing w:after="0"/>
        <w:tabs>
          <w:tab w:leader="none" w:pos="132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Resignation of Board or Other Positions</w:t>
      </w:r>
      <w:r>
        <w:rPr>
          <w:rFonts w:ascii="Arial" w:cs="Arial" w:eastAsia="Arial" w:hAnsi="Arial"/>
          <w:sz w:val="22"/>
          <w:szCs w:val="22"/>
          <w:color w:val="auto"/>
        </w:rPr>
        <w:t>. Upon the termination of Executive’s employment for any reason, Executive agrees to immediately resign all other positions (including Board membership) Executive may hold on behalf of Company.</w:t>
      </w:r>
    </w:p>
    <w:p>
      <w:pPr>
        <w:spacing w:after="0" w:line="186" w:lineRule="exact"/>
        <w:rPr>
          <w:rFonts w:ascii="Arial" w:cs="Arial" w:eastAsia="Arial" w:hAnsi="Arial"/>
          <w:sz w:val="22"/>
          <w:szCs w:val="22"/>
          <w:color w:val="auto"/>
        </w:rPr>
      </w:pPr>
    </w:p>
    <w:p>
      <w:pPr>
        <w:ind w:left="1241" w:hanging="592"/>
        <w:spacing w:after="0"/>
        <w:tabs>
          <w:tab w:leader="none" w:pos="1241"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Application of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 w:firstLine="1944"/>
        <w:spacing w:after="0" w:line="244" w:lineRule="auto"/>
        <w:tabs>
          <w:tab w:leader="none" w:pos="2662" w:val="left"/>
        </w:tabs>
        <w:numPr>
          <w:ilvl w:val="1"/>
          <w:numId w:val="29"/>
        </w:numPr>
        <w:rPr>
          <w:rFonts w:ascii="Arial" w:cs="Arial" w:eastAsia="Arial" w:hAnsi="Arial"/>
          <w:sz w:val="21"/>
          <w:szCs w:val="21"/>
          <w:color w:val="auto"/>
        </w:rPr>
      </w:pPr>
      <w:r>
        <w:rPr>
          <w:rFonts w:ascii="Arial" w:cs="Arial" w:eastAsia="Arial" w:hAnsi="Arial"/>
          <w:sz w:val="21"/>
          <w:szCs w:val="21"/>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21"/>
          <w:szCs w:val="21"/>
          <w:b w:val="1"/>
          <w:bCs w:val="1"/>
          <w:i w:val="1"/>
          <w:iCs w:val="1"/>
          <w:color w:val="auto"/>
        </w:rPr>
        <w:t>Section 409A Regulations</w:t>
      </w:r>
      <w:r>
        <w:rPr>
          <w:rFonts w:ascii="Arial" w:cs="Arial" w:eastAsia="Arial" w:hAnsi="Arial"/>
          <w:sz w:val="21"/>
          <w:szCs w:val="21"/>
          <w:color w:val="auto"/>
        </w:rPr>
        <w:t>”) shall be paid unless and until Executive has incurred a “separation from service” within the meaning of the Section 409A Regulations.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21"/>
          <w:szCs w:val="21"/>
          <w:b w:val="1"/>
          <w:bCs w:val="1"/>
          <w:i w:val="1"/>
          <w:iCs w:val="1"/>
          <w:color w:val="auto"/>
        </w:rPr>
        <w:t>Delayed Payment Date</w:t>
      </w:r>
      <w:r>
        <w:rPr>
          <w:rFonts w:ascii="Arial" w:cs="Arial" w:eastAsia="Arial" w:hAnsi="Arial"/>
          <w:sz w:val="21"/>
          <w:szCs w:val="21"/>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89" w:lineRule="exact"/>
        <w:rPr>
          <w:rFonts w:ascii="Arial" w:cs="Arial" w:eastAsia="Arial" w:hAnsi="Arial"/>
          <w:sz w:val="21"/>
          <w:szCs w:val="21"/>
          <w:color w:val="auto"/>
        </w:rPr>
      </w:pPr>
    </w:p>
    <w:p>
      <w:pPr>
        <w:jc w:val="both"/>
        <w:ind w:left="1" w:firstLine="1944"/>
        <w:spacing w:after="0" w:line="236" w:lineRule="auto"/>
        <w:tabs>
          <w:tab w:leader="none" w:pos="2548"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22"/>
          <w:szCs w:val="22"/>
          <w:b w:val="1"/>
          <w:bCs w:val="1"/>
          <w:color w:val="auto"/>
        </w:rPr>
        <w:t>However, Company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does not guarantee any particular tax effect for income provided to Executive pursuant to this Agreement. </w:t>
      </w:r>
      <w:r>
        <w:rPr>
          <w:rFonts w:ascii="Arial" w:cs="Arial" w:eastAsia="Arial" w:hAnsi="Arial"/>
          <w:sz w:val="22"/>
          <w:szCs w:val="22"/>
          <w:color w:val="auto"/>
        </w:rPr>
        <w:t>In</w:t>
      </w:r>
      <w:r>
        <w:rPr>
          <w:rFonts w:ascii="Arial" w:cs="Arial" w:eastAsia="Arial" w:hAnsi="Arial"/>
          <w:sz w:val="22"/>
          <w:szCs w:val="22"/>
          <w:b w:val="1"/>
          <w:bCs w:val="1"/>
          <w:color w:val="auto"/>
        </w:rPr>
        <w:t xml:space="preserve"> </w:t>
      </w:r>
      <w:r>
        <w:rPr>
          <w:rFonts w:ascii="Arial" w:cs="Arial" w:eastAsia="Arial" w:hAnsi="Arial"/>
          <w:sz w:val="22"/>
          <w:szCs w:val="22"/>
          <w:color w:val="auto"/>
        </w:rPr>
        <w:t>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5" w:name="page56"/>
    <w:bookmarkEnd w:id="55"/>
    <w:p>
      <w:pPr>
        <w:jc w:val="both"/>
        <w:spacing w:after="0"/>
        <w:rPr>
          <w:sz w:val="20"/>
          <w:szCs w:val="20"/>
          <w:color w:val="auto"/>
        </w:rPr>
      </w:pPr>
      <w:r>
        <w:rPr>
          <w:rFonts w:ascii="Arial" w:cs="Arial" w:eastAsia="Arial" w:hAnsi="Arial"/>
          <w:sz w:val="22"/>
          <w:szCs w:val="22"/>
          <w:color w:val="auto"/>
        </w:rPr>
        <w:t>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186" w:lineRule="exact"/>
        <w:rPr>
          <w:sz w:val="20"/>
          <w:szCs w:val="20"/>
          <w:color w:val="auto"/>
        </w:rPr>
      </w:pPr>
    </w:p>
    <w:p>
      <w:pPr>
        <w:jc w:val="both"/>
        <w:ind w:firstLine="1944"/>
        <w:spacing w:after="0" w:line="247" w:lineRule="auto"/>
        <w:tabs>
          <w:tab w:leader="none" w:pos="2501" w:val="left"/>
        </w:tabs>
        <w:numPr>
          <w:ilvl w:val="1"/>
          <w:numId w:val="30"/>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Arial" w:cs="Arial" w:eastAsia="Arial" w:hAnsi="Arial"/>
          <w:sz w:val="21"/>
          <w:szCs w:val="21"/>
          <w:b w:val="1"/>
          <w:bCs w:val="1"/>
          <w:color w:val="auto"/>
        </w:rPr>
        <w:t>.</w:t>
      </w:r>
    </w:p>
    <w:p>
      <w:pPr>
        <w:spacing w:after="0" w:line="178" w:lineRule="exact"/>
        <w:rPr>
          <w:rFonts w:ascii="Arial" w:cs="Arial" w:eastAsia="Arial" w:hAnsi="Arial"/>
          <w:sz w:val="21"/>
          <w:szCs w:val="21"/>
          <w:color w:val="auto"/>
        </w:rPr>
      </w:pPr>
    </w:p>
    <w:p>
      <w:pPr>
        <w:ind w:firstLine="1944"/>
        <w:spacing w:after="0" w:line="251" w:lineRule="auto"/>
        <w:tabs>
          <w:tab w:leader="none" w:pos="2480" w:val="left"/>
        </w:tabs>
        <w:numPr>
          <w:ilvl w:val="1"/>
          <w:numId w:val="30"/>
        </w:numPr>
        <w:rPr>
          <w:rFonts w:ascii="Arial" w:cs="Arial" w:eastAsia="Arial" w:hAnsi="Arial"/>
          <w:sz w:val="22"/>
          <w:szCs w:val="22"/>
          <w:color w:val="auto"/>
        </w:rPr>
      </w:pPr>
      <w:r>
        <w:rPr>
          <w:rFonts w:ascii="Arial" w:cs="Arial" w:eastAsia="Arial" w:hAnsi="Arial"/>
          <w:sz w:val="22"/>
          <w:szCs w:val="22"/>
          <w:color w:val="auto"/>
        </w:rPr>
        <w:t>For purposes of Section 409A of the Code, the right to a series of installment payments under this Agreement shall be treated as a right to a series of separate payments.</w:t>
      </w:r>
    </w:p>
    <w:p>
      <w:pPr>
        <w:spacing w:after="0" w:line="173" w:lineRule="exact"/>
        <w:rPr>
          <w:rFonts w:ascii="Arial" w:cs="Arial" w:eastAsia="Arial" w:hAnsi="Arial"/>
          <w:sz w:val="22"/>
          <w:szCs w:val="22"/>
          <w:color w:val="auto"/>
        </w:rPr>
      </w:pPr>
    </w:p>
    <w:p>
      <w:pPr>
        <w:ind w:firstLine="648"/>
        <w:spacing w:after="0" w:line="245" w:lineRule="auto"/>
        <w:tabs>
          <w:tab w:leader="none" w:pos="1742"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 Conflict of Interest</w:t>
      </w:r>
      <w:r>
        <w:rPr>
          <w:rFonts w:ascii="Arial" w:cs="Arial" w:eastAsia="Arial" w:hAnsi="Arial"/>
          <w:sz w:val="21"/>
          <w:szCs w:val="21"/>
          <w:color w:val="auto"/>
        </w:rPr>
        <w:t>. During the term of Executive’s employment with Company, Executive agrees not to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Executive’s employment with Company, as may be determined by Company in its sole discretion. If Company believes such a conflict exists during the term of this Agreement, Company may ask Executive to, and Executive shall, discontinue the other work and/or activities or resign employment with Company.</w:t>
      </w:r>
    </w:p>
    <w:p>
      <w:pPr>
        <w:spacing w:after="0" w:line="185" w:lineRule="exact"/>
        <w:rPr>
          <w:rFonts w:ascii="Arial" w:cs="Arial" w:eastAsia="Arial" w:hAnsi="Arial"/>
          <w:sz w:val="21"/>
          <w:szCs w:val="21"/>
          <w:color w:val="auto"/>
        </w:rPr>
      </w:pPr>
    </w:p>
    <w:p>
      <w:pPr>
        <w:jc w:val="both"/>
        <w:ind w:firstLine="648"/>
        <w:spacing w:after="0" w:line="245" w:lineRule="auto"/>
        <w:tabs>
          <w:tab w:leader="none" w:pos="1343"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Executive agrees that during Executive’s employment with Company and for a period of twelve (12) months immediately following termination of such employment for any reason (the “</w:t>
      </w:r>
      <w:r>
        <w:rPr>
          <w:rFonts w:ascii="Arial" w:cs="Arial" w:eastAsia="Arial" w:hAnsi="Arial"/>
          <w:sz w:val="21"/>
          <w:szCs w:val="21"/>
          <w:b w:val="1"/>
          <w:bCs w:val="1"/>
          <w:i w:val="1"/>
          <w:iCs w:val="1"/>
          <w:color w:val="auto"/>
        </w:rPr>
        <w:t>Non-competition Period</w:t>
      </w:r>
      <w:r>
        <w:rPr>
          <w:rFonts w:ascii="Arial" w:cs="Arial" w:eastAsia="Arial" w:hAnsi="Arial"/>
          <w:sz w:val="21"/>
          <w:szCs w:val="21"/>
          <w:color w:val="auto"/>
        </w:rPr>
        <w:t>”), Executive shall not in any manner, directly or indirectly, through any person, firm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Executive was involved or had knowledge, being conducted by, or contemplated by, Company or any of its subsidiaries as of the termination of Executive’s employment in any geographic area in which Company or any of its subsidiaries is then conducting such business.</w:t>
      </w:r>
    </w:p>
    <w:p>
      <w:pPr>
        <w:spacing w:after="0" w:line="185" w:lineRule="exact"/>
        <w:rPr>
          <w:rFonts w:ascii="Arial" w:cs="Arial" w:eastAsia="Arial" w:hAnsi="Arial"/>
          <w:sz w:val="21"/>
          <w:szCs w:val="21"/>
          <w:color w:val="auto"/>
        </w:rPr>
      </w:pPr>
    </w:p>
    <w:p>
      <w:pPr>
        <w:jc w:val="both"/>
        <w:ind w:firstLine="648"/>
        <w:spacing w:after="0" w:line="236" w:lineRule="auto"/>
        <w:tabs>
          <w:tab w:leader="none" w:pos="131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Executive acknowledges that Company’s relationship with its clients, employees, vendors, suppliers and other persons with whom Company has a business relationship (hereinafter referred to as “</w:t>
      </w:r>
      <w:r>
        <w:rPr>
          <w:rFonts w:ascii="Arial" w:cs="Arial" w:eastAsia="Arial" w:hAnsi="Arial"/>
          <w:sz w:val="22"/>
          <w:szCs w:val="22"/>
          <w:b w:val="1"/>
          <w:bCs w:val="1"/>
          <w:i w:val="1"/>
          <w:iCs w:val="1"/>
          <w:color w:val="auto"/>
        </w:rPr>
        <w:t>Prohibited Persons</w:t>
      </w:r>
      <w:r>
        <w:rPr>
          <w:rFonts w:ascii="Arial" w:cs="Arial" w:eastAsia="Arial" w:hAnsi="Arial"/>
          <w:sz w:val="22"/>
          <w:szCs w:val="22"/>
          <w:color w:val="auto"/>
        </w:rPr>
        <w:t>”), are special and unique, and that Company’s relationship with the Prohibited Persons may not be able to be replaced by Company. Executive further acknowledges that the protection of Company’s Prohibited Persons is essential.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6" w:name="page57"/>
    <w:bookmarkEnd w:id="56"/>
    <w:p>
      <w:pPr>
        <w:jc w:val="both"/>
        <w:spacing w:after="0" w:line="248" w:lineRule="exact"/>
        <w:rPr>
          <w:sz w:val="20"/>
          <w:szCs w:val="20"/>
          <w:color w:val="auto"/>
        </w:rPr>
      </w:pPr>
      <w:r>
        <w:rPr>
          <w:rFonts w:ascii="Arial" w:cs="Arial" w:eastAsia="Arial" w:hAnsi="Arial"/>
          <w:sz w:val="22"/>
          <w:szCs w:val="22"/>
          <w:color w:val="auto"/>
        </w:rPr>
        <w:t>Therefore, Executive expressly covenants and agrees that during Executive’s employment with Company and for a period of twelve (12) months immediately following termination of Executive’s employment for any reason (the “</w:t>
      </w:r>
      <w:r>
        <w:rPr>
          <w:rFonts w:ascii="Arial" w:cs="Arial" w:eastAsia="Arial" w:hAnsi="Arial"/>
          <w:sz w:val="22"/>
          <w:szCs w:val="22"/>
          <w:b w:val="1"/>
          <w:bCs w:val="1"/>
          <w:i w:val="1"/>
          <w:iCs w:val="1"/>
          <w:color w:val="auto"/>
        </w:rPr>
        <w:t>Non</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solicitation Period</w:t>
      </w:r>
      <w:r>
        <w:rPr>
          <w:rFonts w:ascii="Arial" w:cs="Arial" w:eastAsia="Arial" w:hAnsi="Arial"/>
          <w:sz w:val="22"/>
          <w:szCs w:val="22"/>
          <w:color w:val="auto"/>
        </w:rPr>
        <w:t>”), Executive will not at 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188" w:lineRule="exact"/>
        <w:rPr>
          <w:sz w:val="20"/>
          <w:szCs w:val="20"/>
          <w:color w:val="auto"/>
        </w:rPr>
      </w:pPr>
    </w:p>
    <w:p>
      <w:pPr>
        <w:ind w:left="1240" w:hanging="592"/>
        <w:spacing w:after="0"/>
        <w:tabs>
          <w:tab w:leader="none" w:pos="124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13.1 Executive recognizes that the knowledge and information about, and relationships with business associates, customers, clients and agents of Company and its affiliated companies, and the business methods, systems, plans, and policies of Company and of its affiliated companies, which Executive may receive, obtain, or establish as an employee of Company are valuable and unique assets of Company or its affiliates. Executive agrees that, during any Employment Period and thereafter, Executive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Executive acknowledges and agrees that all memoranda, notes, records, clients lists, client information and other documents, computer software, data or material in any form made or compiled by Executive or made available to Executive concerning Company’s business is and shall be Company’s exclusive property and shall be delivered by Executive to Company upon termination of Executive’s employment or at any other time upon the request of Company.</w:t>
      </w:r>
    </w:p>
    <w:p>
      <w:pPr>
        <w:spacing w:after="0" w:line="165"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13.2 The restrictions in the above paragraph shall not apply to: (1) information that at the time of disclosure is in the public domain through no fault of Executive’s;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Executive shall provide Company notice of any such required disclosure once Executive has knowledge of it and will help Company to the extent reasonable to obtain an appropriate protective order.</w:t>
      </w:r>
    </w:p>
    <w:p>
      <w:pPr>
        <w:spacing w:after="0" w:line="19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13.3 Company acknowledges that Executive has had significant prior work experience in the industry in which Company is engaged, and that Executive enters into this Agreement with significant prior knowledge, information and relationships in such industry.</w:t>
      </w:r>
    </w:p>
    <w:p>
      <w:pPr>
        <w:spacing w:after="0" w:line="186" w:lineRule="exact"/>
        <w:rPr>
          <w:sz w:val="20"/>
          <w:szCs w:val="20"/>
          <w:color w:val="auto"/>
        </w:rPr>
      </w:pPr>
    </w:p>
    <w:p>
      <w:pPr>
        <w:ind w:left="1240" w:hanging="592"/>
        <w:spacing w:after="0"/>
        <w:tabs>
          <w:tab w:leader="none" w:pos="12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Enforcement: Remedies, Construction</w:t>
      </w:r>
      <w:r>
        <w:rPr>
          <w:rFonts w:ascii="Arial" w:cs="Arial" w:eastAsia="Arial" w:hAnsi="Arial"/>
          <w:sz w:val="22"/>
          <w:szCs w:val="22"/>
          <w:color w:val="auto"/>
        </w:rPr>
        <w:t>.</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14.1 Executive covenants, agrees, and recognizes the breach or threatened breach of the covenants, or any of them, contained in Sections 11, 12 and 13 will result in immediate and irreparable injury to Company and that Company shall be entitled to an injunction restraining Executive or any of his affiliates from any violation of Sections 11, 12 and 13 to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9"/>
          <w:szCs w:val="19"/>
          <w:color w:val="auto"/>
        </w:rPr>
        <w:t>fullest extent allowed by law. Executive further covenants and agrees that in the event of a violation of any of his respective covenants and agreements contained in Sections 11, 12 and 13 hereof, Company shall be entitled to an accounting of all profits, compensation, commissions, remunerations or benefits which Executive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15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14.2 Executive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Executive hereby expressly acknowledges and agrees as follows:</w:t>
      </w:r>
    </w:p>
    <w:p>
      <w:pPr>
        <w:spacing w:after="0" w:line="206" w:lineRule="exact"/>
        <w:rPr>
          <w:sz w:val="20"/>
          <w:szCs w:val="20"/>
          <w:color w:val="auto"/>
        </w:rPr>
      </w:pPr>
    </w:p>
    <w:p>
      <w:pPr>
        <w:jc w:val="both"/>
        <w:ind w:firstLine="1944"/>
        <w:spacing w:after="0" w:line="258" w:lineRule="auto"/>
        <w:tabs>
          <w:tab w:leader="none" w:pos="2553"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pacing w:after="0" w:line="166" w:lineRule="exact"/>
        <w:rPr>
          <w:rFonts w:ascii="Arial" w:cs="Arial" w:eastAsia="Arial" w:hAnsi="Arial"/>
          <w:sz w:val="21"/>
          <w:szCs w:val="21"/>
          <w:color w:val="auto"/>
        </w:rPr>
      </w:pPr>
    </w:p>
    <w:p>
      <w:pPr>
        <w:jc w:val="both"/>
        <w:ind w:firstLine="1944"/>
        <w:spacing w:after="0" w:line="272" w:lineRule="auto"/>
        <w:tabs>
          <w:tab w:leader="none" w:pos="2602"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14.4 Nothing in Sections 10 and 11 shall prohibit Executive from being (i) a stockholder in a mutual fund or a diversified investment company or (ii) an owner of not more than two percent of the outstanding stock of any class of a corporation, any securities of which are publicly traded, so long as Executive has no active participation in the business of such corporation.</w:t>
      </w:r>
    </w:p>
    <w:p>
      <w:pPr>
        <w:spacing w:after="0" w:line="185" w:lineRule="exact"/>
        <w:rPr>
          <w:sz w:val="20"/>
          <w:szCs w:val="20"/>
          <w:color w:val="auto"/>
        </w:rPr>
      </w:pPr>
    </w:p>
    <w:p>
      <w:pPr>
        <w:ind w:left="1240" w:hanging="592"/>
        <w:spacing w:after="0"/>
        <w:tabs>
          <w:tab w:leader="none" w:pos="12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rights and obligations of Company under this Agreement shall inure to the benefit of and shall be binding upon the successors and assigns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8" w:name="page59"/>
    <w:bookmarkEnd w:id="58"/>
    <w:p>
      <w:pPr>
        <w:jc w:val="both"/>
        <w:ind w:left="1"/>
        <w:spacing w:after="0" w:line="251" w:lineRule="auto"/>
        <w:rPr>
          <w:sz w:val="20"/>
          <w:szCs w:val="20"/>
          <w:color w:val="auto"/>
        </w:rPr>
      </w:pPr>
      <w:r>
        <w:rPr>
          <w:rFonts w:ascii="Arial" w:cs="Arial" w:eastAsia="Arial" w:hAnsi="Arial"/>
          <w:sz w:val="22"/>
          <w:szCs w:val="22"/>
          <w:color w:val="auto"/>
        </w:rPr>
        <w:t>of Company. Executive shall not be entitled to assign any of Executive’s rights or obligations under this Agreement.</w:t>
      </w:r>
    </w:p>
    <w:p>
      <w:pPr>
        <w:spacing w:after="0" w:line="173"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Waiver</w:t>
      </w:r>
      <w:r>
        <w:rPr>
          <w:rFonts w:ascii="Arial" w:cs="Arial" w:eastAsia="Arial" w:hAnsi="Arial"/>
          <w:sz w:val="22"/>
          <w:szCs w:val="22"/>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86"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Attorneys’ Fees</w:t>
      </w:r>
      <w:r>
        <w:rPr>
          <w:rFonts w:ascii="Arial" w:cs="Arial" w:eastAsia="Arial" w:hAnsi="Arial"/>
          <w:sz w:val="22"/>
          <w:szCs w:val="22"/>
          <w:color w:val="auto"/>
        </w:rPr>
        <w:t>. Each side will bear its own attorneys’ fees in any dispute unless a statutory section at issue, if any, authorizes the award of attorneys’ fees to the prevailing party.</w:t>
      </w:r>
    </w:p>
    <w:p>
      <w:pPr>
        <w:spacing w:after="0" w:line="173" w:lineRule="exact"/>
        <w:rPr>
          <w:sz w:val="20"/>
          <w:szCs w:val="20"/>
          <w:color w:val="auto"/>
        </w:rPr>
      </w:pPr>
    </w:p>
    <w:p>
      <w:pPr>
        <w:jc w:val="both"/>
        <w:ind w:left="1" w:firstLine="1297"/>
        <w:spacing w:after="0" w:line="248"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77"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51"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spacing w:after="0" w:line="185" w:lineRule="exact"/>
        <w:rPr>
          <w:sz w:val="20"/>
          <w:szCs w:val="20"/>
          <w:color w:val="auto"/>
        </w:rPr>
      </w:pPr>
    </w:p>
    <w:p>
      <w:pPr>
        <w:jc w:val="both"/>
        <w:ind w:left="1" w:firstLine="1297"/>
        <w:spacing w:after="0" w:line="276"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by this Agreement shall be in writing and shall be delivered as follows with notice deemed given as indicated: (a) by personal delivery when delivered personally;</w:t>
      </w:r>
    </w:p>
    <w:p>
      <w:pPr>
        <w:spacing w:after="0" w:line="2" w:lineRule="exact"/>
        <w:rPr>
          <w:sz w:val="20"/>
          <w:szCs w:val="20"/>
          <w:color w:val="auto"/>
        </w:rPr>
      </w:pPr>
    </w:p>
    <w:p>
      <w:pPr>
        <w:jc w:val="both"/>
        <w:ind w:left="1" w:hanging="1"/>
        <w:spacing w:after="0" w:line="234" w:lineRule="auto"/>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2"/>
          <w:szCs w:val="22"/>
          <w:color w:val="auto"/>
        </w:rPr>
        <w:t>EXECUTIVE: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Toby Williams</w:t>
      </w:r>
    </w:p>
    <w:p>
      <w:pPr>
        <w:ind w:left="1"/>
        <w:spacing w:after="0" w:line="238" w:lineRule="auto"/>
        <w:rPr>
          <w:sz w:val="20"/>
          <w:szCs w:val="20"/>
          <w:color w:val="auto"/>
        </w:rPr>
      </w:pPr>
      <w:r>
        <w:rPr>
          <w:rFonts w:ascii="Arial" w:cs="Arial" w:eastAsia="Arial" w:hAnsi="Arial"/>
          <w:sz w:val="22"/>
          <w:szCs w:val="22"/>
          <w:color w:val="auto"/>
        </w:rPr>
        <w:t>[****]</w:t>
      </w:r>
    </w:p>
    <w:p>
      <w:pPr>
        <w:ind w:left="1"/>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Paylocity Corporation</w:t>
      </w:r>
    </w:p>
    <w:p>
      <w:pPr>
        <w:spacing w:after="0" w:line="238" w:lineRule="auto"/>
        <w:rPr>
          <w:sz w:val="20"/>
          <w:szCs w:val="20"/>
          <w:color w:val="auto"/>
        </w:rPr>
      </w:pPr>
      <w:r>
        <w:rPr>
          <w:rFonts w:ascii="Arial" w:cs="Arial" w:eastAsia="Arial" w:hAnsi="Arial"/>
          <w:sz w:val="22"/>
          <w:szCs w:val="22"/>
          <w:color w:val="auto"/>
        </w:rPr>
        <w:t>3850 N. Wilke Rd.</w:t>
      </w:r>
    </w:p>
    <w:p>
      <w:pPr>
        <w:spacing w:after="0" w:line="230" w:lineRule="auto"/>
        <w:rPr>
          <w:sz w:val="20"/>
          <w:szCs w:val="20"/>
          <w:color w:val="auto"/>
        </w:rPr>
      </w:pPr>
      <w:r>
        <w:rPr>
          <w:rFonts w:ascii="Arial" w:cs="Arial" w:eastAsia="Arial" w:hAnsi="Arial"/>
          <w:sz w:val="22"/>
          <w:szCs w:val="22"/>
          <w:color w:val="auto"/>
        </w:rPr>
        <w:t>Arlington Heights, IL 60004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Steven R. Beauchamp, President and Chief Executive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8" w:lineRule="auto"/>
        <w:rPr>
          <w:sz w:val="20"/>
          <w:szCs w:val="20"/>
          <w:color w:val="auto"/>
        </w:rPr>
      </w:pPr>
      <w:r>
        <w:rPr>
          <w:rFonts w:ascii="Arial" w:cs="Arial" w:eastAsia="Arial" w:hAnsi="Arial"/>
          <w:sz w:val="22"/>
          <w:szCs w:val="22"/>
          <w:color w:val="auto"/>
        </w:rPr>
        <w:t>DLA Piper LLP</w:t>
      </w:r>
    </w:p>
    <w:p>
      <w:pPr>
        <w:spacing w:after="0" w:line="230" w:lineRule="auto"/>
        <w:rPr>
          <w:sz w:val="20"/>
          <w:szCs w:val="20"/>
          <w:color w:val="auto"/>
        </w:rPr>
      </w:pPr>
      <w:r>
        <w:rPr>
          <w:rFonts w:ascii="Arial" w:cs="Arial" w:eastAsia="Arial" w:hAnsi="Arial"/>
          <w:sz w:val="22"/>
          <w:szCs w:val="22"/>
          <w:color w:val="auto"/>
        </w:rPr>
        <w:t>401 Congress Avenue, Suite 2500</w:t>
      </w:r>
    </w:p>
    <w:p>
      <w:pPr>
        <w:spacing w:after="0" w:line="231" w:lineRule="auto"/>
        <w:rPr>
          <w:sz w:val="20"/>
          <w:szCs w:val="20"/>
          <w:color w:val="auto"/>
        </w:rPr>
      </w:pPr>
      <w:r>
        <w:rPr>
          <w:rFonts w:ascii="Arial" w:cs="Arial" w:eastAsia="Arial" w:hAnsi="Arial"/>
          <w:sz w:val="22"/>
          <w:szCs w:val="22"/>
          <w:color w:val="auto"/>
        </w:rPr>
        <w:t>Austin, TX 78701</w:t>
      </w:r>
    </w:p>
    <w:p>
      <w:pPr>
        <w:spacing w:after="0" w:line="231" w:lineRule="auto"/>
        <w:rPr>
          <w:sz w:val="20"/>
          <w:szCs w:val="20"/>
          <w:color w:val="auto"/>
        </w:rPr>
      </w:pPr>
      <w:r>
        <w:rPr>
          <w:rFonts w:ascii="Arial" w:cs="Arial" w:eastAsia="Arial" w:hAnsi="Arial"/>
          <w:sz w:val="22"/>
          <w:szCs w:val="22"/>
          <w:color w:val="auto"/>
        </w:rPr>
        <w:t>Facsimile: (512) 721- 2290</w:t>
      </w:r>
    </w:p>
    <w:p>
      <w:pPr>
        <w:spacing w:after="0"/>
        <w:rPr>
          <w:sz w:val="20"/>
          <w:szCs w:val="20"/>
          <w:color w:val="auto"/>
        </w:rPr>
      </w:pPr>
      <w:r>
        <w:rPr>
          <w:rFonts w:ascii="Arial" w:cs="Arial" w:eastAsia="Arial" w:hAnsi="Arial"/>
          <w:sz w:val="22"/>
          <w:szCs w:val="22"/>
          <w:color w:val="auto"/>
        </w:rPr>
        <w:t>Attention: John J. Gilluly III, P.C.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or at such changed addresses as the parties may designate in writing.</w:t>
      </w:r>
    </w:p>
    <w:p>
      <w:pPr>
        <w:spacing w:after="0" w:line="20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15.8 </w:t>
      </w:r>
      <w:r>
        <w:rPr>
          <w:rFonts w:ascii="Arial" w:cs="Arial" w:eastAsia="Arial" w:hAnsi="Arial"/>
          <w:sz w:val="19"/>
          <w:szCs w:val="19"/>
          <w:u w:val="single" w:color="auto"/>
          <w:color w:val="auto"/>
        </w:rPr>
        <w:t>Survival</w:t>
      </w:r>
      <w:r>
        <w:rPr>
          <w:rFonts w:ascii="Arial" w:cs="Arial" w:eastAsia="Arial" w:hAnsi="Arial"/>
          <w:sz w:val="19"/>
          <w:szCs w:val="19"/>
          <w:color w:val="auto"/>
        </w:rPr>
        <w:t>. Sections 7.2 (Termination Without Cause by Company/Severance), 9 (Application of Section 409A), 10 (“No Conflict of Interest”), 11 (“Non-Competition”), 12 (“Non-Solicitation”), 13 (“Nondisclosure of Confidential Information”), 14 (“Enforcement, Remedies and Construction”), 15 (“General Provisions”) and 16 (“Entire Agreement”) of this Agreement shall survive Executive’s employment by Company.</w:t>
      </w:r>
    </w:p>
    <w:p>
      <w:pPr>
        <w:spacing w:after="0" w:line="143" w:lineRule="exact"/>
        <w:rPr>
          <w:sz w:val="20"/>
          <w:szCs w:val="20"/>
          <w:color w:val="auto"/>
        </w:rPr>
      </w:pPr>
    </w:p>
    <w:p>
      <w:pPr>
        <w:jc w:val="both"/>
        <w:ind w:firstLine="648"/>
        <w:spacing w:after="0" w:line="236" w:lineRule="auto"/>
        <w:tabs>
          <w:tab w:leader="none" w:pos="132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of Directors of Company. No oral waiver, amendment or modification will be effective under any circumstances whatsoever.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Signatures appear on following page</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60" w:name="page61"/>
    <w:bookmarkEnd w:id="60"/>
    <w:p>
      <w:pPr>
        <w:jc w:val="both"/>
        <w:spacing w:after="0"/>
        <w:rPr>
          <w:sz w:val="20"/>
          <w:szCs w:val="20"/>
          <w:color w:val="auto"/>
        </w:rPr>
      </w:pPr>
      <w:r>
        <w:rPr>
          <w:rFonts w:ascii="Arial" w:cs="Arial" w:eastAsia="Arial" w:hAnsi="Arial"/>
          <w:sz w:val="22"/>
          <w:szCs w:val="22"/>
          <w:color w:val="auto"/>
        </w:rPr>
        <w:t>THE PARTIES TO THIS AGREEMENT HAVE READ THE FOREGOING AGREEMENT AND FULLY UNDERSTAND EACH AND EVERY PROVISION CONTAINED HEREIN. WHEREFORE, THE PARTIES HAVE EXECUTED THIS AGREEMENT ON THE DATES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20" w:type="dxa"/>
            <w:vAlign w:val="bottom"/>
          </w:tcPr>
          <w:p>
            <w:pPr>
              <w:ind w:left="260"/>
              <w:spacing w:after="0"/>
              <w:rPr>
                <w:sz w:val="20"/>
                <w:szCs w:val="20"/>
                <w:color w:val="auto"/>
              </w:rPr>
            </w:pPr>
            <w:r>
              <w:rPr>
                <w:rFonts w:ascii="Arial" w:cs="Arial" w:eastAsia="Arial" w:hAnsi="Arial"/>
                <w:sz w:val="22"/>
                <w:szCs w:val="22"/>
                <w:color w:val="auto"/>
              </w:rPr>
              <w:t>Toby J. Williams</w:t>
            </w:r>
          </w:p>
        </w:tc>
      </w:tr>
      <w:tr>
        <w:trPr>
          <w:trHeight w:val="476"/>
        </w:trPr>
        <w:tc>
          <w:tcPr>
            <w:tcW w:w="3640" w:type="dxa"/>
            <w:vAlign w:val="bottom"/>
          </w:tcPr>
          <w:p>
            <w:pPr>
              <w:spacing w:after="0"/>
              <w:rPr>
                <w:sz w:val="20"/>
                <w:szCs w:val="20"/>
                <w:color w:val="auto"/>
              </w:rPr>
            </w:pPr>
            <w:r>
              <w:rPr>
                <w:rFonts w:ascii="Arial" w:cs="Arial" w:eastAsia="Arial" w:hAnsi="Arial"/>
                <w:sz w:val="22"/>
                <w:szCs w:val="22"/>
                <w:color w:val="auto"/>
              </w:rPr>
              <w:t>Dated: September 18, 2017</w:t>
            </w:r>
          </w:p>
        </w:tc>
        <w:tc>
          <w:tcPr>
            <w:tcW w:w="6420" w:type="dxa"/>
            <w:vAlign w:val="bottom"/>
            <w:gridSpan w:val="3"/>
          </w:tcPr>
          <w:p>
            <w:pPr>
              <w:ind w:left="1620"/>
              <w:spacing w:after="0"/>
              <w:rPr>
                <w:sz w:val="20"/>
                <w:szCs w:val="20"/>
                <w:color w:val="auto"/>
              </w:rPr>
            </w:pPr>
            <w:r>
              <w:rPr>
                <w:rFonts w:ascii="Arial" w:cs="Arial" w:eastAsia="Arial" w:hAnsi="Arial"/>
                <w:sz w:val="22"/>
                <w:szCs w:val="22"/>
                <w:color w:val="auto"/>
              </w:rPr>
              <w:t>/s/ Toby J. Williams</w:t>
            </w:r>
          </w:p>
        </w:tc>
      </w:tr>
      <w:tr>
        <w:trPr>
          <w:trHeight w:val="490"/>
        </w:trPr>
        <w:tc>
          <w:tcPr>
            <w:tcW w:w="3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20" w:type="dxa"/>
            <w:vAlign w:val="bottom"/>
            <w:tcBorders>
              <w:top w:val="single" w:sz="8" w:color="auto"/>
            </w:tcBorders>
          </w:tcPr>
          <w:p>
            <w:pPr>
              <w:ind w:left="260"/>
              <w:spacing w:after="0"/>
              <w:rPr>
                <w:sz w:val="20"/>
                <w:szCs w:val="20"/>
                <w:color w:val="auto"/>
              </w:rPr>
            </w:pPr>
            <w:r>
              <w:rPr>
                <w:rFonts w:ascii="Arial" w:cs="Arial" w:eastAsia="Arial" w:hAnsi="Arial"/>
                <w:sz w:val="22"/>
                <w:szCs w:val="22"/>
                <w:color w:val="auto"/>
              </w:rPr>
              <w:t>Paylocity Corporation</w:t>
            </w:r>
          </w:p>
        </w:tc>
      </w:tr>
      <w:tr>
        <w:trPr>
          <w:trHeight w:val="476"/>
        </w:trPr>
        <w:tc>
          <w:tcPr>
            <w:tcW w:w="3640" w:type="dxa"/>
            <w:vAlign w:val="bottom"/>
          </w:tcPr>
          <w:p>
            <w:pPr>
              <w:spacing w:after="0"/>
              <w:rPr>
                <w:sz w:val="20"/>
                <w:szCs w:val="20"/>
                <w:color w:val="auto"/>
              </w:rPr>
            </w:pPr>
            <w:r>
              <w:rPr>
                <w:rFonts w:ascii="Arial" w:cs="Arial" w:eastAsia="Arial" w:hAnsi="Arial"/>
                <w:sz w:val="22"/>
                <w:szCs w:val="22"/>
                <w:color w:val="auto"/>
              </w:rPr>
              <w:t>Dated: September 18, 2017</w:t>
            </w:r>
          </w:p>
        </w:tc>
        <w:tc>
          <w:tcPr>
            <w:tcW w:w="6420" w:type="dxa"/>
            <w:vAlign w:val="bottom"/>
            <w:gridSpan w:val="3"/>
          </w:tcPr>
          <w:p>
            <w:pPr>
              <w:ind w:left="1620"/>
              <w:spacing w:after="0"/>
              <w:rPr>
                <w:sz w:val="20"/>
                <w:szCs w:val="20"/>
                <w:color w:val="auto"/>
              </w:rPr>
            </w:pPr>
            <w:r>
              <w:rPr>
                <w:rFonts w:ascii="Arial" w:cs="Arial" w:eastAsia="Arial" w:hAnsi="Arial"/>
                <w:sz w:val="22"/>
                <w:szCs w:val="22"/>
                <w:color w:val="auto"/>
              </w:rPr>
              <w:t>By: /s/ Steven R. Beauchamp</w:t>
            </w:r>
          </w:p>
        </w:tc>
      </w:tr>
      <w:tr>
        <w:trPr>
          <w:trHeight w:val="20"/>
        </w:trPr>
        <w:tc>
          <w:tcPr>
            <w:tcW w:w="3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r>
      <w:tr>
        <w:trPr>
          <w:trHeight w:val="202"/>
        </w:trPr>
        <w:tc>
          <w:tcPr>
            <w:tcW w:w="3640" w:type="dxa"/>
            <w:vAlign w:val="bottom"/>
          </w:tcPr>
          <w:p>
            <w:pPr>
              <w:spacing w:after="0"/>
              <w:rPr>
                <w:sz w:val="17"/>
                <w:szCs w:val="17"/>
                <w:color w:val="auto"/>
              </w:rPr>
            </w:pPr>
          </w:p>
        </w:tc>
        <w:tc>
          <w:tcPr>
            <w:tcW w:w="6420" w:type="dxa"/>
            <w:vAlign w:val="bottom"/>
            <w:gridSpan w:val="3"/>
          </w:tcPr>
          <w:p>
            <w:pPr>
              <w:ind w:left="1620"/>
              <w:spacing w:after="0" w:line="202" w:lineRule="exact"/>
              <w:rPr>
                <w:sz w:val="20"/>
                <w:szCs w:val="20"/>
                <w:color w:val="auto"/>
              </w:rPr>
            </w:pPr>
            <w:r>
              <w:rPr>
                <w:rFonts w:ascii="Arial" w:cs="Arial" w:eastAsia="Arial" w:hAnsi="Arial"/>
                <w:sz w:val="22"/>
                <w:szCs w:val="22"/>
                <w:color w:val="auto"/>
              </w:rPr>
              <w:t>Name: Steven R. Beauchamp</w:t>
            </w:r>
          </w:p>
        </w:tc>
      </w:tr>
      <w:tr>
        <w:trPr>
          <w:trHeight w:val="275"/>
        </w:trPr>
        <w:tc>
          <w:tcPr>
            <w:tcW w:w="3640" w:type="dxa"/>
            <w:vAlign w:val="bottom"/>
          </w:tcPr>
          <w:p>
            <w:pPr>
              <w:spacing w:after="0"/>
              <w:rPr>
                <w:sz w:val="23"/>
                <w:szCs w:val="23"/>
                <w:color w:val="auto"/>
              </w:rPr>
            </w:pPr>
          </w:p>
        </w:tc>
        <w:tc>
          <w:tcPr>
            <w:tcW w:w="6420" w:type="dxa"/>
            <w:vAlign w:val="bottom"/>
            <w:gridSpan w:val="3"/>
          </w:tcPr>
          <w:p>
            <w:pPr>
              <w:ind w:left="1620"/>
              <w:spacing w:after="0"/>
              <w:rPr>
                <w:sz w:val="20"/>
                <w:szCs w:val="20"/>
                <w:color w:val="auto"/>
              </w:rPr>
            </w:pPr>
            <w:r>
              <w:rPr>
                <w:rFonts w:ascii="Arial" w:cs="Arial" w:eastAsia="Arial" w:hAnsi="Arial"/>
                <w:sz w:val="22"/>
                <w:szCs w:val="22"/>
                <w:color w:val="auto"/>
              </w:rPr>
              <w:t>Title: Chief Executive Officer</w:t>
            </w:r>
          </w:p>
        </w:tc>
      </w:tr>
      <w:tr>
        <w:trPr>
          <w:trHeight w:val="918"/>
        </w:trPr>
        <w:tc>
          <w:tcPr>
            <w:tcW w:w="3640" w:type="dxa"/>
            <w:vAlign w:val="bottom"/>
          </w:tcPr>
          <w:p>
            <w:pPr>
              <w:spacing w:after="0"/>
              <w:rPr>
                <w:sz w:val="24"/>
                <w:szCs w:val="24"/>
                <w:color w:val="auto"/>
              </w:rPr>
            </w:pPr>
          </w:p>
        </w:tc>
        <w:tc>
          <w:tcPr>
            <w:tcW w:w="1620" w:type="dxa"/>
            <w:vAlign w:val="bottom"/>
          </w:tcPr>
          <w:p>
            <w:pPr>
              <w:ind w:left="1280"/>
              <w:spacing w:after="0"/>
              <w:rPr>
                <w:sz w:val="20"/>
                <w:szCs w:val="20"/>
                <w:color w:val="auto"/>
              </w:rPr>
            </w:pPr>
            <w:r>
              <w:rPr>
                <w:rFonts w:ascii="Arial" w:cs="Arial" w:eastAsia="Arial" w:hAnsi="Arial"/>
                <w:sz w:val="22"/>
                <w:szCs w:val="22"/>
                <w:color w:val="auto"/>
              </w:rPr>
              <w:t>10</w:t>
            </w:r>
          </w:p>
        </w:tc>
        <w:tc>
          <w:tcPr>
            <w:tcW w:w="3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19"/>
        </w:trPr>
        <w:tc>
          <w:tcPr>
            <w:tcW w:w="36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34" w:right="9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2017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November 3, 2017</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42"/>
        </w:trPr>
        <w:tc>
          <w:tcPr>
            <w:tcW w:w="5180" w:type="dxa"/>
            <w:vAlign w:val="bottom"/>
          </w:tcPr>
          <w:p>
            <w:pPr>
              <w:ind w:left="4540"/>
              <w:spacing w:after="0" w:line="142" w:lineRule="exact"/>
              <w:rPr>
                <w:sz w:val="20"/>
                <w:szCs w:val="20"/>
                <w:color w:val="auto"/>
              </w:rPr>
            </w:pPr>
            <w:r>
              <w:rPr>
                <w:rFonts w:ascii="Arial" w:cs="Arial" w:eastAsia="Arial" w:hAnsi="Arial"/>
                <w:sz w:val="16"/>
                <w:szCs w:val="16"/>
                <w:b w:val="1"/>
                <w:bCs w:val="1"/>
                <w:color w:val="auto"/>
              </w:rPr>
              <w:t>Name:</w:t>
            </w: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r>
      <w:tr>
        <w:trPr>
          <w:trHeight w:val="234"/>
        </w:trPr>
        <w:tc>
          <w:tcPr>
            <w:tcW w:w="5180" w:type="dxa"/>
            <w:vAlign w:val="bottom"/>
          </w:tcPr>
          <w:p>
            <w:pPr>
              <w:ind w:left="454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2017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November 3, 2017</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November 3, 2017</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960"/>
        <w:spacing w:after="0" w:line="203" w:lineRule="auto"/>
        <w:rPr>
          <w:sz w:val="20"/>
          <w:szCs w:val="20"/>
          <w:color w:val="auto"/>
        </w:rPr>
      </w:pPr>
      <w:r>
        <w:rPr>
          <w:rFonts w:ascii="Arial" w:cs="Arial" w:eastAsia="Arial" w:hAnsi="Arial"/>
          <w:sz w:val="18"/>
          <w:szCs w:val="18"/>
          <w:b w:val="1"/>
          <w:bCs w:val="1"/>
          <w:color w:val="auto"/>
        </w:rPr>
        <w:t>Steven R. Beauchamp</w:t>
      </w:r>
    </w:p>
    <w:p>
      <w:pPr>
        <w:ind w:left="5900"/>
        <w:spacing w:after="0"/>
        <w:rPr>
          <w:sz w:val="20"/>
          <w:szCs w:val="20"/>
          <w:color w:val="auto"/>
        </w:rPr>
      </w:pPr>
      <w:r>
        <w:rPr>
          <w:rFonts w:ascii="Arial" w:cs="Arial" w:eastAsia="Arial" w:hAnsi="Arial"/>
          <w:sz w:val="18"/>
          <w:szCs w:val="18"/>
          <w:b w:val="1"/>
          <w:bCs w:val="1"/>
          <w:color w:val="auto"/>
        </w:rPr>
        <w:t>Chief Executive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6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3, 2017</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1)"/>
      <w:numFmt w:val="lowerLetter"/>
      <w:start w:val="3"/>
    </w:lvl>
  </w:abstractNum>
  <w:abstractNum w:abstractNumId="5">
    <w:nsid w:val="2443A858"/>
    <w:multiLevelType w:val="hybridMultilevel"/>
    <w:lvl w:ilvl="0">
      <w:lvlJc w:val="left"/>
      <w:lvlText w:val="(%1)"/>
      <w:numFmt w:val="lowerLetter"/>
      <w:start w:val="4"/>
    </w:lvl>
  </w:abstractNum>
  <w:abstractNum w:abstractNumId="6">
    <w:nsid w:val="2D1D5AE9"/>
    <w:multiLevelType w:val="hybridMultilevel"/>
    <w:lvl w:ilvl="0">
      <w:lvlJc w:val="left"/>
      <w:lvlText w:val="(%1)"/>
      <w:numFmt w:val="lowerLetter"/>
      <w:start w:val="5"/>
    </w:lvl>
  </w:abstractNum>
  <w:abstractNum w:abstractNumId="7">
    <w:nsid w:val="6763845E"/>
    <w:multiLevelType w:val="hybridMultilevel"/>
    <w:lvl w:ilvl="0">
      <w:lvlJc w:val="left"/>
      <w:lvlText w:val="(%1)"/>
      <w:numFmt w:val="lowerLetter"/>
      <w:start w:val="6"/>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2"/>
    </w:lvl>
  </w:abstractNum>
  <w:abstractNum w:abstractNumId="11">
    <w:nsid w:val="4353D0CD"/>
    <w:multiLevelType w:val="hybridMultilevel"/>
    <w:lvl w:ilvl="0">
      <w:lvlJc w:val="left"/>
      <w:lvlText w:val="(%1)"/>
      <w:numFmt w:val="lowerLetter"/>
      <w:start w:val="3"/>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lvl w:ilvl="1">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1."/>
      <w:numFmt w:val="decimal"/>
      <w:start w:val="4"/>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decimal"/>
      <w:start w:val="5"/>
    </w:lvl>
  </w:abstractNum>
  <w:abstractNum w:abstractNumId="27">
    <w:nsid w:val="3006C83E"/>
    <w:multiLevelType w:val="hybridMultilevel"/>
    <w:lvl w:ilvl="0">
      <w:lvlJc w:val="left"/>
      <w:lvlText w:val="(%1)"/>
      <w:numFmt w:val="decimal"/>
      <w:start w:val="12"/>
    </w:lvl>
  </w:abstractNum>
  <w:abstractNum w:abstractNumId="28">
    <w:nsid w:val="614FD4A1"/>
    <w:multiLevelType w:val="hybridMultilevel"/>
    <w:lvl w:ilvl="0">
      <w:lvlJc w:val="left"/>
      <w:lvlText w:val="%1."/>
      <w:numFmt w:val="decimal"/>
      <w:start w:val="8"/>
    </w:lvl>
    <w:lvl w:ilvl="1">
      <w:lvlJc w:val="left"/>
      <w:lvlText w:val="(%2)"/>
      <w:numFmt w:val="lowerLetter"/>
      <w:start w:val="1"/>
    </w:lvl>
  </w:abstractNum>
  <w:abstractNum w:abstractNumId="29">
    <w:nsid w:val="419AC241"/>
    <w:multiLevelType w:val="hybridMultilevel"/>
    <w:lvl w:ilvl="0">
      <w:lvlJc w:val="left"/>
      <w:lvlText w:val="%1"/>
      <w:numFmt w:val="decimal"/>
      <w:start w:val="1"/>
    </w:lvl>
    <w:lvl w:ilvl="1">
      <w:lvlJc w:val="left"/>
      <w:lvlText w:val="(%2)"/>
      <w:numFmt w:val="lowerLetter"/>
      <w:start w:val="3"/>
    </w:lvl>
  </w:abstractNum>
  <w:abstractNum w:abstractNumId="30">
    <w:nsid w:val="5577F8E1"/>
    <w:multiLevelType w:val="hybridMultilevel"/>
    <w:lvl w:ilvl="0">
      <w:lvlJc w:val="left"/>
      <w:lvlText w:val="%1."/>
      <w:numFmt w:val="decimal"/>
      <w:start w:val="10"/>
    </w:lvl>
    <w:lvl w:ilvl="1">
      <w:lvlJc w:val="left"/>
      <w:lvlText w:val="%2"/>
      <w:numFmt w:val="lowerLetter"/>
      <w:start w:val="1"/>
    </w:lvl>
  </w:abstractNum>
  <w:abstractNum w:abstractNumId="31">
    <w:nsid w:val="440BADFC"/>
    <w:multiLevelType w:val="hybridMultilevel"/>
    <w:lvl w:ilvl="0">
      <w:lvlJc w:val="left"/>
      <w:lvlText w:val="%1."/>
      <w:numFmt w:val="decimal"/>
      <w:start w:val="13"/>
    </w:lvl>
  </w:abstractNum>
  <w:abstractNum w:abstractNumId="32">
    <w:nsid w:val="5072367"/>
    <w:multiLevelType w:val="hybridMultilevel"/>
    <w:lvl w:ilvl="0">
      <w:lvlJc w:val="left"/>
      <w:lvlText w:val="%1."/>
      <w:numFmt w:val="decimal"/>
      <w:start w:val="14"/>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5"/>
    </w:lvl>
  </w:abstractNum>
  <w:abstractNum w:abstractNumId="35">
    <w:nsid w:val="7724C67E"/>
    <w:multiLevelType w:val="hybridMultilevel"/>
    <w:lvl w:ilvl="0">
      <w:lvlJc w:val="left"/>
      <w:lvlText w:val="(%1)"/>
      <w:numFmt w:val="lowerLetter"/>
      <w:start w:val="2"/>
    </w:lvl>
  </w:abstractNum>
  <w:abstractNum w:abstractNumId="36">
    <w:nsid w:val="5C482A97"/>
    <w:multiLevelType w:val="hybridMultilevel"/>
    <w:lvl w:ilvl="0">
      <w:lvlJc w:val="left"/>
      <w:lvlText w:val="%1."/>
      <w:numFmt w:val="decimal"/>
      <w:start w:val="16"/>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62" Type="http://schemas.openxmlformats.org/officeDocument/2006/relationships/hyperlink" Target="http://www.sec.gov/Archives/edgar/data/1591698/000104746914000931/a2218171zex-3_2.htm" TargetMode="External"/><Relationship Id="rId63"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2019-12-29T03:34:14Z</dcterms:created>
  <dcterms:modified xsi:type="dcterms:W3CDTF">2019-12-29T03:34:14Z</dcterms:modified>
</cp:coreProperties>
</file>