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180"/>
        <w:spacing w:after="0"/>
        <w:tabs>
          <w:tab w:leader="none" w:pos="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PAYLOCITY HOLDING CORPORATION</w:t>
      </w:r>
    </w:p>
    <w:p>
      <w:pPr>
        <w:spacing w:after="0" w:line="40"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6400" w:type="dxa"/>
            <w:vAlign w:val="bottom"/>
            <w:gridSpan w:val="3"/>
          </w:tcPr>
          <w:p>
            <w:pPr>
              <w:jc w:val="center"/>
              <w:ind w:left="219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308"/>
        </w:trPr>
        <w:tc>
          <w:tcPr>
            <w:tcW w:w="2900" w:type="dxa"/>
            <w:vAlign w:val="bottom"/>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9"/>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46-4066644</w:t>
            </w:r>
          </w:p>
        </w:tc>
      </w:tr>
      <w:tr>
        <w:trPr>
          <w:trHeight w:val="216"/>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3"/>
              </w:rPr>
              <w:t>3850 N. Wilke Road</w:t>
            </w:r>
          </w:p>
        </w:tc>
        <w:tc>
          <w:tcPr>
            <w:tcW w:w="1520" w:type="dxa"/>
            <w:vAlign w:val="bottom"/>
          </w:tcPr>
          <w:p>
            <w:pPr>
              <w:spacing w:after="0"/>
              <w:rPr>
                <w:sz w:val="24"/>
                <w:szCs w:val="24"/>
                <w:color w:val="auto"/>
              </w:rPr>
            </w:pPr>
          </w:p>
        </w:tc>
      </w:tr>
      <w:tr>
        <w:trPr>
          <w:trHeight w:val="22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2"/>
              </w:rPr>
              <w:t>Arlington Heights, Illinois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60004</w:t>
            </w:r>
          </w:p>
        </w:tc>
      </w:tr>
      <w:tr>
        <w:trPr>
          <w:trHeight w:val="23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578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0"/>
              </w:rPr>
              <w:t>(847) 463-3200</w:t>
            </w: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6400" w:type="dxa"/>
            <w:vAlign w:val="bottom"/>
            <w:gridSpan w:val="3"/>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firstLine="44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0" w:firstLine="44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00"/>
          </w:cols>
          <w:pgMar w:left="240" w:top="233" w:right="259" w:bottom="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1780" w:space="720"/>
            <w:col w:w="4400" w:space="720"/>
            <w:col w:w="2800" w:space="720"/>
            <w:col w:w="260"/>
          </w:cols>
          <w:pgMar w:left="240" w:top="233" w:right="25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1780" w:space="720"/>
            <w:col w:w="4400" w:space="720"/>
            <w:col w:w="2800" w:space="720"/>
            <w:col w:w="260"/>
          </w:cols>
          <w:pgMar w:left="240" w:top="233" w:right="259" w:bottom="0" w:gutter="0" w:footer="0" w:header="0"/>
          <w:type w:val="continuous"/>
        </w:sectPr>
      </w:pPr>
    </w:p>
    <w:p>
      <w:pPr>
        <w:spacing w:after="0" w:line="4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580" w:firstLine="441"/>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51,343,799 shares of Common Stock, $0.001 par value per share, as of October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ectPr>
          <w:pgSz w:w="11900" w:h="16838" w:orient="portrait"/>
          <w:cols w:equalWidth="0" w:num="1">
            <w:col w:w="11400"/>
          </w:cols>
          <w:pgMar w:left="240" w:top="233"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385"/>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10"/>
          </w:tcPr>
          <w:p>
            <w:pPr>
              <w:jc w:val="center"/>
              <w:ind w:right="1000"/>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 FINANCIAL INFORMATION</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ITEM 1. FINANCIAL STATEMENTS</w:t>
              </w:r>
            </w:hyperlink>
          </w:p>
        </w:tc>
        <w:tc>
          <w:tcPr>
            <w:tcW w:w="1000" w:type="dxa"/>
            <w:vAlign w:val="bottom"/>
            <w:gridSpan w:val="6"/>
          </w:tcPr>
          <w:p>
            <w:pPr>
              <w:spacing w:after="0"/>
              <w:rPr>
                <w:sz w:val="24"/>
                <w:szCs w:val="24"/>
                <w:color w:val="auto"/>
              </w:rPr>
            </w:pPr>
          </w:p>
        </w:tc>
        <w:tc>
          <w:tcPr>
            <w:tcW w:w="2880" w:type="dxa"/>
            <w:vAlign w:val="bottom"/>
            <w:tcBorders>
              <w:top w:val="single" w:sz="8" w:color="0000EE"/>
            </w:tcBorders>
            <w:gridSpan w:val="6"/>
          </w:tcPr>
          <w:p>
            <w:pPr>
              <w:spacing w:after="0"/>
              <w:rPr>
                <w:sz w:val="24"/>
                <w:szCs w:val="24"/>
                <w:color w:val="auto"/>
              </w:rPr>
            </w:pPr>
          </w:p>
        </w:tc>
        <w:tc>
          <w:tcPr>
            <w:tcW w:w="114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Unaudited Consolidated Balance Sheets</w:t>
              </w:r>
            </w:hyperlink>
          </w:p>
        </w:tc>
        <w:tc>
          <w:tcPr>
            <w:tcW w:w="494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36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Operations</w:t>
              </w:r>
            </w:hyperlink>
          </w:p>
        </w:tc>
        <w:tc>
          <w:tcPr>
            <w:tcW w:w="422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51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Statement of Changes in Stockholders’ Equity</w:t>
              </w:r>
            </w:hyperlink>
          </w:p>
        </w:tc>
        <w:tc>
          <w:tcPr>
            <w:tcW w:w="27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36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Cash Flows</w:t>
              </w:r>
            </w:hyperlink>
          </w:p>
        </w:tc>
        <w:tc>
          <w:tcPr>
            <w:tcW w:w="416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412"/>
        </w:trPr>
        <w:tc>
          <w:tcPr>
            <w:tcW w:w="42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Unaudited Consolidated Financial Statements</w:t>
              </w:r>
            </w:hyperlink>
          </w:p>
        </w:tc>
        <w:tc>
          <w:tcPr>
            <w:tcW w:w="36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9960" w:type="dxa"/>
            <w:vAlign w:val="bottom"/>
            <w:gridSpan w:val="2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2. MANAGEMENT’S DISCUSSION AND ANALYSIS OF FINANCIAL CONDITION AND RESULTS OF OPERATIONS</w:t>
              </w:r>
            </w:hyperlink>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14</w:t>
            </w:r>
          </w:p>
        </w:tc>
      </w:tr>
      <w:tr>
        <w:trPr>
          <w:trHeight w:val="412"/>
        </w:trPr>
        <w:tc>
          <w:tcPr>
            <w:tcW w:w="682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3. QUANTITATIVE AND QUALITATIVE DISCLOSURES ABOUT MARKET RISK</w:t>
              </w:r>
            </w:hyperlink>
          </w:p>
        </w:tc>
        <w:tc>
          <w:tcPr>
            <w:tcW w:w="10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r>
      <w:tr>
        <w:trPr>
          <w:trHeight w:val="412"/>
        </w:trPr>
        <w:tc>
          <w:tcPr>
            <w:tcW w:w="784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4. CONTROLS AND PROCEDURES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r>
      <w:tr>
        <w:trPr>
          <w:trHeight w:val="412"/>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PART II. OTHER INFORMATION</w:t>
              </w:r>
            </w:hyperlink>
          </w:p>
        </w:tc>
        <w:tc>
          <w:tcPr>
            <w:tcW w:w="130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784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 LEGAL PROCEEDINGS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r>
      <w:tr>
        <w:trPr>
          <w:trHeight w:val="412"/>
        </w:trPr>
        <w:tc>
          <w:tcPr>
            <w:tcW w:w="2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1A. RISK FACTORS</w:t>
              </w:r>
            </w:hyperlink>
          </w:p>
        </w:tc>
        <w:tc>
          <w:tcPr>
            <w:tcW w:w="480" w:type="dxa"/>
            <w:vAlign w:val="bottom"/>
            <w:tcBorders>
              <w:top w:val="single" w:sz="8" w:color="0000EE"/>
            </w:tcBorders>
          </w:tcPr>
          <w:p>
            <w:pPr>
              <w:spacing w:after="0"/>
              <w:rPr>
                <w:sz w:val="24"/>
                <w:szCs w:val="24"/>
                <w:color w:val="auto"/>
              </w:rPr>
            </w:pPr>
          </w:p>
        </w:tc>
        <w:tc>
          <w:tcPr>
            <w:tcW w:w="5300" w:type="dxa"/>
            <w:vAlign w:val="bottom"/>
            <w:gridSpan w:val="17"/>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r>
      <w:tr>
        <w:trPr>
          <w:trHeight w:val="412"/>
        </w:trPr>
        <w:tc>
          <w:tcPr>
            <w:tcW w:w="784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UNREGISTERED SALES OF EQUITY SECURITIES AND USE OF PROCEEDS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r>
      <w:tr>
        <w:trPr>
          <w:trHeight w:val="412"/>
        </w:trPr>
        <w:tc>
          <w:tcPr>
            <w:tcW w:w="38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 DEFAULTS UPON SENIOR SECURITIES</w:t>
              </w:r>
            </w:hyperlink>
          </w:p>
        </w:tc>
        <w:tc>
          <w:tcPr>
            <w:tcW w:w="2880" w:type="dxa"/>
            <w:vAlign w:val="bottom"/>
            <w:tcBorders>
              <w:top w:val="single" w:sz="8" w:color="0000EE"/>
            </w:tcBorders>
            <w:gridSpan w:val="6"/>
          </w:tcPr>
          <w:p>
            <w:pPr>
              <w:spacing w:after="0"/>
              <w:rPr>
                <w:sz w:val="24"/>
                <w:szCs w:val="24"/>
                <w:color w:val="auto"/>
              </w:rPr>
            </w:pPr>
          </w:p>
        </w:tc>
        <w:tc>
          <w:tcPr>
            <w:tcW w:w="11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43</w:t>
            </w:r>
          </w:p>
        </w:tc>
      </w:tr>
      <w:tr>
        <w:trPr>
          <w:trHeight w:val="412"/>
        </w:trPr>
        <w:tc>
          <w:tcPr>
            <w:tcW w:w="31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ITEM 4. MINE SAFETY DISCLOSURES</w:t>
              </w:r>
            </w:hyperlink>
          </w:p>
        </w:tc>
        <w:tc>
          <w:tcPr>
            <w:tcW w:w="472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43</w:t>
            </w:r>
          </w:p>
        </w:tc>
      </w:tr>
      <w:tr>
        <w:trPr>
          <w:trHeight w:val="412"/>
        </w:trPr>
        <w:tc>
          <w:tcPr>
            <w:tcW w:w="25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ITEM 5. OTHER INFORMATION</w:t>
              </w:r>
            </w:hyperlink>
          </w:p>
        </w:tc>
        <w:tc>
          <w:tcPr>
            <w:tcW w:w="5280" w:type="dxa"/>
            <w:vAlign w:val="bottom"/>
            <w:gridSpan w:val="16"/>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43</w:t>
            </w:r>
          </w:p>
        </w:tc>
      </w:tr>
      <w:tr>
        <w:trPr>
          <w:trHeight w:val="412"/>
        </w:trPr>
        <w:tc>
          <w:tcPr>
            <w:tcW w:w="15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6. EXHIBITS</w:t>
              </w:r>
            </w:hyperlink>
          </w:p>
        </w:tc>
        <w:tc>
          <w:tcPr>
            <w:tcW w:w="6340" w:type="dxa"/>
            <w:vAlign w:val="bottom"/>
            <w:gridSpan w:val="19"/>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43</w:t>
            </w:r>
          </w:p>
        </w:tc>
      </w:tr>
      <w:tr>
        <w:trPr>
          <w:trHeight w:val="412"/>
        </w:trPr>
        <w:tc>
          <w:tcPr>
            <w:tcW w:w="784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44</w:t>
            </w:r>
          </w:p>
        </w:tc>
      </w:tr>
      <w:tr>
        <w:trPr>
          <w:trHeight w:val="453"/>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40" w:type="dxa"/>
            <w:vAlign w:val="bottom"/>
            <w:gridSpan w:val="17"/>
          </w:tcPr>
          <w:p>
            <w:pPr>
              <w:jc w:val="center"/>
              <w:ind w:left="3690"/>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0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84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4"/>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98"/>
              </w:rPr>
              <w:t>PART I</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6"/>
          </w:tcPr>
          <w:p>
            <w:pPr>
              <w:jc w:val="center"/>
              <w:ind w:right="640"/>
              <w:spacing w:after="0"/>
              <w:rPr>
                <w:sz w:val="20"/>
                <w:szCs w:val="20"/>
                <w:color w:val="auto"/>
              </w:rPr>
            </w:pPr>
            <w:r>
              <w:rPr>
                <w:rFonts w:ascii="Arial" w:cs="Arial" w:eastAsia="Arial" w:hAnsi="Arial"/>
                <w:sz w:val="18"/>
                <w:szCs w:val="18"/>
                <w:b w:val="1"/>
                <w:bCs w:val="1"/>
                <w:color w:val="auto"/>
              </w:rPr>
              <w:t>FINANCIAL INFORMATION</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80" w:type="dxa"/>
            <w:vAlign w:val="bottom"/>
            <w:gridSpan w:val="22"/>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rPr>
              <w:t>PAYLOCITY HOLDING CORPORATION</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6"/>
          </w:tcPr>
          <w:p>
            <w:pPr>
              <w:jc w:val="center"/>
              <w:ind w:right="6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2"/>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r>
      <w:tr>
        <w:trPr>
          <w:trHeight w:val="171"/>
        </w:trPr>
        <w:tc>
          <w:tcPr>
            <w:tcW w:w="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840" w:type="dxa"/>
            <w:vAlign w:val="bottom"/>
            <w:gridSpan w:val="23"/>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86,496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77,998</w:t>
            </w:r>
          </w:p>
        </w:tc>
        <w:tc>
          <w:tcPr>
            <w:tcW w:w="40" w:type="dxa"/>
            <w:vAlign w:val="bottom"/>
          </w:tcPr>
          <w:p>
            <w:pPr>
              <w:spacing w:after="0"/>
              <w:rPr>
                <w:sz w:val="18"/>
                <w:szCs w:val="18"/>
                <w:color w:val="auto"/>
              </w:rPr>
            </w:pPr>
          </w:p>
        </w:tc>
      </w:tr>
      <w:tr>
        <w:trPr>
          <w:trHeight w:val="216"/>
        </w:trPr>
        <w:tc>
          <w:tcPr>
            <w:tcW w:w="7840" w:type="dxa"/>
            <w:vAlign w:val="bottom"/>
            <w:gridSpan w:val="23"/>
          </w:tcPr>
          <w:p>
            <w:pPr>
              <w:ind w:left="20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1,681</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1,757</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7,409</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6,432</w:t>
            </w:r>
          </w:p>
        </w:tc>
        <w:tc>
          <w:tcPr>
            <w:tcW w:w="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380"/>
              <w:spacing w:after="0"/>
              <w:rPr>
                <w:sz w:val="20"/>
                <w:szCs w:val="20"/>
                <w:color w:val="auto"/>
              </w:rPr>
            </w:pPr>
            <w:r>
              <w:rPr>
                <w:rFonts w:ascii="Arial" w:cs="Arial" w:eastAsia="Arial" w:hAnsi="Arial"/>
                <w:sz w:val="18"/>
                <w:szCs w:val="18"/>
                <w:color w:val="auto"/>
              </w:rPr>
              <w:t>Total current assets before funds held for clients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95,586</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86,187</w:t>
            </w:r>
          </w:p>
        </w:tc>
        <w:tc>
          <w:tcPr>
            <w:tcW w:w="40" w:type="dxa"/>
            <w:vAlign w:val="bottom"/>
          </w:tcPr>
          <w:p>
            <w:pPr>
              <w:spacing w:after="0"/>
              <w:rPr>
                <w:sz w:val="18"/>
                <w:szCs w:val="18"/>
                <w:color w:val="auto"/>
              </w:rPr>
            </w:pPr>
          </w:p>
        </w:tc>
      </w:tr>
      <w:tr>
        <w:trPr>
          <w:trHeight w:val="216"/>
        </w:trPr>
        <w:tc>
          <w:tcPr>
            <w:tcW w:w="7840" w:type="dxa"/>
            <w:vAlign w:val="bottom"/>
            <w:gridSpan w:val="23"/>
          </w:tcPr>
          <w:p>
            <w:pPr>
              <w:ind w:left="200"/>
              <w:spacing w:after="0"/>
              <w:rPr>
                <w:sz w:val="20"/>
                <w:szCs w:val="20"/>
                <w:color w:val="auto"/>
              </w:rPr>
            </w:pPr>
            <w:r>
              <w:rPr>
                <w:rFonts w:ascii="Arial" w:cs="Arial" w:eastAsia="Arial" w:hAnsi="Arial"/>
                <w:sz w:val="18"/>
                <w:szCs w:val="18"/>
                <w:color w:val="auto"/>
              </w:rPr>
              <w:t>Funds held for clients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1,239,622</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770,948</w:t>
            </w:r>
          </w:p>
        </w:tc>
        <w:tc>
          <w:tcPr>
            <w:tcW w:w="40" w:type="dxa"/>
            <w:vAlign w:val="bottom"/>
          </w:tcPr>
          <w:p>
            <w:pPr>
              <w:spacing w:after="0"/>
              <w:rPr>
                <w:sz w:val="18"/>
                <w:szCs w:val="18"/>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tcPr>
          <w:p>
            <w:pPr>
              <w:ind w:left="38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1,335,208</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857,135</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18"/>
                <w:szCs w:val="18"/>
                <w:color w:val="auto"/>
              </w:rPr>
            </w:pPr>
          </w:p>
        </w:tc>
      </w:tr>
      <w:tr>
        <w:trPr>
          <w:trHeight w:val="216"/>
        </w:trPr>
        <w:tc>
          <w:tcPr>
            <w:tcW w:w="7840" w:type="dxa"/>
            <w:vAlign w:val="bottom"/>
            <w:gridSpan w:val="23"/>
          </w:tcPr>
          <w:p>
            <w:pPr>
              <w:spacing w:after="0"/>
              <w:rPr>
                <w:sz w:val="20"/>
                <w:szCs w:val="20"/>
                <w:color w:val="auto"/>
              </w:rPr>
            </w:pPr>
            <w:r>
              <w:rPr>
                <w:rFonts w:ascii="Arial" w:cs="Arial" w:eastAsia="Arial" w:hAnsi="Arial"/>
                <w:sz w:val="18"/>
                <w:szCs w:val="18"/>
                <w:color w:val="auto"/>
              </w:rPr>
              <w:t>Capitalized internal-use software,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11,427</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13,052</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26,787</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28,681</w:t>
            </w:r>
          </w:p>
        </w:tc>
        <w:tc>
          <w:tcPr>
            <w:tcW w:w="40" w:type="dxa"/>
            <w:vAlign w:val="bottom"/>
          </w:tcPr>
          <w:p>
            <w:pPr>
              <w:spacing w:after="0"/>
              <w:rPr>
                <w:sz w:val="18"/>
                <w:szCs w:val="18"/>
                <w:color w:val="auto"/>
              </w:rPr>
            </w:pPr>
          </w:p>
        </w:tc>
      </w:tr>
      <w:tr>
        <w:trPr>
          <w:trHeight w:val="216"/>
        </w:trPr>
        <w:tc>
          <w:tcPr>
            <w:tcW w:w="7840" w:type="dxa"/>
            <w:vAlign w:val="bottom"/>
            <w:gridSpan w:val="23"/>
          </w:tcPr>
          <w:p>
            <w:pPr>
              <w:spacing w:after="0"/>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10,419</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10,038</w:t>
            </w:r>
          </w:p>
        </w:tc>
        <w:tc>
          <w:tcPr>
            <w:tcW w:w="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6,003</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6,003</w:t>
            </w:r>
          </w:p>
        </w:tc>
        <w:tc>
          <w:tcPr>
            <w:tcW w:w="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1,390,689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915,442</w:t>
            </w:r>
          </w:p>
        </w:tc>
        <w:tc>
          <w:tcPr>
            <w:tcW w:w="40" w:type="dxa"/>
            <w:vAlign w:val="bottom"/>
          </w:tcPr>
          <w:p>
            <w:pPr>
              <w:spacing w:after="0"/>
              <w:rPr>
                <w:sz w:val="18"/>
                <w:szCs w:val="18"/>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-4331970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-4331970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24,979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8"/>
                <w:szCs w:val="18"/>
                <w:color w:val="auto"/>
              </w:rPr>
              <w:t>Total current liabilities before client fund obligations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26,600</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1,239,622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770,948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1,266,222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791,992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4,646</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1,271,117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 June 30, 2016 and</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2016</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$0.001 par value, 155,000 shares authorized at June 30, 2016 and September 30, 2016;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8"/>
                <w:szCs w:val="18"/>
                <w:color w:val="auto"/>
                <w:w w:val="95"/>
              </w:rPr>
              <w:t>51,132 shares issued and outstanding at June 30, 2016 and 51,332 shares issued and outstanding at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360"/>
              <w:spacing w:after="0"/>
              <w:rPr>
                <w:sz w:val="20"/>
                <w:szCs w:val="20"/>
                <w:color w:val="auto"/>
              </w:rPr>
            </w:pPr>
            <w:r>
              <w:rPr>
                <w:rFonts w:ascii="Arial" w:cs="Arial" w:eastAsia="Arial" w:hAnsi="Arial"/>
                <w:sz w:val="18"/>
                <w:szCs w:val="18"/>
                <w:color w:val="auto"/>
              </w:rPr>
              <w:t>September 30, 2016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171,515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(51,994)</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(54,562)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1,390,689</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Recurring fees</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42,363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recurring revenues</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42,891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8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2,217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revenues</w:t>
            </w:r>
          </w:p>
        </w:tc>
        <w:tc>
          <w:tcPr>
            <w:tcW w:w="8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45,108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Recurring revenues</w:t>
            </w:r>
          </w:p>
        </w:tc>
        <w:tc>
          <w:tcPr>
            <w:tcW w:w="8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13,157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Implementation services and other</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20,195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8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24,913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12,450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10,451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28,330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loss</w:t>
            </w: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(3,417)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540"/>
              <w:spacing w:after="0"/>
              <w:rPr>
                <w:sz w:val="20"/>
                <w:szCs w:val="20"/>
                <w:color w:val="auto"/>
              </w:rPr>
            </w:pPr>
            <w:r>
              <w:rPr>
                <w:rFonts w:ascii="Arial" w:cs="Arial" w:eastAsia="Arial" w:hAnsi="Arial"/>
                <w:sz w:val="18"/>
                <w:szCs w:val="18"/>
                <w:color w:val="auto"/>
              </w:rPr>
              <w:t>Loss before income taxes</w:t>
            </w:r>
          </w:p>
        </w:tc>
        <w:tc>
          <w:tcPr>
            <w:tcW w:w="8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(3,334)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Weighted-average shares used in computing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7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7630"/>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50,744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1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8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50,744</w:t>
            </w:r>
          </w:p>
        </w:tc>
        <w:tc>
          <w:tcPr>
            <w:tcW w:w="2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51,231</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60" w:type="dxa"/>
            <w:vAlign w:val="bottom"/>
            <w:gridSpan w:val="11"/>
          </w:tcPr>
          <w:p>
            <w:pPr>
              <w:jc w:val="center"/>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40" w:type="dxa"/>
            <w:vAlign w:val="bottom"/>
            <w:gridSpan w:val="3"/>
          </w:tcPr>
          <w:p>
            <w:pPr>
              <w:jc w:val="center"/>
              <w:ind w:left="2630"/>
              <w:spacing w:after="0"/>
              <w:rPr>
                <w:sz w:val="20"/>
                <w:szCs w:val="20"/>
                <w:color w:val="auto"/>
              </w:rPr>
            </w:pPr>
            <w:r>
              <w:rPr>
                <w:rFonts w:ascii="Arial" w:cs="Arial" w:eastAsia="Arial" w:hAnsi="Arial"/>
                <w:sz w:val="18"/>
                <w:szCs w:val="18"/>
                <w:color w:val="auto"/>
                <w:w w:val="99"/>
              </w:rPr>
              <w:t>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4720" w:type="dxa"/>
            <w:vAlign w:val="bottom"/>
            <w:gridSpan w:val="8"/>
          </w:tcPr>
          <w:p>
            <w:pPr>
              <w:jc w:val="center"/>
              <w:ind w:left="1070"/>
              <w:spacing w:after="0"/>
              <w:rPr>
                <w:sz w:val="20"/>
                <w:szCs w:val="20"/>
                <w:color w:val="auto"/>
              </w:rPr>
            </w:pPr>
            <w:r>
              <w:rPr>
                <w:rFonts w:ascii="Arial" w:cs="Arial" w:eastAsia="Arial" w:hAnsi="Arial"/>
                <w:sz w:val="18"/>
                <w:szCs w:val="18"/>
                <w:b w:val="1"/>
                <w:bCs w:val="1"/>
                <w:color w:val="auto"/>
              </w:rPr>
              <w:t>PAYLOCITY HOLDING CORPORATION</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9"/>
              </w:rPr>
              <w:t>Unaudited Consolidated Statement of Changes in 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40" w:type="dxa"/>
            <w:vAlign w:val="bottom"/>
            <w:gridSpan w:val="3"/>
          </w:tcPr>
          <w:p>
            <w:pPr>
              <w:jc w:val="center"/>
              <w:ind w:left="35"/>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Stockholders’ Equity</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340" w:type="dxa"/>
            <w:vAlign w:val="bottom"/>
            <w:gridSpan w:val="3"/>
            <w:vMerge w:val="restart"/>
          </w:tcPr>
          <w:p>
            <w:pPr>
              <w:jc w:val="right"/>
              <w:ind w:right="4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Shares</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June 30, 2016</w:t>
            </w:r>
          </w:p>
        </w:tc>
        <w:tc>
          <w:tcPr>
            <w:tcW w:w="17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51,132</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171,515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(51,994)</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w w:val="95"/>
              </w:rPr>
              <w:t>Stock-based compensation expense</w:t>
            </w:r>
          </w:p>
        </w:tc>
        <w:tc>
          <w:tcPr>
            <w:tcW w:w="17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3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20" w:type="dxa"/>
            <w:vAlign w:val="bottom"/>
            <w:gridSpan w:val="5"/>
          </w:tcPr>
          <w:p>
            <w:pPr>
              <w:spacing w:after="0" w:line="201" w:lineRule="exact"/>
              <w:rPr>
                <w:sz w:val="20"/>
                <w:szCs w:val="20"/>
                <w:color w:val="auto"/>
              </w:rPr>
            </w:pPr>
            <w:r>
              <w:rPr>
                <w:rFonts w:ascii="Arial" w:cs="Arial" w:eastAsia="Arial" w:hAnsi="Arial"/>
                <w:sz w:val="18"/>
                <w:szCs w:val="18"/>
                <w:color w:val="auto"/>
              </w:rPr>
              <w:t>Issuance of common stock upon vesting of restricted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3140" w:type="dxa"/>
            <w:vAlign w:val="bottom"/>
            <w:gridSpan w:val="3"/>
          </w:tcPr>
          <w:p>
            <w:pPr>
              <w:jc w:val="right"/>
              <w:ind w:right="300"/>
              <w:spacing w:after="0"/>
              <w:rPr>
                <w:sz w:val="20"/>
                <w:szCs w:val="20"/>
                <w:color w:val="auto"/>
              </w:rPr>
            </w:pPr>
            <w:r>
              <w:rPr>
                <w:rFonts w:ascii="Arial" w:cs="Arial" w:eastAsia="Arial" w:hAnsi="Arial"/>
                <w:sz w:val="18"/>
                <w:szCs w:val="18"/>
                <w:color w:val="auto"/>
              </w:rPr>
              <w:t>215</w:t>
            </w:r>
          </w:p>
        </w:tc>
        <w:tc>
          <w:tcPr>
            <w:tcW w:w="9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 price related to</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awards</w:t>
            </w:r>
          </w:p>
        </w:tc>
        <w:tc>
          <w:tcPr>
            <w:tcW w:w="3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9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(2,568)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2016</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173,158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(54,562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-2753995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-2753995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equipment</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540"/>
              <w:spacing w:after="0"/>
              <w:rPr>
                <w:sz w:val="20"/>
                <w:szCs w:val="20"/>
                <w:color w:val="auto"/>
              </w:rPr>
            </w:pPr>
            <w:r>
              <w:rPr>
                <w:rFonts w:ascii="Arial" w:cs="Arial" w:eastAsia="Arial" w:hAnsi="Arial"/>
                <w:sz w:val="18"/>
                <w:szCs w:val="18"/>
                <w:color w:val="auto"/>
              </w:rPr>
              <w:t>Prepaid expenses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Trade accounts payable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Capitalized internal-use software costs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(2,043)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Payments for acquisitions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funds held for clients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client funds obligation</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(50,338)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81,258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6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Build-out allowances received from landlords</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7"/>
              </w:rPr>
              <w:t>Purchase of property and equipment and capitalized internal-use software, accrued but not paid</w:t>
            </w:r>
          </w:p>
        </w:tc>
        <w:tc>
          <w:tcPr>
            <w:tcW w:w="6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5960" w:type="dxa"/>
            <w:vAlign w:val="bottom"/>
          </w:tcPr>
          <w:p>
            <w:pPr>
              <w:ind w:left="200"/>
              <w:spacing w:after="0"/>
              <w:rPr>
                <w:sz w:val="20"/>
                <w:szCs w:val="20"/>
                <w:color w:val="auto"/>
              </w:rPr>
            </w:pPr>
            <w:r>
              <w:rPr>
                <w:rFonts w:ascii="Arial" w:cs="Arial" w:eastAsia="Arial" w:hAnsi="Arial"/>
                <w:sz w:val="18"/>
                <w:szCs w:val="18"/>
                <w:color w:val="auto"/>
              </w:rPr>
              <w:t>Cash paid for income taxes, net of refunds</w:t>
            </w:r>
          </w:p>
        </w:tc>
        <w:tc>
          <w:tcPr>
            <w:tcW w:w="29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0</wp:posOffset>
            </wp:positionV>
            <wp:extent cx="1912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2620" cy="2603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8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7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2016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2016 included in the Company’s Annual Report on Form 10-K filed with the SEC on August 12, 2016.</w:t>
      </w:r>
    </w:p>
    <w:p>
      <w:pPr>
        <w:spacing w:after="0" w:line="16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Differences in the normal relationship between the income tax expense and pre-tax loss materially result from the existence of a valuation allowance recorded against the preponderance of the net deferred tax assets.</w:t>
      </w:r>
    </w:p>
    <w:p>
      <w:pPr>
        <w:spacing w:after="0" w:line="17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and May 2016, the FASB issued ASU 2016-08,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Principal versus Agent Considerations (Reporting Revenue Gross versus Net) </w:t>
      </w:r>
      <w:r>
        <w:rPr>
          <w:rFonts w:ascii="Arial" w:cs="Arial" w:eastAsia="Arial" w:hAnsi="Arial"/>
          <w:sz w:val="16"/>
          <w:szCs w:val="16"/>
          <w:color w:val="auto"/>
        </w:rPr>
        <w:t>(“ASU 2016-08”), ASU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and ASU 2016-12,</w:t>
      </w:r>
      <w:r>
        <w:rPr>
          <w:rFonts w:ascii="Arial" w:cs="Arial" w:eastAsia="Arial" w:hAnsi="Arial"/>
          <w:sz w:val="16"/>
          <w:szCs w:val="16"/>
          <w:i w:val="1"/>
          <w:iCs w:val="1"/>
          <w:color w:val="auto"/>
        </w:rPr>
        <w:t xml:space="preserve"> Revenue from Contracts with Customers (Topic 606):</w:t>
      </w:r>
    </w:p>
    <w:p>
      <w:pPr>
        <w:sectPr>
          <w:pgSz w:w="11900" w:h="16838" w:orient="portrait"/>
          <w:cols w:equalWidth="0" w:num="1">
            <w:col w:w="11420"/>
          </w:cols>
          <w:pgMar w:left="240" w:top="125" w:right="239" w:bottom="0" w:gutter="0" w:footer="0" w:header="0"/>
        </w:sectPr>
      </w:pPr>
    </w:p>
    <w:bookmarkStart w:id="5" w:name="page6"/>
    <w:bookmarkEnd w:id="5"/>
    <w:p>
      <w:pPr>
        <w:ind w:right="200"/>
        <w:spacing w:after="0" w:line="276" w:lineRule="auto"/>
        <w:rPr>
          <w:sz w:val="20"/>
          <w:szCs w:val="20"/>
          <w:color w:val="auto"/>
        </w:rPr>
      </w:pPr>
      <w:r>
        <w:rPr>
          <w:rFonts w:ascii="Arial" w:cs="Arial" w:eastAsia="Arial" w:hAnsi="Arial"/>
          <w:sz w:val="17"/>
          <w:szCs w:val="17"/>
          <w:i w:val="1"/>
          <w:iCs w:val="1"/>
          <w:color w:val="auto"/>
        </w:rPr>
        <w:t xml:space="preserve">Narrow-Scope Improvements and Practical Expedients </w:t>
      </w:r>
      <w:r>
        <w:rPr>
          <w:rFonts w:ascii="Arial" w:cs="Arial" w:eastAsia="Arial" w:hAnsi="Arial"/>
          <w:sz w:val="17"/>
          <w:szCs w:val="17"/>
          <w:color w:val="auto"/>
        </w:rPr>
        <w:t>(“ASU 2016-12”), respectively, to amend certain guidance in ASU 2014-09. Topic 606 allows for</w:t>
      </w:r>
      <w:r>
        <w:rPr>
          <w:rFonts w:ascii="Arial" w:cs="Arial" w:eastAsia="Arial" w:hAnsi="Arial"/>
          <w:sz w:val="17"/>
          <w:szCs w:val="17"/>
          <w:i w:val="1"/>
          <w:iCs w:val="1"/>
          <w:color w:val="auto"/>
        </w:rPr>
        <w:t xml:space="preserve"> </w:t>
      </w:r>
      <w:r>
        <w:rPr>
          <w:rFonts w:ascii="Arial" w:cs="Arial" w:eastAsia="Arial" w:hAnsi="Arial"/>
          <w:sz w:val="17"/>
          <w:szCs w:val="17"/>
          <w:color w:val="auto"/>
        </w:rPr>
        <w:t>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 The Company is currently assessing the potential effects of these changes to its consolidated financial statements and is evaluating the adoption method and timing of adoption.</w:t>
      </w:r>
    </w:p>
    <w:p>
      <w:pPr>
        <w:spacing w:after="0" w:line="17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is evaluating the timing of adoption.</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(Topic 718) (“ASU 2016-09”) which modifies the existing guidance for stock compensation specifically related to the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is currently assessing the potential effects of these changes to its consolidated financial statements and is evaluating the timing of adoption.</w:t>
      </w:r>
    </w:p>
    <w:p>
      <w:pPr>
        <w:spacing w:after="0" w:line="18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measurement and recognition of expected credit losses for financial assets held. ASU 2016-13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2019, with early adoption permitted as of fiscal years beginning after December 15, 2018. The Company is currently assessing the potential effects of these changes to its consolidated financial statements and is evaluating the timing of adoption.</w:t>
      </w:r>
    </w:p>
    <w:p>
      <w:pPr>
        <w:spacing w:after="0" w:line="154"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(3) Balance Sheet Information</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660"/>
              <w:spacing w:after="0"/>
              <w:rPr>
                <w:sz w:val="20"/>
                <w:szCs w:val="20"/>
                <w:color w:val="auto"/>
              </w:rPr>
            </w:pPr>
            <w:r>
              <w:rPr>
                <w:rFonts w:ascii="Arial" w:cs="Arial" w:eastAsia="Arial" w:hAnsi="Arial"/>
                <w:sz w:val="18"/>
                <w:szCs w:val="18"/>
                <w:color w:val="auto"/>
                <w:w w:val="97"/>
              </w:rPr>
              <w:t>The following tables provide details of selected consolidated balance sheet items: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660"/>
              <w:spacing w:after="0"/>
              <w:rPr>
                <w:sz w:val="20"/>
                <w:szCs w:val="20"/>
                <w:color w:val="auto"/>
              </w:rPr>
            </w:pPr>
            <w:r>
              <w:rPr>
                <w:rFonts w:ascii="Arial" w:cs="Arial" w:eastAsia="Arial" w:hAnsi="Arial"/>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Charged against expense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Balance at September 30, 2016</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56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57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0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0" w:type="dxa"/>
            <w:vAlign w:val="bottom"/>
            <w:gridSpan w:val="3"/>
          </w:tcPr>
          <w:p>
            <w:pPr>
              <w:ind w:left="660"/>
              <w:spacing w:after="0"/>
              <w:rPr>
                <w:sz w:val="20"/>
                <w:szCs w:val="20"/>
                <w:color w:val="auto"/>
              </w:rPr>
            </w:pPr>
            <w:r>
              <w:rPr>
                <w:rFonts w:ascii="Arial" w:cs="Arial" w:eastAsia="Arial" w:hAnsi="Arial"/>
                <w:sz w:val="18"/>
                <w:szCs w:val="18"/>
                <w:color w:val="auto"/>
                <w:w w:val="98"/>
              </w:rPr>
              <w:t>Capitalized internal-use software and accumulated amortization were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September 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37,558</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(24,506)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-1442085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-1442085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Amortization of capitalized internal-use software costs is included in Cost of Revenues-Recurring Revenues and amounted to $942 and $1,684 for the three months ended September 30, 2015 and 2016,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September 30,</w:t>
            </w:r>
          </w:p>
        </w:tc>
      </w:tr>
      <w:tr>
        <w:trPr>
          <w:trHeight w:val="171"/>
        </w:trPr>
        <w:tc>
          <w:tcPr>
            <w:tcW w:w="6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19,056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5,263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Time clocks rented by clients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4,202</w:t>
            </w:r>
          </w:p>
        </w:tc>
      </w:tr>
      <w:tr>
        <w:trPr>
          <w:trHeight w:val="210"/>
        </w:trPr>
        <w:tc>
          <w:tcPr>
            <w:tcW w:w="6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(20,184)</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amounted to $1,397 and $2,203 for the three months ended September 30, 2015 and 2016,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w:t>
      </w:r>
    </w:p>
    <w:p>
      <w:pPr>
        <w:spacing w:after="0" w:line="204" w:lineRule="exact"/>
        <w:rPr>
          <w:sz w:val="20"/>
          <w:szCs w:val="20"/>
          <w:color w:val="auto"/>
        </w:rPr>
      </w:pPr>
    </w:p>
    <w:tbl>
      <w:tblPr>
        <w:tblLayout w:type="fixed"/>
        <w:tblInd w:w="576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980" w:type="dxa"/>
            <w:vAlign w:val="bottom"/>
            <w:vMerge w:val="restart"/>
          </w:tcPr>
          <w:p>
            <w:pPr>
              <w:jc w:val="center"/>
              <w:ind w:right="388"/>
              <w:spacing w:after="0"/>
              <w:rPr>
                <w:sz w:val="20"/>
                <w:szCs w:val="20"/>
                <w:color w:val="auto"/>
              </w:rPr>
            </w:pPr>
            <w:r>
              <w:rPr>
                <w:rFonts w:ascii="Arial" w:cs="Arial" w:eastAsia="Arial" w:hAnsi="Arial"/>
                <w:sz w:val="14"/>
                <w:szCs w:val="14"/>
                <w:b w:val="1"/>
                <w:bCs w:val="1"/>
                <w:color w:val="auto"/>
                <w:w w:val="92"/>
              </w:rPr>
              <w:t>June 30,</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8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73"/>
        </w:trPr>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820" w:type="dxa"/>
            <w:vAlign w:val="bottom"/>
          </w:tcPr>
          <w:p>
            <w:pPr>
              <w:jc w:val="right"/>
              <w:ind w:right="668"/>
              <w:spacing w:after="0"/>
              <w:rPr>
                <w:sz w:val="20"/>
                <w:szCs w:val="20"/>
                <w:color w:val="auto"/>
              </w:rPr>
            </w:pPr>
            <w:r>
              <w:rPr>
                <w:rFonts w:ascii="Arial" w:cs="Arial" w:eastAsia="Arial" w:hAnsi="Arial"/>
                <w:sz w:val="14"/>
                <w:szCs w:val="14"/>
                <w:b w:val="1"/>
                <w:bCs w:val="1"/>
                <w:color w:val="auto"/>
              </w:rPr>
              <w:t>2016</w:t>
            </w:r>
          </w:p>
        </w:tc>
        <w:tc>
          <w:tcPr>
            <w:tcW w:w="1040" w:type="dxa"/>
            <w:vAlign w:val="bottom"/>
          </w:tcPr>
          <w:p>
            <w:pPr>
              <w:jc w:val="center"/>
              <w:ind w:left="388"/>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ind w:left="980"/>
        <w:spacing w:after="0"/>
        <w:tabs>
          <w:tab w:leader="none" w:pos="5320" w:val="left"/>
          <w:tab w:leader="none" w:pos="6180" w:val="left"/>
          <w:tab w:leader="none" w:pos="6960" w:val="left"/>
          <w:tab w:leader="none" w:pos="7820" w:val="left"/>
          <w:tab w:leader="none" w:pos="9460" w:val="left"/>
        </w:tabs>
        <w:rPr>
          <w:sz w:val="20"/>
          <w:szCs w:val="20"/>
          <w:color w:val="auto"/>
        </w:rPr>
      </w:pPr>
      <w:r>
        <w:rPr>
          <w:rFonts w:ascii="Arial" w:cs="Arial" w:eastAsia="Arial" w:hAnsi="Arial"/>
          <w:sz w:val="18"/>
          <w:szCs w:val="18"/>
          <w:color w:val="auto"/>
        </w:rPr>
        <w:t>Client relationships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12,580</w:t>
        <w:tab/>
        <w:t>$</w:t>
      </w:r>
      <w:r>
        <w:rPr>
          <w:sz w:val="20"/>
          <w:szCs w:val="20"/>
          <w:color w:val="auto"/>
        </w:rPr>
        <w:tab/>
      </w:r>
      <w:r>
        <w:rPr>
          <w:rFonts w:ascii="Arial" w:cs="Arial" w:eastAsia="Arial" w:hAnsi="Arial"/>
          <w:sz w:val="18"/>
          <w:szCs w:val="18"/>
          <w:color w:val="auto"/>
        </w:rPr>
        <w:t>12,580</w:t>
      </w:r>
      <w:r>
        <w:rPr>
          <w:sz w:val="20"/>
          <w:szCs w:val="20"/>
          <w:color w:val="auto"/>
        </w:rPr>
        <w:tab/>
      </w:r>
      <w:r>
        <w:rPr>
          <w:rFonts w:ascii="Arial" w:cs="Arial" w:eastAsia="Arial" w:hAnsi="Arial"/>
          <w:sz w:val="15"/>
          <w:szCs w:val="15"/>
          <w:color w:val="auto"/>
        </w:rPr>
        <w:t>9 years</w:t>
      </w:r>
    </w:p>
    <w:p>
      <w:pPr>
        <w:sectPr>
          <w:pgSz w:w="11900" w:h="16838" w:orient="portrait"/>
          <w:cols w:equalWidth="0" w:num="1">
            <w:col w:w="11460"/>
          </w:cols>
          <w:pgMar w:left="240" w:top="125" w:right="199" w:bottom="0" w:gutter="0" w:footer="0" w:header="0"/>
          <w:type w:val="continuous"/>
        </w:sectPr>
      </w:pPr>
    </w:p>
    <w:bookmarkStart w:id="6" w:name="page7"/>
    <w:bookmarkEnd w:id="6"/>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ind w:left="980"/>
              <w:spacing w:after="0"/>
              <w:rPr>
                <w:sz w:val="20"/>
                <w:szCs w:val="20"/>
                <w:color w:val="auto"/>
              </w:rPr>
            </w:pPr>
            <w:r>
              <w:rPr>
                <w:rFonts w:ascii="Arial" w:cs="Arial" w:eastAsia="Arial" w:hAnsi="Arial"/>
                <w:sz w:val="18"/>
                <w:szCs w:val="18"/>
                <w:color w:val="auto"/>
              </w:rPr>
              <w:t>Non-solicitation agreements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4"/>
          </w:tcPr>
          <w:p>
            <w:pPr>
              <w:ind w:left="540"/>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12,940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(2,902)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460" w:type="dxa"/>
            <w:vAlign w:val="bottom"/>
            <w:gridSpan w:val="18"/>
          </w:tcPr>
          <w:p>
            <w:pPr>
              <w:ind w:left="660"/>
              <w:spacing w:after="0"/>
              <w:rPr>
                <w:sz w:val="20"/>
                <w:szCs w:val="20"/>
                <w:color w:val="auto"/>
              </w:rPr>
            </w:pPr>
            <w:r>
              <w:rPr>
                <w:rFonts w:ascii="Arial" w:cs="Arial" w:eastAsia="Arial" w:hAnsi="Arial"/>
                <w:sz w:val="18"/>
                <w:szCs w:val="18"/>
                <w:color w:val="auto"/>
                <w:w w:val="90"/>
              </w:rPr>
              <w:t xml:space="preserve">Amortization expense for acquired intangible assets was $380 and $381 for the three months </w:t>
            </w:r>
            <w:r>
              <w:rPr>
                <w:rFonts w:ascii="Arial" w:cs="Arial" w:eastAsia="Arial" w:hAnsi="Arial"/>
                <w:sz w:val="17"/>
                <w:szCs w:val="17"/>
                <w:color w:val="auto"/>
                <w:w w:val="90"/>
              </w:rPr>
              <w:t>ended September 30, 2015 and 2016, respectively. Future</w:t>
            </w:r>
          </w:p>
        </w:tc>
        <w:tc>
          <w:tcPr>
            <w:tcW w:w="0" w:type="dxa"/>
            <w:vAlign w:val="bottom"/>
          </w:tcPr>
          <w:p>
            <w:pPr>
              <w:spacing w:after="0"/>
              <w:rPr>
                <w:sz w:val="1"/>
                <w:szCs w:val="1"/>
                <w:color w:val="auto"/>
              </w:rPr>
            </w:pPr>
          </w:p>
        </w:tc>
      </w:tr>
      <w:tr>
        <w:trPr>
          <w:trHeight w:val="222"/>
        </w:trPr>
        <w:tc>
          <w:tcPr>
            <w:tcW w:w="6980" w:type="dxa"/>
            <w:vAlign w:val="bottom"/>
            <w:gridSpan w:val="7"/>
          </w:tcPr>
          <w:p>
            <w:pPr>
              <w:spacing w:after="0"/>
              <w:rPr>
                <w:sz w:val="20"/>
                <w:szCs w:val="20"/>
                <w:color w:val="auto"/>
              </w:rPr>
            </w:pPr>
            <w:r>
              <w:rPr>
                <w:rFonts w:ascii="Arial" w:cs="Arial" w:eastAsia="Arial" w:hAnsi="Arial"/>
                <w:sz w:val="18"/>
                <w:szCs w:val="18"/>
                <w:color w:val="auto"/>
                <w:w w:val="94"/>
              </w:rPr>
              <w:t>amortization expense for acquired intangible assets is as follows, as of September 30, 2016:</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3,286</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85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9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60" w:type="dxa"/>
            <w:vAlign w:val="bottom"/>
            <w:gridSpan w:val="3"/>
          </w:tcPr>
          <w:p>
            <w:pPr>
              <w:ind w:left="660"/>
              <w:spacing w:after="0"/>
              <w:rPr>
                <w:sz w:val="20"/>
                <w:szCs w:val="20"/>
                <w:color w:val="auto"/>
              </w:rPr>
            </w:pPr>
            <w:r>
              <w:rPr>
                <w:rFonts w:ascii="Arial" w:cs="Arial" w:eastAsia="Arial" w:hAnsi="Arial"/>
                <w:sz w:val="18"/>
                <w:szCs w:val="18"/>
                <w:color w:val="auto"/>
                <w:w w:val="97"/>
              </w:rPr>
              <w:t>The components of accrued expenses were as follows: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21,658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Current portion of deferred rent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24,979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-1570990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-1570990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The Company applies the fair value measurement and disclosure provisions of ASC 820, Fair Value Measurements and Disclosures, and ASU 2011-04, </w:t>
      </w:r>
      <w:r>
        <w:rPr>
          <w:rFonts w:ascii="Arial" w:cs="Arial" w:eastAsia="Arial" w:hAnsi="Arial"/>
          <w:sz w:val="16"/>
          <w:szCs w:val="16"/>
          <w:i w:val="1"/>
          <w:iCs w:val="1"/>
          <w:color w:val="auto"/>
        </w:rPr>
        <w:t>Fair Value Measurement (Topic 820): Amendments to Achieve Common Fair Value Measurement and Disclosure Requirements in U.S. GAAP and IFRS</w:t>
      </w:r>
      <w:r>
        <w:rPr>
          <w:rFonts w:ascii="Arial" w:cs="Arial" w:eastAsia="Arial" w:hAnsi="Arial"/>
          <w:sz w:val="16"/>
          <w:szCs w:val="16"/>
          <w:color w:val="auto"/>
        </w:rPr>
        <w:t>.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8" w:lineRule="exact"/>
        <w:rPr>
          <w:sz w:val="20"/>
          <w:szCs w:val="20"/>
          <w:color w:val="auto"/>
        </w:rPr>
      </w:pPr>
    </w:p>
    <w:p>
      <w:pPr>
        <w:ind w:left="860" w:hanging="9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760" w:right="580" w:firstLine="4"/>
        <w:spacing w:after="0" w:line="277" w:lineRule="auto"/>
        <w:tabs>
          <w:tab w:leader="none" w:pos="85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70" w:lineRule="exact"/>
        <w:rPr>
          <w:rFonts w:ascii="Arial" w:cs="Arial" w:eastAsia="Arial" w:hAnsi="Arial"/>
          <w:sz w:val="18"/>
          <w:szCs w:val="18"/>
          <w:color w:val="auto"/>
        </w:rPr>
      </w:pPr>
    </w:p>
    <w:p>
      <w:pPr>
        <w:ind w:left="760" w:right="60" w:firstLine="4"/>
        <w:spacing w:after="0" w:line="342" w:lineRule="auto"/>
        <w:tabs>
          <w:tab w:leader="none" w:pos="85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2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funds held for clients, accounts payable and client fund obligations to approximate the fair value of the respective assets and liabilities at June 30, 2016 and September 30, 2016 based upon the short-term nature of these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Benefit Plans</w:t>
      </w:r>
    </w:p>
    <w:p>
      <w:pPr>
        <w:spacing w:after="0" w:line="22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of September 30, 2016, the Company had 10,480 shares allocated to the plans, of which 4,855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during the quarter in the number of shares available for grant under our equity incentive plans:</w:t>
      </w:r>
    </w:p>
    <w:p>
      <w:pPr>
        <w:sectPr>
          <w:pgSz w:w="11900" w:h="16849" w:orient="portrait"/>
          <w:cols w:equalWidth="0" w:num="1">
            <w:col w:w="11460"/>
          </w:cols>
          <w:pgMar w:left="240" w:top="125" w:right="199" w:bottom="0" w:gutter="0" w:footer="0" w:header="0"/>
        </w:sectPr>
      </w:pPr>
    </w:p>
    <w:p>
      <w:pPr>
        <w:spacing w:after="0" w:line="217" w:lineRule="exact"/>
        <w:rPr>
          <w:sz w:val="20"/>
          <w:szCs w:val="20"/>
          <w:color w:val="auto"/>
        </w:rPr>
      </w:pPr>
    </w:p>
    <w:p>
      <w:pPr>
        <w:ind w:left="8280"/>
        <w:spacing w:after="0"/>
        <w:rPr>
          <w:sz w:val="20"/>
          <w:szCs w:val="20"/>
          <w:color w:val="auto"/>
        </w:rPr>
      </w:pPr>
      <w:r>
        <w:rPr>
          <w:rFonts w:ascii="Arial" w:cs="Arial" w:eastAsia="Arial" w:hAnsi="Arial"/>
          <w:sz w:val="13"/>
          <w:szCs w:val="13"/>
          <w:b w:val="1"/>
          <w:bCs w:val="1"/>
          <w:color w:val="auto"/>
        </w:rPr>
        <w:t>Number</w:t>
      </w:r>
    </w:p>
    <w:p>
      <w:pPr>
        <w:sectPr>
          <w:pgSz w:w="11900" w:h="16849" w:orient="portrait"/>
          <w:cols w:equalWidth="0" w:num="1">
            <w:col w:w="11460"/>
          </w:cols>
          <w:pgMar w:left="240" w:top="125" w:right="199" w:bottom="0" w:gutter="0" w:footer="0" w:header="0"/>
          <w:type w:val="continuous"/>
        </w:sectPr>
      </w:pPr>
    </w:p>
    <w:bookmarkStart w:id="7" w:name="page8"/>
    <w:bookmarkEnd w:id="7"/>
    <w:tbl>
      <w:tblPr>
        <w:tblLayout w:type="fixed"/>
        <w:tblInd w:w="66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of Shares</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2016</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RSUs granted</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Forfeitures</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7200" w:type="dxa"/>
            <w:vAlign w:val="bottom"/>
          </w:tcPr>
          <w:p>
            <w:pPr>
              <w:spacing w:after="0"/>
              <w:rPr>
                <w:sz w:val="20"/>
                <w:szCs w:val="20"/>
                <w:color w:val="auto"/>
              </w:rPr>
            </w:pPr>
            <w:r>
              <w:rPr>
                <w:rFonts w:ascii="Arial" w:cs="Arial" w:eastAsia="Arial" w:hAnsi="Arial"/>
                <w:sz w:val="18"/>
                <w:szCs w:val="18"/>
                <w:color w:val="auto"/>
              </w:rPr>
              <w:t>Available for grant at September 30, 2016</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w:t>
      </w:r>
    </w:p>
    <w:p>
      <w:pPr>
        <w:spacing w:after="0" w:line="162" w:lineRule="exact"/>
        <w:rPr>
          <w:sz w:val="20"/>
          <w:szCs w:val="20"/>
          <w:color w:val="auto"/>
        </w:rPr>
      </w:pPr>
    </w:p>
    <w:p>
      <w:pPr>
        <w:jc w:val="center"/>
        <w:ind w:left="4600"/>
        <w:spacing w:after="0"/>
        <w:rPr>
          <w:sz w:val="20"/>
          <w:szCs w:val="20"/>
          <w:color w:val="auto"/>
        </w:rPr>
      </w:pPr>
      <w:r>
        <w:rPr>
          <w:rFonts w:ascii="Arial" w:cs="Arial" w:eastAsia="Arial" w:hAnsi="Arial"/>
          <w:sz w:val="14"/>
          <w:szCs w:val="14"/>
          <w:b w:val="1"/>
          <w:bCs w:val="1"/>
          <w:color w:val="auto"/>
        </w:rPr>
        <w:t>Three months ended</w:t>
      </w:r>
    </w:p>
    <w:p>
      <w:pPr>
        <w:jc w:val="center"/>
        <w:ind w:left="4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9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569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w:t>
            </w:r>
          </w:p>
        </w:tc>
        <w:tc>
          <w:tcPr>
            <w:tcW w:w="80" w:type="dxa"/>
            <w:vAlign w:val="bottom"/>
            <w:shd w:val="clear" w:color="auto" w:fill="CCEEFF"/>
          </w:tcPr>
          <w:p>
            <w:pPr>
              <w:spacing w:after="0"/>
              <w:rPr>
                <w:sz w:val="18"/>
                <w:szCs w:val="18"/>
                <w:color w:val="auto"/>
              </w:rPr>
            </w:pPr>
          </w:p>
        </w:tc>
      </w:tr>
      <w:tr>
        <w:trPr>
          <w:trHeight w:val="217"/>
        </w:trPr>
        <w:tc>
          <w:tcPr>
            <w:tcW w:w="522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In addition, the Company capitalized $266 and $372 of stock compensation costs in its internal use software in the three months ended September 30, 2015 and 2016, respectively.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values stock options using the Black-Scholes option-pricing model, which requires the input of subjective assumptions, including the risk-free rate, expected life, expected stock price volatility and dividend yield. The risk-free interest rate assumption is based upon observed interest rates for U.S. Treasury securities consistent with the expected term of the Company’s employee stock options.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As the Company has a limited history of trading as a public company, the Company utilizes the simplified method due to the lack of sufficient historical exercise data to provide a reasonable basis upon which to otherwise estimate the expected life of the stock options. Therefore, the expected volatility is based on historical volatilities for publicly 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stock options granted during the three months ended September 30, 2016. The following table summarizes the assumptions used for estimating the fair value of stock options granted for the three months ended September 30, 2015:</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2"/>
              </w:rPr>
              <w:t>Period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4"/>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ind w:left="88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assumptions:</w:t>
            </w:r>
          </w:p>
        </w:tc>
        <w:tc>
          <w:tcPr>
            <w:tcW w:w="1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0"/>
              </w:rPr>
              <w:t>34.0%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term (years)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ind w:left="100"/>
              <w:spacing w:after="0"/>
              <w:rPr>
                <w:sz w:val="20"/>
                <w:szCs w:val="20"/>
                <w:color w:val="auto"/>
              </w:rPr>
            </w:pPr>
            <w:r>
              <w:rPr>
                <w:rFonts w:ascii="Arial" w:cs="Arial" w:eastAsia="Arial" w:hAnsi="Arial"/>
                <w:sz w:val="18"/>
                <w:szCs w:val="18"/>
                <w:color w:val="auto"/>
              </w:rPr>
              <w:t>6.25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0"/>
              </w:rPr>
              <w:t>1.83%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20" w:type="dxa"/>
            <w:vAlign w:val="bottom"/>
            <w:gridSpan w:val="7"/>
          </w:tcPr>
          <w:p>
            <w:pPr>
              <w:spacing w:after="0"/>
              <w:rPr>
                <w:sz w:val="20"/>
                <w:szCs w:val="20"/>
                <w:color w:val="auto"/>
              </w:rPr>
            </w:pPr>
            <w:r>
              <w:rPr>
                <w:rFonts w:ascii="Arial" w:cs="Arial" w:eastAsia="Arial" w:hAnsi="Arial"/>
                <w:sz w:val="18"/>
                <w:szCs w:val="18"/>
                <w:color w:val="auto"/>
                <w:w w:val="94"/>
              </w:rPr>
              <w:t>The table below presents stock option activity during the three months ended September 30, 2016:</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5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Outstanding Options</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remaining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w:t>
            </w:r>
          </w:p>
        </w:tc>
        <w:tc>
          <w:tcPr>
            <w:tcW w:w="14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price</w:t>
            </w:r>
          </w:p>
        </w:tc>
        <w:tc>
          <w:tcPr>
            <w:tcW w:w="14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term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2016</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108,944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forfeited</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17.00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September 30, 2016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11.68</w:t>
            </w:r>
          </w:p>
        </w:tc>
        <w:tc>
          <w:tcPr>
            <w:tcW w:w="146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6.43</w:t>
            </w:r>
          </w:p>
        </w:tc>
        <w:tc>
          <w:tcPr>
            <w:tcW w:w="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4"/>
          </w:tcPr>
          <w:p>
            <w:pPr>
              <w:jc w:val="right"/>
              <w:ind w:right="120"/>
              <w:spacing w:after="0"/>
              <w:rPr>
                <w:sz w:val="20"/>
                <w:szCs w:val="20"/>
                <w:color w:val="auto"/>
              </w:rPr>
            </w:pPr>
            <w:r>
              <w:rPr>
                <w:rFonts w:ascii="Arial" w:cs="Arial" w:eastAsia="Arial" w:hAnsi="Arial"/>
                <w:sz w:val="18"/>
                <w:szCs w:val="18"/>
                <w:color w:val="auto"/>
              </w:rPr>
              <w:t>109,243</w:t>
            </w:r>
          </w:p>
        </w:tc>
        <w:tc>
          <w:tcPr>
            <w:tcW w:w="0" w:type="dxa"/>
            <w:vAlign w:val="bottom"/>
          </w:tcPr>
          <w:p>
            <w:pPr>
              <w:spacing w:after="0"/>
              <w:rPr>
                <w:sz w:val="1"/>
                <w:szCs w:val="1"/>
                <w:color w:val="auto"/>
              </w:rPr>
            </w:pPr>
          </w:p>
        </w:tc>
      </w:tr>
      <w:tr>
        <w:trPr>
          <w:trHeight w:val="197"/>
        </w:trPr>
        <w:tc>
          <w:tcPr>
            <w:tcW w:w="45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exercisable at September 30, 2016</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2,419</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8.74</w:t>
            </w:r>
          </w:p>
        </w:tc>
        <w:tc>
          <w:tcPr>
            <w:tcW w:w="1460" w:type="dxa"/>
            <w:vAlign w:val="bottom"/>
            <w:tcBorders>
              <w:bottom w:val="single" w:sz="8" w:color="CCEEFF"/>
            </w:tcBorders>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5.98</w:t>
            </w:r>
          </w:p>
        </w:tc>
        <w:tc>
          <w:tcPr>
            <w:tcW w:w="260" w:type="dxa"/>
            <w:vAlign w:val="bottom"/>
            <w:tcBorders>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4"/>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86,434</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line="195" w:lineRule="exact"/>
              <w:rPr>
                <w:sz w:val="20"/>
                <w:szCs w:val="20"/>
                <w:color w:val="auto"/>
              </w:rPr>
            </w:pPr>
            <w:r>
              <w:rPr>
                <w:rFonts w:ascii="Arial" w:cs="Arial" w:eastAsia="Arial" w:hAnsi="Arial"/>
                <w:sz w:val="18"/>
                <w:szCs w:val="18"/>
                <w:color w:val="auto"/>
              </w:rPr>
              <w:t>Options vested and expected to vest at September 30,</w:t>
            </w: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00" w:type="dxa"/>
            <w:vAlign w:val="bottom"/>
            <w:vMerge w:val="continue"/>
          </w:tcPr>
          <w:p>
            <w:pPr>
              <w:spacing w:after="0"/>
              <w:rPr>
                <w:sz w:val="13"/>
                <w:szCs w:val="13"/>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3,292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80"/>
              <w:spacing w:after="0"/>
              <w:rPr>
                <w:sz w:val="20"/>
                <w:szCs w:val="20"/>
                <w:color w:val="auto"/>
              </w:rPr>
            </w:pPr>
            <w:r>
              <w:rPr>
                <w:rFonts w:ascii="Arial" w:cs="Arial" w:eastAsia="Arial" w:hAnsi="Arial"/>
                <w:sz w:val="18"/>
                <w:szCs w:val="18"/>
                <w:color w:val="auto"/>
              </w:rPr>
              <w:t>2016</w:t>
            </w:r>
          </w:p>
        </w:tc>
        <w:tc>
          <w:tcPr>
            <w:tcW w:w="1140" w:type="dxa"/>
            <w:vAlign w:val="bottom"/>
            <w:tcBorders>
              <w:bottom w:val="single" w:sz="8" w:color="auto"/>
            </w:tcBorders>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11.54</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6.41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108,348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weighted average grant date fair value of options granted during the three-month period ended September 30, 2015 was $12.92. The total intrinsic value of options exercised during the three-month period ended September 30, 2015 and 2016 was $2,935 and $3,891, respectively. At September 30, 2016, there was $2,128 of total unrecognized compensation cost, net of estimated forfeitures, related to unvested stock option granted under the Plan. That cost is expected to be recognized over a weighted average period of 1.39 years.</w:t>
      </w:r>
    </w:p>
    <w:p>
      <w:pPr>
        <w:sectPr>
          <w:pgSz w:w="11900" w:h="16838" w:orient="portrait"/>
          <w:cols w:equalWidth="0" w:num="1">
            <w:col w:w="11400"/>
          </w:cols>
          <w:pgMar w:left="240" w:top="118" w:right="259" w:bottom="0" w:gutter="0" w:footer="0" w:header="0"/>
        </w:sectPr>
      </w:pPr>
    </w:p>
    <w:bookmarkStart w:id="8" w:name="page9"/>
    <w:bookmarkEnd w:id="8"/>
    <w:p>
      <w:pPr>
        <w:ind w:right="60" w:firstLine="648"/>
        <w:spacing w:after="0" w:line="259"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 awards are based on attainment of certain performance benchmarks. The following table represents restricted stock unit activity during the three months ended September 30, 2016:</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9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2016</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RSUs granted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 vested</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RSUs cancelled/forfeited</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September 30, 2016</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RSUs expected to vest at September 30, 2016</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1,321</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September 30, 2016, there was $39,643 of total unrecognized compensation cost, net of estimated forfeitures, related to unvested restricted stock awards granted under the Plan. That cost is expected to be recognized over a weighted average period of 2.18 years.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9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of September 30, 2016, a total of 951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600, (b) seventy-five one hundredths percent (0.75%) of the number of shares of common stock of the Company issued and outstanding on the immediately preceding December 31, or (c) an amount determined by the Company’s board of directors.</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recorded compensation expense attributable to the ESPP of $252 and $344 for the three-month ended September 30, 2015 and 2016, respectively, which is included in the summary of stock-based compensation expense above. The grant date fair value of the ESPP offering periods was estimated using the following weighted average assumptions:</w:t>
      </w:r>
    </w:p>
    <w:p>
      <w:pPr>
        <w:spacing w:after="0" w:line="173"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Period ended</w:t>
      </w:r>
    </w:p>
    <w:p>
      <w:pPr>
        <w:ind w:left="83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assumptions: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Company maintains a 401(k) plan with a matching provision that covers all eligible employees. Up to December 31, 2015, the Company matched 50% of the employees’ contributions up to 6% of their gross pay. Effective January 1, 2016, the Company increased its match to 50% of employees’ contributions up to 8% of their gross pay. Contributions were $580 and $902 for the three-month period ended September 30, 2015 and 2016, respectively.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Basic net loss per common share is computed using the weighted-average number of common shares outstanding during the period. Diluted net loss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dilutive effect of outstanding stock options is reflected in diluted earnings per share by application of the treasury stock method. The following table presents the calculation of basic and diluted net loss per share:</w:t>
      </w:r>
    </w:p>
    <w:p>
      <w:pPr>
        <w:spacing w:after="0" w:line="185"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Three months ended</w:t>
      </w:r>
    </w:p>
    <w:p>
      <w:pPr>
        <w:jc w:val="center"/>
        <w:ind w:left="5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(3,435)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r>
      <w:tr>
        <w:trPr>
          <w:trHeight w:val="216"/>
        </w:trPr>
        <w:tc>
          <w:tcPr>
            <w:tcW w:w="6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98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5797550" cy="70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7048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9" w:name="page10"/>
    <w:bookmarkEnd w:id="9"/>
    <w:tbl>
      <w:tblPr>
        <w:tblLayout w:type="fixed"/>
        <w:tblInd w:w="98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Basic</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50,744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51,231</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20" w:type="dxa"/>
            <w:vAlign w:val="bottom"/>
          </w:tcPr>
          <w:p>
            <w:pPr>
              <w:ind w:left="180"/>
              <w:spacing w:after="0" w:line="201" w:lineRule="exact"/>
              <w:rPr>
                <w:sz w:val="20"/>
                <w:szCs w:val="20"/>
                <w:color w:val="auto"/>
              </w:rPr>
            </w:pPr>
            <w:r>
              <w:rPr>
                <w:rFonts w:ascii="Arial" w:cs="Arial" w:eastAsia="Arial" w:hAnsi="Arial"/>
                <w:sz w:val="18"/>
                <w:szCs w:val="18"/>
                <w:color w:val="auto"/>
                <w:w w:val="95"/>
              </w:rPr>
              <w:t>Employee stock options, restricted stock units and employee stock purchase</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20" w:type="dxa"/>
            <w:vAlign w:val="bottom"/>
          </w:tcPr>
          <w:p>
            <w:pPr>
              <w:ind w:left="360"/>
              <w:spacing w:after="0"/>
              <w:rPr>
                <w:sz w:val="20"/>
                <w:szCs w:val="20"/>
                <w:color w:val="auto"/>
              </w:rPr>
            </w:pPr>
            <w:r>
              <w:rPr>
                <w:rFonts w:ascii="Arial" w:cs="Arial" w:eastAsia="Arial" w:hAnsi="Arial"/>
                <w:sz w:val="18"/>
                <w:szCs w:val="18"/>
                <w:color w:val="auto"/>
              </w:rPr>
              <w:t>plan shares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Basic</w:t>
            </w:r>
          </w:p>
        </w:tc>
        <w:tc>
          <w:tcPr>
            <w:tcW w:w="2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table summarizes the outstanding employee stock options, restricted stock units, and shares purchasable via the employee stock purchase plan as of the balance sheet date that were excluded from the diluted per share calculation for the periods presented because to include them would have been anti-dilutive:</w:t>
      </w:r>
    </w:p>
    <w:p>
      <w:pPr>
        <w:spacing w:after="0" w:line="173"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Three months ended</w:t>
      </w:r>
    </w:p>
    <w:p>
      <w:pPr>
        <w:jc w:val="center"/>
        <w:ind w:left="55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6020" w:type="dxa"/>
            <w:vAlign w:val="bottom"/>
            <w:gridSpan w:val="2"/>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1,002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Company’s quarterly provision for income taxes is based on an estimated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recorded income tax expense of $101 and $100 for the three-month periods ended September 30, 2015 and 2016, respectively. The Company’s effective tax rates for the three months ended September 30, 2015 and September 30, 2016 differ from statutory rates primarily due to the existence of a valuation allowance recorded against the preponderance of the net deferred tax assets.</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The Company has continued to carry the valuation allowance during fiscal 2016 and for the three months ending September 30, 2016. As of September 30, 2016, the Company had no unrecognized tax benefits.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5"/>
        <w:spacing w:after="0" w:line="294" w:lineRule="auto"/>
        <w:rPr>
          <w:sz w:val="20"/>
          <w:szCs w:val="20"/>
          <w:color w:val="auto"/>
        </w:rPr>
      </w:pPr>
      <w:r>
        <w:rPr>
          <w:rFonts w:ascii="Arial" w:cs="Arial" w:eastAsia="Arial" w:hAnsi="Arial"/>
          <w:sz w:val="17"/>
          <w:szCs w:val="17"/>
          <w:i w:val="1"/>
          <w:iCs w:val="1"/>
          <w:color w:val="auto"/>
        </w:rPr>
        <w:t>T</w:t>
      </w:r>
      <w:r>
        <w:rPr>
          <w:rFonts w:ascii="Arial" w:cs="Arial" w:eastAsia="Arial" w:hAnsi="Arial"/>
          <w:sz w:val="16"/>
          <w:szCs w:val="16"/>
          <w:i w:val="1"/>
          <w:iCs w:val="1"/>
          <w:color w:val="auto"/>
        </w:rPr>
        <w:t>he statements included herein that are not based solely on historical facts are “forward looking statements.” Such forward-looking statements are based on</w:t>
      </w:r>
      <w:r>
        <w:rPr>
          <w:rFonts w:ascii="Arial" w:cs="Arial" w:eastAsia="Arial" w:hAnsi="Arial"/>
          <w:sz w:val="17"/>
          <w:szCs w:val="17"/>
          <w:i w:val="1"/>
          <w:iCs w:val="1"/>
          <w:color w:val="auto"/>
        </w:rPr>
        <w:t xml:space="preserve"> </w:t>
      </w:r>
      <w:r>
        <w:rPr>
          <w:rFonts w:ascii="Arial" w:cs="Arial" w:eastAsia="Arial" w:hAnsi="Arial"/>
          <w:sz w:val="16"/>
          <w:szCs w:val="16"/>
          <w:i w:val="1"/>
          <w:iCs w:val="1"/>
          <w:color w:val="auto"/>
        </w:rPr>
        <w:t>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1"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w:t>
      </w:r>
    </w:p>
    <w:p>
      <w:pPr>
        <w:sectPr>
          <w:pgSz w:w="11900" w:h="16838" w:orient="portrait"/>
          <w:cols w:equalWidth="0" w:num="1">
            <w:col w:w="11420"/>
          </w:cols>
          <w:pgMar w:left="240" w:top="140" w:right="239" w:bottom="0" w:gutter="0" w:footer="0" w:header="0"/>
        </w:sectPr>
      </w:pPr>
    </w:p>
    <w:bookmarkStart w:id="10" w:name="page11"/>
    <w:bookmarkEnd w:id="10"/>
    <w:p>
      <w:pPr>
        <w:ind w:right="520"/>
        <w:spacing w:after="0" w:line="277" w:lineRule="auto"/>
        <w:rPr>
          <w:sz w:val="20"/>
          <w:szCs w:val="20"/>
          <w:color w:val="auto"/>
        </w:rPr>
      </w:pPr>
      <w:r>
        <w:rPr>
          <w:rFonts w:ascii="Arial" w:cs="Arial" w:eastAsia="Arial" w:hAnsi="Arial"/>
          <w:sz w:val="18"/>
          <w:szCs w:val="18"/>
          <w:color w:val="auto"/>
        </w:rPr>
        <w:t>and quality of products that clients purchase from us. To do so, we must continue to enhance and grow the number of solutions we offer to advance our platform.</w:t>
      </w:r>
    </w:p>
    <w:p>
      <w:pPr>
        <w:spacing w:after="0" w:line="17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adversely impacted by historically low interest rates.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$42.9 million for the three months ended September 30, 2015 to $62.6 million for the three months ended September 30, 2016, representing a 46% year-over-year increase. The increase in our recurring revenue growth was positively impacted by the launch in fiscal year 2016 of our Affordable Care Act (“ACA”) compliance solution, which had significant penetration beginning in the second quarter of fiscal year 2016. We expect the impact on year-over-year quarterly revenue growth of our ACA compliance solution to be highest in the first quarter of fiscal year 2017 given the timing of significant penetration, beginning in the second quarter of fiscal year 2016. Recurring revenue represented 95% and 96% of total revenue during the three months ended September 30, 2015 and 2016,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35% and 32% for the three months ended September 30, 2015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54"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(loss) or cash provided by (used in)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5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(loss) before interest expense, income tax expense, depreciation and amortization, stock-based compensation expense, and employer payroll taxes related to stock releases and option exercises. The table below sets forth our Adjusted Gross Profit, Adjusted Recurring Gross Profit and Adjusted EBITDA for the periods presented.</w:t>
      </w:r>
    </w:p>
    <w:p>
      <w:pPr>
        <w:sectPr>
          <w:pgSz w:w="11900" w:h="16838" w:orient="portrait"/>
          <w:cols w:equalWidth="0" w:num="1">
            <w:col w:w="11420"/>
          </w:cols>
          <w:pgMar w:left="240" w:top="125"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Three months ended</w:t>
      </w:r>
    </w:p>
    <w:p>
      <w:pPr>
        <w:ind w:left="80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26,543</w:t>
            </w:r>
          </w:p>
        </w:tc>
        <w:tc>
          <w:tcPr>
            <w:tcW w:w="6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31,073</w:t>
            </w: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45,823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3,291</w:t>
            </w:r>
          </w:p>
        </w:tc>
        <w:tc>
          <w:tcPr>
            <w:tcW w:w="6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Gross profit</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24,913</w:t>
            </w: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36,663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releases and option exercises</w:t>
            </w:r>
          </w:p>
        </w:tc>
        <w:tc>
          <w:tcPr>
            <w:tcW w:w="8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Gross Profit</w:t>
            </w: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26,543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6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from Total Recurring Revenues to Adjusted Recurring</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42,891</w:t>
            </w: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62,637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13,157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Recurring gross profit</w:t>
            </w: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29,734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43,534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releases and option exercises</w:t>
            </w:r>
          </w:p>
        </w:tc>
        <w:tc>
          <w:tcPr>
            <w:tcW w:w="8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Recurring Gross Profit</w:t>
            </w: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31,073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Loss to Adjusted EBITDA</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(3,435)</w:t>
            </w: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 stock</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releases and option exercises</w:t>
            </w:r>
          </w:p>
        </w:tc>
        <w:tc>
          <w:tcPr>
            <w:tcW w:w="8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6,171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jc w:val="right"/>
              <w:ind w:right="1110"/>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60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94% and 95% of our total revenues during the three months ended September 30, 2015 and 2016, respectively.</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ectPr>
          <w:pgSz w:w="11900" w:h="16838" w:orient="portrait"/>
          <w:cols w:equalWidth="0" w:num="1">
            <w:col w:w="11460"/>
          </w:cols>
          <w:pgMar w:left="240" w:top="517" w:right="199" w:bottom="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Cost of recurring revenues is generally expensed as incurred, and include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8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capitalize a portion of our internal-use software costs, which are then all amortized as a cost of recurring revenues. We amortized $0.9 million and $1.7 million of capitalized internal-use software costs during the three months ended September 30, 2015 and 2016,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solutions. Therefore our cost of implementation services and other is expected to increase in absolute dollars for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18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2015 and 2016.</w:t>
      </w:r>
    </w:p>
    <w:p>
      <w:pPr>
        <w:spacing w:after="0" w:line="173"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Three months ended</w:t>
      </w:r>
    </w:p>
    <w:p>
      <w:pPr>
        <w:jc w:val="center"/>
        <w:ind w:left="3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142"/>
        </w:trPr>
        <w:tc>
          <w:tcPr>
            <w:tcW w:w="3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2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5,429</w:t>
            </w: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7,301</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w:t>
      </w:r>
    </w:p>
    <w:p>
      <w:pPr>
        <w:sectPr>
          <w:pgSz w:w="11900" w:h="16838" w:orient="portrait"/>
          <w:cols w:equalWidth="0" w:num="1">
            <w:col w:w="11420"/>
          </w:cols>
          <w:pgMar w:left="240" w:top="125" w:right="239" w:bottom="0" w:gutter="0" w:footer="0" w:header="0"/>
        </w:sectPr>
      </w:pPr>
    </w:p>
    <w:bookmarkStart w:id="13" w:name="page14"/>
    <w:bookmarkEnd w:id="13"/>
    <w:p>
      <w:pPr>
        <w:spacing w:after="0" w:line="5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expect our general and administrative expenses to continue to increase in absolute dollars as a result of our operations as a public company. These expenses include costs associated with compliance with regulations governing public companies, costs of directors’ and officers’ liability insurance and professional services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Other income generally consists of interest income related to interest received on our cash and cash equivalents, net of losses on disposal of property and equipment.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7"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w:t>
      </w:r>
    </w:p>
    <w:p>
      <w:pPr>
        <w:jc w:val="center"/>
        <w:ind w:left="53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Consolidated Statements of Operations Data:</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Revenues:</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fees</w:t>
            </w:r>
          </w:p>
        </w:tc>
        <w:tc>
          <w:tcPr>
            <w:tcW w:w="238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42,363</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recurring revenues</w:t>
            </w:r>
          </w:p>
        </w:tc>
        <w:tc>
          <w:tcPr>
            <w:tcW w:w="1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42,891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62,637</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2,385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45,108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65,022</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780" w:type="dxa"/>
            <w:vAlign w:val="bottom"/>
          </w:tcPr>
          <w:p>
            <w:pPr>
              <w:spacing w:after="0" w:line="196" w:lineRule="exact"/>
              <w:rPr>
                <w:sz w:val="20"/>
                <w:szCs w:val="20"/>
                <w:color w:val="auto"/>
              </w:rPr>
            </w:pPr>
            <w:r>
              <w:rPr>
                <w:rFonts w:ascii="Arial" w:cs="Arial" w:eastAsia="Arial" w:hAnsi="Arial"/>
                <w:sz w:val="18"/>
                <w:szCs w:val="18"/>
                <w:color w:val="auto"/>
              </w:rPr>
              <w:t>Cost of revenues:</w:t>
            </w: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13,157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9,256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1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20,195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28,359</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24,913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36,663</w:t>
            </w:r>
          </w:p>
        </w:tc>
        <w:tc>
          <w:tcPr>
            <w:tcW w:w="120" w:type="dxa"/>
            <w:vAlign w:val="bottom"/>
            <w:tcBorders>
              <w:bottom w:val="single" w:sz="8" w:color="CCEEFF"/>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12,450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18,011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10,451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13,858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28,330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39,170</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780" w:type="dxa"/>
            <w:vAlign w:val="bottom"/>
          </w:tcPr>
          <w:p>
            <w:pPr>
              <w:ind w:left="380"/>
              <w:spacing w:after="0"/>
              <w:rPr>
                <w:sz w:val="20"/>
                <w:szCs w:val="20"/>
                <w:color w:val="auto"/>
              </w:rPr>
            </w:pPr>
            <w:r>
              <w:rPr>
                <w:rFonts w:ascii="Arial" w:cs="Arial" w:eastAsia="Arial" w:hAnsi="Arial"/>
                <w:sz w:val="18"/>
                <w:szCs w:val="18"/>
                <w:color w:val="auto"/>
              </w:rPr>
              <w:t>Operating loss</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37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(3,435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vMerge w:val="restart"/>
          </w:tcPr>
          <w:p>
            <w:pPr>
              <w:jc w:val="right"/>
              <w:ind w:right="970"/>
              <w:spacing w:after="0"/>
              <w:rPr>
                <w:sz w:val="20"/>
                <w:szCs w:val="20"/>
                <w:color w:val="auto"/>
              </w:rPr>
            </w:pPr>
            <w:r>
              <w:rPr>
                <w:rFonts w:ascii="Arial" w:cs="Arial" w:eastAsia="Arial" w:hAnsi="Arial"/>
                <w:sz w:val="18"/>
                <w:szCs w:val="18"/>
                <w:color w:val="auto"/>
              </w:rPr>
              <w:t>19</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217"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Three months ended</w:t>
      </w:r>
    </w:p>
    <w:p>
      <w:pPr>
        <w:jc w:val="center"/>
        <w:ind w:left="51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Recurring fees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Total recurring revenues</w:t>
            </w: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color w:val="auto"/>
              </w:rPr>
              <w:t>Cost of revenues:</w:t>
            </w:r>
          </w:p>
        </w:tc>
        <w:tc>
          <w:tcPr>
            <w:tcW w:w="9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Recurring revenues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9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80"/>
              <w:spacing w:after="0"/>
              <w:rPr>
                <w:sz w:val="20"/>
                <w:szCs w:val="20"/>
                <w:color w:val="auto"/>
              </w:rPr>
            </w:pPr>
            <w:r>
              <w:rPr>
                <w:rFonts w:ascii="Arial" w:cs="Arial" w:eastAsia="Arial" w:hAnsi="Arial"/>
                <w:sz w:val="18"/>
                <w:szCs w:val="18"/>
                <w:color w:val="auto"/>
              </w:rPr>
              <w:t>Operating loss</w:t>
            </w: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60"/>
          </w:cols>
          <w:pgMar w:left="240" w:top="125" w:right="19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1920"/>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0"/>
                <w:szCs w:val="20"/>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Three Months Ended September 30, 2015 and 2016</w:t>
            </w: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4"/>
            <w:vMerge w:val="restart"/>
          </w:tcPr>
          <w:p>
            <w:pPr>
              <w:jc w:val="center"/>
              <w:ind w:left="154"/>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42,363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8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8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98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8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Recurring fees for the three months ended September 30, 2016 increased by $19.6 million, or 46%, to $61.9 million from $42.4 million for the three months ended September 30, 2015. Recurring fees increased as a result of incremental revenues from new and existing clients, including revenue related to our Affordable Care Act (“ACA”) compliance solution offered to new and existing clients, which we launched in fiscal year 2016 and experienced significant penetration beginning in the second quarter of fiscal year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Interest income on funds held for clients for the three months ended September 30, 2016 increased by $0.2 million, or 36% to $0.7 million from $0.5 million for the three months ended September 30, 2015. Interest income increased primarily as a result of an increased average daily balance for funds held due to the addition of new clients to our client base.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Implementation services and other revenue for the three months ended September 30, 2016 increased by $0.2 million, or 8%, to $2.4 million from $2.2 million for the three months ended September 30, 2015. Implementation services and other revenue increased primarily as a result of an increase in the number of new clients during the three months ended September 30, 2016 in comparison to the three months ended September 30,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3"/>
              </w:rPr>
              <w:t>Three Months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jc w:val="center"/>
              <w:ind w:left="537"/>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Percentage of recurring revenues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3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7,038</w:t>
            </w:r>
          </w:p>
        </w:tc>
        <w:tc>
          <w:tcPr>
            <w:tcW w:w="4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9,256</w:t>
            </w: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2,218</w:t>
            </w: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implementation services and other</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3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Cost of recurring revenues for the three months ended September 30, 2016 increased by $5.9 million, or 45%, to $19.1 million from $13.2 million for the three months ended September 30, 2015. Cost of recurring revenues increased primarily as a result of the continued growth of our business, in particular $3.2 million in employee-related costs resulting from additional personnel necessary to provide services to new and existing clients, $1.8 million in delivery and other processing-related fees and $0.7 million in additional capitalized internal-use software amortization expense. Recurring gross margin increased from 69% for the three months ended September 30, 2015 to 70% for the three months ended September 30, 2016, primarily due to a reduction in delivery and other processing-related fees as a percentage of total recurring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Cost of implementation services and other for the three months ended September 30, 2016 increased by $2.2 million, or 32%, to $9.3 million from $7.0 million for the three months ended September 30, 2015. Cost of implementation services and other increased primarily due to a $2.0 million increase in employee-related costs to implement our solutions for new and existing clients during the three months ended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3"/>
              </w:rPr>
              <w:t>Three Months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jc w:val="center"/>
              <w:ind w:left="54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562"/>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5" w:name="page16"/>
    <w:bookmarkEnd w:id="15"/>
    <w:p>
      <w:pPr>
        <w:ind w:firstLine="648"/>
        <w:spacing w:after="0" w:line="257" w:lineRule="auto"/>
        <w:rPr>
          <w:sz w:val="20"/>
          <w:szCs w:val="20"/>
          <w:color w:val="auto"/>
        </w:rPr>
      </w:pPr>
      <w:r>
        <w:rPr>
          <w:rFonts w:ascii="Arial" w:cs="Arial" w:eastAsia="Arial" w:hAnsi="Arial"/>
          <w:sz w:val="18"/>
          <w:szCs w:val="18"/>
          <w:color w:val="auto"/>
        </w:rPr>
        <w:t>Sales and marketing expenses for the three months ended September 30, 2016 increased by $5.6 million, or 45%, to $18.0 million from $12.5 million for the three months ended September 30, 2015. The increase in sales and marketing expenses was primarily the result of $4.0 million of additional employee-related expenses incurred due to the expansion of our sales team by 38 personnel (including management, sales engineers, direct sales and sales administration), the addition of 68 sales lead generation personnel and 3 marketing personnel. The increase was also attributable to $0.6 million in additional stock-based compensation associated with our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3"/>
              </w:rPr>
              <w:t>Three Months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8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62"/>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Research and development for the three months ended September 30, 2016 increased by $1.9 million, or 34%, to $7.3 million from $5.4 million for the three months ended September 30, 2015. The increase in research and development expense was primarily as a result of $2.3 million in employee-related expenses related to 68 additional development personnel and $0.3 million of additional stock-based compensation costs, partially offset by higher year-over-year capitalized internal-use software costs of $0.9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3"/>
              </w:rPr>
              <w:t>Three Months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8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62"/>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three months ended September 30, 2016 increased by $3.4 million, or 33%, to $13.9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$10.5 million for the three months ended September 30, 2015. The increase was primarily the result of $1.7 million of additional employee-related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45 additional personnel, $1.0 million of additional stock-based compensation costs and $0.7 million of increased occupancy costs incurred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 of our requirement for additional office space.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3"/>
          </w:tcPr>
          <w:p>
            <w:pPr>
              <w:jc w:val="center"/>
              <w:ind w:right="499"/>
              <w:spacing w:after="0"/>
              <w:rPr>
                <w:sz w:val="20"/>
                <w:szCs w:val="20"/>
                <w:color w:val="auto"/>
              </w:rPr>
            </w:pPr>
            <w:r>
              <w:rPr>
                <w:rFonts w:ascii="Arial" w:cs="Arial" w:eastAsia="Arial" w:hAnsi="Arial"/>
                <w:sz w:val="14"/>
                <w:szCs w:val="14"/>
                <w:b w:val="1"/>
                <w:bCs w:val="1"/>
                <w:color w:val="auto"/>
                <w:w w:val="95"/>
              </w:rPr>
              <w:t>Three Months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gridSpan w:val="3"/>
          </w:tcPr>
          <w:p>
            <w:pPr>
              <w:jc w:val="center"/>
              <w:ind w:right="499"/>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499"/>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for the three months ended September 30, 2016 was not materially different as compared to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gridSpan w:val="3"/>
          </w:tcPr>
          <w:p>
            <w:pPr>
              <w:jc w:val="center"/>
              <w:ind w:right="439"/>
              <w:spacing w:after="0"/>
              <w:rPr>
                <w:sz w:val="20"/>
                <w:szCs w:val="20"/>
                <w:color w:val="auto"/>
              </w:rPr>
            </w:pPr>
            <w:r>
              <w:rPr>
                <w:rFonts w:ascii="Arial" w:cs="Arial" w:eastAsia="Arial" w:hAnsi="Arial"/>
                <w:sz w:val="14"/>
                <w:szCs w:val="14"/>
                <w:b w:val="1"/>
                <w:bCs w:val="1"/>
                <w:color w:val="auto"/>
                <w:w w:val="95"/>
              </w:rPr>
              <w:t>Three Months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3"/>
          </w:tcPr>
          <w:p>
            <w:pPr>
              <w:jc w:val="center"/>
              <w:ind w:right="439"/>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3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Income tax expense for the three months ended September 30, 2016 was not materially different as compared to the three months ended September 30,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ectPr>
          <w:pgSz w:w="11900" w:h="16838" w:orient="portrait"/>
          <w:cols w:equalWidth="0" w:num="1">
            <w:col w:w="11420"/>
          </w:cols>
          <w:pgMar w:left="240" w:top="125" w:right="239" w:bottom="0" w:gutter="0" w:footer="0" w:header="0"/>
        </w:sectPr>
      </w:pPr>
    </w:p>
    <w:bookmarkStart w:id="16" w:name="page17"/>
    <w:bookmarkEnd w:id="16"/>
    <w:p>
      <w:pPr>
        <w:spacing w:after="0" w:line="2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During the three months ended September 30, 2016, there were no material changes to our critical accounting policies and use of estimates, which are disclosed in our audited consolidated financial statements for the year ended June 30, 2016 included in our Annual Report on Form 10-K filed with the SEC on August 12,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Our primary liquidity needs are related to the funding of general business requirements, including working capital requirements, research and development, and capital expenditures. As of September 30, 2016, our principal source of liquidity was $78.0 million of cash and cash equivalents.</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borrowing capacity to satisfy those needs.</w:t>
      </w:r>
    </w:p>
    <w:p>
      <w:pPr>
        <w:spacing w:after="0" w:line="18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Three Months Ended September 30,</w:t>
            </w:r>
          </w:p>
        </w:tc>
      </w:tr>
      <w:tr>
        <w:trPr>
          <w:trHeight w:val="142"/>
        </w:trPr>
        <w:tc>
          <w:tcPr>
            <w:tcW w:w="55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internal-use software costs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(1,588)</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(2,952)</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acquisitions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Net change in funds held for clients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48,607</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468,674</w:t>
            </w:r>
          </w:p>
        </w:tc>
      </w:tr>
      <w:tr>
        <w:trPr>
          <w:trHeight w:val="210"/>
        </w:trPr>
        <w:tc>
          <w:tcPr>
            <w:tcW w:w="5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client funds obligation</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(468,674)</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(4,542)</w:t>
            </w:r>
          </w:p>
        </w:tc>
      </w:tr>
      <w:tr>
        <w:trPr>
          <w:trHeight w:val="21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(50,338)</w:t>
            </w:r>
          </w:p>
        </w:tc>
        <w:tc>
          <w:tcPr>
            <w:tcW w:w="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(473,216)</w:t>
            </w:r>
          </w:p>
        </w:tc>
        <w:tc>
          <w:tcPr>
            <w:tcW w:w="100" w:type="dxa"/>
            <w:vAlign w:val="bottom"/>
            <w:tcBorders>
              <w:bottom w:val="single" w:sz="8" w:color="CCEEFF"/>
            </w:tcBorders>
          </w:tcPr>
          <w:p>
            <w:pPr>
              <w:spacing w:after="0"/>
              <w:rPr>
                <w:sz w:val="18"/>
                <w:szCs w:val="18"/>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Net cash provided by operating activities was $1.9 million for the three months ended September 30, 2016 as compared to $3.0 million for the three months ended September 30, 2015. The decrease in net cash provided by operating activities from the three months ended September 30, 2015 to the three months ended September 30, 2016 was primarily due to downward fluctuations in operating assets and liabilities, partially offset by improved operating results after adjusting for non-cash items including stock-based compensation and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Net cash provided by investing activities was $462.8 million for the three months ended September 30, 2016 as compared to $44.8 million for the three months ended September 30, 2015.</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Changes in net cash provided by investing activities are significantly influenced by the amount of funds held for clients at the end of a reporting period. Changes in the amount of funds held for clients from period to period will vary substantially. Our payroll processing activities involve the movement of significant funds from the account of an employer to employees and relevant taxing authorities. During fiscal 2016 we processed over $74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w:t>
      </w:r>
    </w:p>
    <w:p>
      <w:pPr>
        <w:sectPr>
          <w:pgSz w:w="11900" w:h="16860" w:orient="portrait"/>
          <w:cols w:equalWidth="0" w:num="1">
            <w:col w:w="11420"/>
          </w:cols>
          <w:pgMar w:left="240" w:top="125" w:right="239" w:bottom="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Excluding the net change in funds held for clients, our net cash used in investing activities was $5.8 million for the three months ended September 30, 2016 as compared to $3.8 million for the three months ended September 30, 2015. The increase in net cash used in investing activities was primarily due to increased purchases of property and equipment and higher capitalized internal-use software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Net cash used in financing activities was $473.2 million for the three months ended September 30, 2016 as compared to $50.3 million for the three months ended September 30, 2015. The change in cash used in financing activities was primarily the result of the decrease in client fund obligations and higher taxes paid related to net share settlement of equity awards.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principal commitments consist of operating lease obligations. The following table summarizes our contractual obligations at September 30, 2016: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Less than 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1-3 Years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111,278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2,257</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to increase capital spending as we continue to grow our business and expand and enhance our data centers and technical infrastructure.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Future capital requirements will depend on many factors, including our rate of sales growth. In the event that our sales growth or other factors do not meet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expectations, we may eliminate or curtail capital projects in order to mitigate the impact on our use of cash. Capital expenditures were $1.6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 million for the three months ended September 30, 2015 and 2016, respectively, exclusive of capitalized internal-use software costs of $2.0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$2.9 million for the same periods,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 to Note 2 of the Notes to the Unaudited Consolidated Financial Statements for a discussion of recently issued accounting standards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procedures that are designed to ensure that information required to be disclosed by a company in the reports that it files or submits under the Exchange Act is</w:t>
      </w:r>
    </w:p>
    <w:p>
      <w:pPr>
        <w:sectPr>
          <w:pgSz w:w="11900" w:h="16838" w:orient="portrait"/>
          <w:cols w:equalWidth="0" w:num="1">
            <w:col w:w="11420"/>
          </w:cols>
          <w:pgMar w:left="240" w:top="125" w:right="239" w:bottom="0" w:gutter="0" w:footer="0" w:header="0"/>
        </w:sectPr>
      </w:pPr>
    </w:p>
    <w:bookmarkStart w:id="18" w:name="page19"/>
    <w:bookmarkEnd w:id="18"/>
    <w:p>
      <w:pPr>
        <w:ind w:right="260"/>
        <w:spacing w:after="0" w:line="286" w:lineRule="auto"/>
        <w:rPr>
          <w:sz w:val="20"/>
          <w:szCs w:val="20"/>
          <w:color w:val="auto"/>
        </w:rPr>
      </w:pPr>
      <w:r>
        <w:rPr>
          <w:rFonts w:ascii="Arial" w:cs="Arial" w:eastAsia="Arial" w:hAnsi="Arial"/>
          <w:sz w:val="17"/>
          <w:szCs w:val="17"/>
          <w:color w:val="auto"/>
        </w:rPr>
        <w:t>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66"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September 30, 2016,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the past, and we may not be able to achieve or sustain profitability for the foreseeable future.</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incurred net losses from time to time. We incurred net losses of $7,110,000, $13,972,000 and $3,851,000 in fiscal 2014, fiscal 2015 and fiscal 2016, respectively, and incurred a loss of $2,568,000 in the first quarter of fiscal 2017.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that we had not incurred as a private company. These increased expenditures have made it harder for us to achieve and maintain profitability. We also may incur losses in the future for a number of other unforeseen reasons. Accordingly, we may incur losses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have fluctuated in the past and may continue to fluctuate, causing the value of our common stock to decline substantially.</w:t>
      </w:r>
    </w:p>
    <w:p>
      <w:pPr>
        <w:spacing w:after="0" w:line="26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other risk factors listed in this section, some of the important factors that may cause fluctuations in our quarterly operating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ectPr>
          <w:pgSz w:w="11900" w:h="16838" w:orient="portrait"/>
          <w:cols w:equalWidth="0" w:num="1">
            <w:col w:w="11380"/>
          </w:cols>
          <w:pgMar w:left="240" w:top="125" w:right="279"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80"/>
          </w:cols>
          <w:pgMar w:left="240" w:top="125" w:right="279" w:bottom="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regulatory requirements and environment related to the products and services which we offer;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7"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manage our growth effectively could increase our expenses, decrease our revenue, and prevent us from implementing our business strategy.</w:t>
      </w:r>
    </w:p>
    <w:p>
      <w:pPr>
        <w:spacing w:after="0" w:line="2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markets in which we participate are highly competitive, and if we do not compete effectively, our operating results could be adversely affected.</w:t>
      </w:r>
    </w:p>
    <w:p>
      <w:pPr>
        <w:spacing w:after="0" w:line="24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ectPr>
          <w:pgSz w:w="11900" w:h="16838" w:orient="portrait"/>
          <w:cols w:equalWidth="0" w:num="1">
            <w:col w:w="11420"/>
          </w:cols>
          <w:pgMar w:left="240" w:top="517" w:right="239" w:bottom="0" w:gutter="0" w:footer="0" w:header="0"/>
        </w:sectPr>
      </w:pPr>
    </w:p>
    <w:bookmarkStart w:id="20" w:name="page21"/>
    <w:bookmarkEnd w:id="20"/>
    <w:p>
      <w:pPr>
        <w:spacing w:after="0" w:line="4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54"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The Patient Protection and Affordable Care Act (“PPACA”) remains subject to continuing legislative scrutiny, including efforts by Congress to amend or repeal, or delay implementation of, a number of its provisions. In addition, numerous lawsuits have challenged and continue to challenge the constitutionality and other aspects of the PPACA, and regulations and regulatory guidance continue to be issued on various aspects of PPACA that may affect our business. Changes in tax, benefit and other laws and regulations, including the PPACA, could require us to make significant modifications to our products or delay or cease sales of certain products, which could result in reduced revenues or revenue growth and our incurring substantial expenses and write-offs.</w:t>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6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adequately expand our direct sales force with qualified and productive persons, we may not be able to grow our business effectively.</w:t>
      </w:r>
    </w:p>
    <w:p>
      <w:pPr>
        <w:spacing w:after="0" w:line="24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w:t>
      </w:r>
    </w:p>
    <w:p>
      <w:pPr>
        <w:sectPr>
          <w:pgSz w:w="11900" w:h="16885" w:orient="portrait"/>
          <w:cols w:equalWidth="0" w:num="1">
            <w:col w:w="11420"/>
          </w:cols>
          <w:pgMar w:left="240" w:top="125" w:right="239" w:bottom="0" w:gutter="0" w:footer="0" w:header="0"/>
        </w:sectPr>
      </w:pPr>
    </w:p>
    <w:bookmarkStart w:id="21" w:name="page22"/>
    <w:bookmarkEnd w:id="21"/>
    <w:p>
      <w:pPr>
        <w:ind w:right="40"/>
        <w:spacing w:after="0" w:line="264" w:lineRule="auto"/>
        <w:rPr>
          <w:sz w:val="20"/>
          <w:szCs w:val="20"/>
          <w:color w:val="auto"/>
        </w:rPr>
      </w:pPr>
      <w:r>
        <w:rPr>
          <w:rFonts w:ascii="Arial" w:cs="Arial" w:eastAsia="Arial" w:hAnsi="Arial"/>
          <w:sz w:val="18"/>
          <w:szCs w:val="18"/>
          <w:color w:val="auto"/>
        </w:rPr>
        <w:t>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30% of our new sales in fiscal 2016 were referred to us from our referral network participants, and our referral network may become an even more significant source of client referrals in the future. In most cases, our relationships with referral network participants are informal, although in some cases, we have formalized relationships where we are a recommended vendor for their client.</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payroll processing business involves the movement of significant funds from the account of a client to employees and relevant taxing authorities. For example, in fiscal 2016 we processed over $74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economic or political conditions could adversely affect our operating results and our business.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9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Trade, monetary and fiscal policies, and political and economic conditions may substantially change, and credit markets may experience periods of constriction and volatility. For example, there is substantial uncertainty surrounding the United Kingdom’s June 23, 2016 vote to leave the European Union, which could result in a global economic downturn, which, in turn, could depress the demand for our services.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w:t>
      </w:r>
    </w:p>
    <w:p>
      <w:pPr>
        <w:sectPr>
          <w:pgSz w:w="11900" w:h="16838" w:orient="portrait"/>
          <w:cols w:equalWidth="0" w:num="1">
            <w:col w:w="11420"/>
          </w:cols>
          <w:pgMar w:left="240" w:top="125" w:right="239" w:bottom="0" w:gutter="0" w:footer="0" w:header="0"/>
        </w:sectPr>
      </w:pPr>
    </w:p>
    <w:bookmarkStart w:id="22" w:name="page23"/>
    <w:bookmarkEnd w:id="22"/>
    <w:p>
      <w:pPr>
        <w:ind w:right="420"/>
        <w:spacing w:after="0" w:line="277" w:lineRule="auto"/>
        <w:rPr>
          <w:sz w:val="20"/>
          <w:szCs w:val="20"/>
          <w:color w:val="auto"/>
        </w:rPr>
      </w:pPr>
      <w:r>
        <w:rPr>
          <w:rFonts w:ascii="Arial" w:cs="Arial" w:eastAsia="Arial" w:hAnsi="Arial"/>
          <w:sz w:val="18"/>
          <w:szCs w:val="18"/>
          <w:color w:val="auto"/>
        </w:rPr>
        <w:t>partners or a systemic shutdown of the banking industry could result in the loss of client funds or impede us from accessing and processing funds on our clients’ behalf, and could have an adverse impact on our business and liquidity.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laws or other domestic regulations may reduce the effectiveness of our applications and adversely affect our business.</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our solutions or our clients are not satisfied with our implementation services.</w:t>
      </w:r>
    </w:p>
    <w:p>
      <w:pPr>
        <w:spacing w:after="0" w:line="26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23" w:name="page24"/>
    <w:bookmarkEnd w:id="23"/>
    <w:p>
      <w:pPr>
        <w:ind w:right="400"/>
        <w:spacing w:after="0" w:line="286" w:lineRule="auto"/>
        <w:rPr>
          <w:sz w:val="20"/>
          <w:szCs w:val="20"/>
          <w:color w:val="auto"/>
        </w:rPr>
      </w:pPr>
      <w:r>
        <w:rPr>
          <w:rFonts w:ascii="Arial" w:cs="Arial" w:eastAsia="Arial" w:hAnsi="Arial"/>
          <w:sz w:val="17"/>
          <w:szCs w:val="17"/>
          <w:color w:val="auto"/>
        </w:rPr>
        <w:t>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170"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8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93" w:lineRule="exact"/>
        <w:rPr>
          <w:sz w:val="20"/>
          <w:szCs w:val="20"/>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from fire, power loss, natural disasters and other force majeure events outside our control;</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ectPr>
          <w:pgSz w:w="11900" w:h="16838" w:orient="portrait"/>
          <w:cols w:equalWidth="0" w:num="1">
            <w:col w:w="11420"/>
          </w:cols>
          <w:pgMar w:left="240" w:top="125" w:right="239" w:bottom="100" w:gutter="0" w:footer="0" w:header="0"/>
        </w:sectPr>
      </w:pPr>
    </w:p>
    <w:bookmarkStart w:id="24" w:name="page25"/>
    <w:bookmarkEnd w:id="24"/>
    <w:p>
      <w:pPr>
        <w:spacing w:after="0" w:line="6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host our applications and serve all of our clients from data centers located at our company headquarters in Arlington Heights, Illinois with backup data centers at third-party facilities in Franklin Park, Illinois and Kenosha, Wisconsin. We also may decide to employ additional offsite data centers in the future to accommodate growth.</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7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58"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7"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2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7"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w:t>
      </w:r>
    </w:p>
    <w:p>
      <w:pPr>
        <w:sectPr>
          <w:pgSz w:w="11900" w:h="16908" w:orient="portrait"/>
          <w:cols w:equalWidth="0" w:num="1">
            <w:col w:w="11420"/>
          </w:cols>
          <w:pgMar w:left="240" w:top="125" w:right="239" w:bottom="0" w:gutter="0" w:footer="0" w:header="0"/>
        </w:sectPr>
      </w:pPr>
    </w:p>
    <w:bookmarkStart w:id="25" w:name="page26"/>
    <w:bookmarkEnd w:id="25"/>
    <w:p>
      <w:pPr>
        <w:ind w:right="720"/>
        <w:spacing w:after="0" w:line="277" w:lineRule="auto"/>
        <w:rPr>
          <w:sz w:val="20"/>
          <w:szCs w:val="20"/>
          <w:color w:val="auto"/>
        </w:rPr>
      </w:pPr>
      <w:r>
        <w:rPr>
          <w:rFonts w:ascii="Arial" w:cs="Arial" w:eastAsia="Arial" w:hAnsi="Arial"/>
          <w:sz w:val="18"/>
          <w:szCs w:val="18"/>
          <w:color w:val="auto"/>
        </w:rPr>
        <w:t>provided over the Internet. These enactments could adversely affect our sales activity due to the inherent cost increase the taxes would represent and ultimately result in a negative impact on our operating results and cash flows.</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89"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78"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w:t>
      </w:r>
    </w:p>
    <w:p>
      <w:pPr>
        <w:sectPr>
          <w:pgSz w:w="11900" w:h="16838" w:orient="portrait"/>
          <w:cols w:equalWidth="0" w:num="1">
            <w:col w:w="11420"/>
          </w:cols>
          <w:pgMar w:left="240" w:top="125" w:right="239" w:bottom="0" w:gutter="0" w:footer="0" w:header="0"/>
        </w:sectPr>
      </w:pPr>
    </w:p>
    <w:bookmarkStart w:id="26" w:name="page27"/>
    <w:bookmarkEnd w:id="26"/>
    <w:p>
      <w:pPr>
        <w:spacing w:after="0" w:line="9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open source software in our products and solutions may expose us to additional risks and harm our intellectual property rights.</w:t>
      </w:r>
    </w:p>
    <w:p>
      <w:pPr>
        <w:spacing w:after="0" w:line="23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third-party software used in our products is not adequately maintained or updated, our business could be materially adversely affected.</w:t>
      </w:r>
    </w:p>
    <w:p>
      <w:pPr>
        <w:spacing w:after="0" w:line="237" w:lineRule="exact"/>
        <w:rPr>
          <w:sz w:val="20"/>
          <w:szCs w:val="20"/>
          <w:color w:val="auto"/>
        </w:rPr>
      </w:pPr>
    </w:p>
    <w:p>
      <w:pPr>
        <w:jc w:val="both"/>
        <w:ind w:right="300" w:firstLine="648"/>
        <w:spacing w:after="0" w:line="288" w:lineRule="auto"/>
        <w:rPr>
          <w:sz w:val="20"/>
          <w:szCs w:val="20"/>
          <w:color w:val="auto"/>
        </w:rPr>
      </w:pPr>
      <w:r>
        <w:rPr>
          <w:rFonts w:ascii="Arial" w:cs="Arial" w:eastAsia="Arial" w:hAnsi="Arial"/>
          <w:sz w:val="16"/>
          <w:szCs w:val="16"/>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w:t>
      </w:r>
    </w:p>
    <w:p>
      <w:pPr>
        <w:ind w:right="80"/>
        <w:spacing w:after="0" w:line="254" w:lineRule="auto"/>
        <w:rPr>
          <w:sz w:val="20"/>
          <w:szCs w:val="20"/>
          <w:color w:val="auto"/>
        </w:rPr>
      </w:pPr>
      <w:r>
        <w:rPr>
          <w:rFonts w:ascii="Arial" w:cs="Arial" w:eastAsia="Arial" w:hAnsi="Arial"/>
          <w:sz w:val="18"/>
          <w:szCs w:val="18"/>
          <w:color w:val="auto"/>
        </w:rPr>
        <w:t>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portions of its infrastructure. If the use of the Internet is adversely affected by these issues, demand for our applications could suffer.</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ectPr>
          <w:pgSz w:w="11900" w:h="16929" w:orient="portrait"/>
          <w:cols w:equalWidth="0" w:num="1">
            <w:col w:w="11420"/>
          </w:cols>
          <w:pgMar w:left="240" w:top="125" w:right="239" w:bottom="0" w:gutter="0" w:footer="0" w:header="0"/>
        </w:sectPr>
      </w:pP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ectPr>
          <w:pgSz w:w="11900" w:h="16929" w:orient="portrait"/>
          <w:cols w:equalWidth="0" w:num="1">
            <w:col w:w="11420"/>
          </w:cols>
          <w:pgMar w:left="240" w:top="125" w:right="239" w:bottom="0" w:gutter="0" w:footer="0" w:header="0"/>
          <w:type w:val="continuous"/>
        </w:sectPr>
      </w:pPr>
    </w:p>
    <w:bookmarkStart w:id="27" w:name="page28"/>
    <w:bookmarkEnd w:id="27"/>
    <w:p>
      <w:pPr>
        <w:ind w:right="140" w:firstLine="648"/>
        <w:spacing w:after="0" w:line="297"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 Accordingly, we might need to engage in equity or debt financings to secure additional funds. In addition, we will need to expand our ACH capacity as we grow our business.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services present the potential for embezzlement, identity theft, or other similar illegal behavior by our associates with respect to third parties.</w:t>
      </w:r>
    </w:p>
    <w:p>
      <w:pPr>
        <w:spacing w:after="0" w:line="2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w:t>
      </w:r>
      <w:r>
        <w:rPr>
          <w:rFonts w:ascii="Arial" w:cs="Arial" w:eastAsia="Arial" w:hAnsi="Arial"/>
          <w:sz w:val="17"/>
          <w:szCs w:val="17"/>
          <w:color w:val="auto"/>
        </w:rPr>
        <w:t>In particular, changes to regulations concerning revenue recognition could require us to alter our</w:t>
      </w:r>
      <w:r>
        <w:rPr>
          <w:rFonts w:ascii="Arial" w:cs="Arial" w:eastAsia="Arial" w:hAnsi="Arial"/>
          <w:sz w:val="18"/>
          <w:szCs w:val="18"/>
          <w:color w:val="auto"/>
        </w:rPr>
        <w:t xml:space="preserve"> </w:t>
      </w:r>
      <w:r>
        <w:rPr>
          <w:rFonts w:ascii="Arial" w:cs="Arial" w:eastAsia="Arial" w:hAnsi="Arial"/>
          <w:sz w:val="17"/>
          <w:szCs w:val="17"/>
          <w:color w:val="auto"/>
        </w:rPr>
        <w:t>current revenue accounting practices and cause us to either defer revenue into a future period, or to recognize lower revenue in a current period, and the implementation of such changes could increase compliance costs.</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8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1" w:lineRule="exact"/>
        <w:rPr>
          <w:sz w:val="20"/>
          <w:szCs w:val="20"/>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ectPr>
          <w:pgSz w:w="11900" w:h="16838" w:orient="portrait"/>
          <w:cols w:equalWidth="0" w:num="1">
            <w:col w:w="11400"/>
          </w:cols>
          <w:pgMar w:left="240" w:top="341" w:right="259" w:bottom="0" w:gutter="0" w:footer="0" w:header="0"/>
        </w:sectPr>
      </w:pPr>
    </w:p>
    <w:bookmarkStart w:id="28" w:name="page29"/>
    <w:bookmarkEnd w:id="28"/>
    <w:p>
      <w:pPr>
        <w:ind w:left="1300" w:right="360" w:hanging="320"/>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an acquired business fails to meet our expectations, our operating results, business and financial position may suffer.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October 28, 2016, our directors, executive officers and holders of more than 5% of our common stock, together with their respective affiliates, beneficially owned, in the aggregate, approximately 50.0%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trading price of our common stock could be subject to wide fluctuations in response to various factors, some of which are beyond our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those discussed in this “Risk Factors” section of this Quarterly Report on Form 10-Q and others such as:</w:t>
      </w:r>
    </w:p>
    <w:p>
      <w:pPr>
        <w:spacing w:after="0" w:line="211" w:lineRule="exact"/>
        <w:rPr>
          <w:sz w:val="20"/>
          <w:szCs w:val="20"/>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540" w:hanging="320"/>
        <w:spacing w:after="0" w:line="277"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225" w:lineRule="exact"/>
        <w:rPr>
          <w:rFonts w:ascii="Arial" w:cs="Arial" w:eastAsia="Arial" w:hAnsi="Arial"/>
          <w:sz w:val="18"/>
          <w:szCs w:val="18"/>
          <w:color w:val="auto"/>
        </w:rPr>
      </w:pPr>
    </w:p>
    <w:p>
      <w:pPr>
        <w:ind w:left="1300" w:right="180" w:hanging="320"/>
        <w:spacing w:after="0" w:line="264"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those resulting from the United Kingdom’s decision to exit from the European Union, acts of God, war, incidents of terrorism, or other destabilizing events and the resulting responses to them).</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ectPr>
          <w:pgSz w:w="11900" w:h="16838" w:orient="portrait"/>
          <w:cols w:equalWidth="0" w:num="1">
            <w:col w:w="11380"/>
          </w:cols>
          <w:pgMar w:left="240" w:top="125" w:right="279" w:bottom="0" w:gutter="0" w:footer="0" w:header="0"/>
        </w:sectPr>
      </w:pPr>
    </w:p>
    <w:bookmarkStart w:id="29" w:name="page30"/>
    <w:bookmarkEnd w:id="29"/>
    <w:p>
      <w:pPr>
        <w:spacing w:after="0" w:line="137"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have not declared or paid dividends on our common stock in the past two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by existing stockholders could depress the market price of our common stock.</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October 28, 2016, we had an aggregate of 51,343,799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87" w:lineRule="exact"/>
        <w:rPr>
          <w:sz w:val="20"/>
          <w:szCs w:val="20"/>
          <w:color w:val="auto"/>
        </w:rPr>
      </w:pPr>
    </w:p>
    <w:p>
      <w:pPr>
        <w:jc w:val="both"/>
        <w:ind w:right="160" w:firstLine="648"/>
        <w:spacing w:after="0" w:line="276" w:lineRule="auto"/>
        <w:rPr>
          <w:sz w:val="20"/>
          <w:szCs w:val="20"/>
          <w:color w:val="auto"/>
        </w:rPr>
      </w:pPr>
      <w:r>
        <w:rPr>
          <w:rFonts w:ascii="Arial" w:cs="Arial" w:eastAsia="Arial" w:hAnsi="Arial"/>
          <w:sz w:val="17"/>
          <w:szCs w:val="17"/>
          <w:color w:val="auto"/>
        </w:rPr>
        <w:t>In addition, we have registered 12,778,598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significant expenses and devoted substantial management effort toward ensuring compliance with the requirements of Section 404 of the Sarbanes-Oxley Act. Although we have hired additional employees to comply with these requirements, we will need to hire additional accounting and financial staff with appropriate public company experience and technical accounting knowledge. We cannot predict or estimate the amount of additional costs we may incur or the timing of such costs.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w:t>
      </w:r>
    </w:p>
    <w:p>
      <w:pPr>
        <w:sectPr>
          <w:pgSz w:w="11900" w:h="16975" w:orient="portrait"/>
          <w:cols w:equalWidth="0" w:num="1">
            <w:col w:w="11420"/>
          </w:cols>
          <w:pgMar w:left="240" w:top="125" w:right="239" w:bottom="0" w:gutter="0" w:footer="0" w:header="0"/>
        </w:sectPr>
      </w:pPr>
    </w:p>
    <w:bookmarkStart w:id="30" w:name="page31"/>
    <w:bookmarkEnd w:id="30"/>
    <w:p>
      <w:pPr>
        <w:ind w:right="220"/>
        <w:spacing w:after="0" w:line="264" w:lineRule="auto"/>
        <w:rPr>
          <w:sz w:val="20"/>
          <w:szCs w:val="20"/>
          <w:color w:val="auto"/>
        </w:rPr>
      </w:pPr>
      <w:r>
        <w:rPr>
          <w:rFonts w:ascii="Arial" w:cs="Arial" w:eastAsia="Arial" w:hAnsi="Arial"/>
          <w:sz w:val="18"/>
          <w:szCs w:val="18"/>
          <w:color w:val="auto"/>
        </w:rPr>
        <w:t>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181" w:lineRule="exact"/>
        <w:rPr>
          <w:sz w:val="20"/>
          <w:szCs w:val="20"/>
          <w:color w:val="auto"/>
        </w:rPr>
      </w:pPr>
    </w:p>
    <w:p>
      <w:pPr>
        <w:ind w:left="1300" w:right="48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170" w:lineRule="exact"/>
        <w:rPr>
          <w:rFonts w:ascii="Arial" w:cs="Arial" w:eastAsia="Arial" w:hAnsi="Arial"/>
          <w:sz w:val="18"/>
          <w:szCs w:val="18"/>
          <w:color w:val="auto"/>
        </w:rPr>
      </w:pPr>
    </w:p>
    <w:p>
      <w:pPr>
        <w:ind w:left="130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225" w:lineRule="exact"/>
        <w:rPr>
          <w:rFonts w:ascii="Arial" w:cs="Arial" w:eastAsia="Arial" w:hAnsi="Arial"/>
          <w:sz w:val="18"/>
          <w:szCs w:val="18"/>
          <w:color w:val="auto"/>
        </w:rPr>
      </w:pPr>
    </w:p>
    <w:p>
      <w:pPr>
        <w:ind w:left="1300" w:right="28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5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September 30, 2015, we completed a secondary offering of 4,301,000 shares of common stock at a price of $29.75 per share, before underwriting discounts and commissions. The offer and sale of all of the shares in the secondary offering were registered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340" w:type="dxa"/>
            <w:vAlign w:val="bottom"/>
          </w:tcPr>
          <w:p>
            <w:pPr>
              <w:spacing w:after="0"/>
              <w:rPr>
                <w:sz w:val="14"/>
                <w:szCs w:val="1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First Amended and Restated Certificate of Incorporation (filed as Exhibit 3.2 of Paylocity Holding Corporation’s Form S-1 Registration</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Statement (Registration No. 333-193661).</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6"/>
              </w:rPr>
              <w:t>Amended and Restated Bylaws of Paylocity Holding Corporation. (filed as Exhibit 3.2 of Paylocity Holding Corporation’s Quarterly</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Report on Form 10-Q for the quarter ended December 31, 2015 (File No. 001-36348)).</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of Chief Executive Officer pursuant to Securities Exchange Act Rules 13a-4 and 15d-14 as adopted pursuant to Section 302</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 the Sarbanes-Oxley Act of 2002.</w:t>
            </w:r>
          </w:p>
        </w:tc>
      </w:tr>
    </w:tbl>
    <w:p>
      <w:pPr>
        <w:sectPr>
          <w:pgSz w:w="11900" w:h="16838" w:orient="portrait"/>
          <w:cols w:equalWidth="0" w:num="1">
            <w:col w:w="11420"/>
          </w:cols>
          <w:pgMar w:left="240" w:top="125" w:right="239" w:bottom="0" w:gutter="0" w:footer="0" w:header="0"/>
        </w:sectPr>
      </w:pPr>
    </w:p>
    <w:bookmarkStart w:id="31" w:name="page32"/>
    <w:bookmarkEnd w:id="31"/>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Certification of Chief Financial Officer pursuant to Securities Exchange Act Rules 13a-4 and 15d-14 as adopted pursuant to Section 302 of the Sarbanes-Oxley Act of 2002.</w:t>
      </w:r>
    </w:p>
    <w:p>
      <w:pPr>
        <w:spacing w:after="0" w:line="170" w:lineRule="exact"/>
        <w:rPr>
          <w:sz w:val="20"/>
          <w:szCs w:val="20"/>
          <w:color w:val="auto"/>
        </w:rPr>
      </w:pPr>
    </w:p>
    <w:p>
      <w:pPr>
        <w:sectPr>
          <w:pgSz w:w="11900" w:h="16884" w:orient="portrait"/>
          <w:cols w:equalWidth="0" w:num="2">
            <w:col w:w="780" w:space="720"/>
            <w:col w:w="9960"/>
          </w:cols>
          <w:pgMar w:left="240" w:top="125" w:right="199" w:bottom="0" w:gutter="0" w:footer="0" w:header="0"/>
        </w:sectPr>
      </w:pPr>
    </w:p>
    <w:p>
      <w:pPr>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Certification pursuant to 18 U.S.C. 1350, adopted pursuant to Section 906 of the Sarbanes-Oxley Act of 2002, by Chief Executive Officer.</w:t>
      </w:r>
    </w:p>
    <w:p>
      <w:pPr>
        <w:spacing w:after="0" w:line="170" w:lineRule="exact"/>
        <w:rPr>
          <w:sz w:val="20"/>
          <w:szCs w:val="20"/>
          <w:color w:val="auto"/>
        </w:rPr>
      </w:pPr>
    </w:p>
    <w:p>
      <w:pPr>
        <w:sectPr>
          <w:pgSz w:w="11900" w:h="16884" w:orient="portrait"/>
          <w:cols w:equalWidth="0" w:num="2">
            <w:col w:w="780" w:space="720"/>
            <w:col w:w="9960"/>
          </w:cols>
          <w:pgMar w:left="240" w:top="125" w:right="199" w:bottom="0" w:gutter="0" w:footer="0" w:header="0"/>
          <w:type w:val="continuous"/>
        </w:sectPr>
      </w:pPr>
    </w:p>
    <w:p>
      <w:pPr>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1350, adopted pursuant to Section 906 of the Sarbanes-Oxley Act of 2002, by Chief Financial Officer.</w:t>
      </w:r>
    </w:p>
    <w:p>
      <w:pPr>
        <w:spacing w:after="0" w:line="222" w:lineRule="exact"/>
        <w:rPr>
          <w:sz w:val="20"/>
          <w:szCs w:val="20"/>
          <w:color w:val="auto"/>
        </w:rPr>
      </w:pPr>
    </w:p>
    <w:p>
      <w:pPr>
        <w:sectPr>
          <w:pgSz w:w="11900" w:h="16884" w:orient="portrait"/>
          <w:cols w:equalWidth="0" w:num="2">
            <w:col w:w="780" w:space="720"/>
            <w:col w:w="9960"/>
          </w:cols>
          <w:pgMar w:left="240" w:top="125" w:right="19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11" w:lineRule="exact"/>
        <w:rPr>
          <w:sz w:val="20"/>
          <w:szCs w:val="20"/>
          <w:color w:val="auto"/>
        </w:rPr>
      </w:pPr>
    </w:p>
    <w:p>
      <w:pPr>
        <w:sectPr>
          <w:pgSz w:w="11900" w:h="16884" w:orient="portrait"/>
          <w:cols w:equalWidth="0" w:num="2">
            <w:col w:w="780" w:space="720"/>
            <w:col w:w="996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84" w:orient="portrait"/>
          <w:cols w:equalWidth="0" w:num="2">
            <w:col w:w="780" w:space="720"/>
            <w:col w:w="996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22" w:lineRule="exact"/>
        <w:rPr>
          <w:sz w:val="20"/>
          <w:szCs w:val="20"/>
          <w:color w:val="auto"/>
        </w:rPr>
      </w:pPr>
    </w:p>
    <w:p>
      <w:pPr>
        <w:sectPr>
          <w:pgSz w:w="11900" w:h="16884" w:orient="portrait"/>
          <w:cols w:equalWidth="0" w:num="2">
            <w:col w:w="780" w:space="720"/>
            <w:col w:w="9960"/>
          </w:cols>
          <w:pgMar w:left="240" w:top="125" w:right="19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84" w:orient="portrait"/>
          <w:cols w:equalWidth="0" w:num="2">
            <w:col w:w="780" w:space="720"/>
            <w:col w:w="996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22" w:lineRule="exact"/>
        <w:rPr>
          <w:sz w:val="20"/>
          <w:szCs w:val="20"/>
          <w:color w:val="auto"/>
        </w:rPr>
      </w:pPr>
    </w:p>
    <w:p>
      <w:pPr>
        <w:sectPr>
          <w:pgSz w:w="11900" w:h="16884" w:orient="portrait"/>
          <w:cols w:equalWidth="0" w:num="2">
            <w:col w:w="780" w:space="720"/>
            <w:col w:w="9960"/>
          </w:cols>
          <w:pgMar w:left="240" w:top="125" w:right="19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235585</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84" w:orient="portrait"/>
          <w:cols w:equalWidth="0" w:num="2">
            <w:col w:w="780" w:space="720"/>
            <w:col w:w="9960"/>
          </w:cols>
          <w:pgMar w:left="240" w:top="125" w:right="199" w:bottom="0" w:gutter="0" w:footer="0" w:header="0"/>
          <w:type w:val="continuous"/>
        </w:sectPr>
      </w:pPr>
    </w:p>
    <w:p>
      <w:pPr>
        <w:spacing w:after="0" w:line="278" w:lineRule="exact"/>
        <w:rPr>
          <w:sz w:val="20"/>
          <w:szCs w:val="20"/>
          <w:color w:val="auto"/>
        </w:rPr>
      </w:pPr>
    </w:p>
    <w:p>
      <w:pPr>
        <w:ind w:left="440" w:hanging="433"/>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40" w:hanging="433"/>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4"/>
          </w:tcPr>
          <w:p>
            <w:pPr>
              <w:spacing w:after="0"/>
              <w:rPr>
                <w:sz w:val="20"/>
                <w:szCs w:val="20"/>
                <w:color w:val="auto"/>
              </w:rPr>
            </w:pPr>
            <w:r>
              <w:rPr>
                <w:rFonts w:ascii="Arial" w:cs="Arial" w:eastAsia="Arial" w:hAnsi="Arial"/>
                <w:sz w:val="18"/>
                <w:szCs w:val="18"/>
                <w:color w:val="auto"/>
              </w:rPr>
              <w:t>undersigned, thereunto duly authorized.</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8"/>
                <w:szCs w:val="18"/>
                <w:color w:val="auto"/>
              </w:rPr>
              <w:t>PAYLOCITY HOLDING CORPORATION</w:t>
            </w:r>
          </w:p>
        </w:tc>
        <w:tc>
          <w:tcPr>
            <w:tcW w:w="40" w:type="dxa"/>
            <w:vAlign w:val="bottom"/>
          </w:tcPr>
          <w:p>
            <w:pPr>
              <w:spacing w:after="0"/>
              <w:rPr>
                <w:sz w:val="24"/>
                <w:szCs w:val="24"/>
                <w:color w:val="auto"/>
              </w:rPr>
            </w:pPr>
          </w:p>
        </w:tc>
      </w:tr>
      <w:tr>
        <w:trPr>
          <w:trHeight w:val="432"/>
        </w:trPr>
        <w:tc>
          <w:tcPr>
            <w:tcW w:w="5800" w:type="dxa"/>
            <w:vAlign w:val="bottom"/>
            <w:gridSpan w:val="4"/>
          </w:tcPr>
          <w:p>
            <w:pPr>
              <w:spacing w:after="0"/>
              <w:rPr>
                <w:sz w:val="20"/>
                <w:szCs w:val="20"/>
                <w:color w:val="auto"/>
              </w:rPr>
            </w:pPr>
            <w:r>
              <w:rPr>
                <w:rFonts w:ascii="Arial" w:cs="Arial" w:eastAsia="Arial" w:hAnsi="Arial"/>
                <w:sz w:val="18"/>
                <w:szCs w:val="18"/>
                <w:color w:val="auto"/>
              </w:rPr>
              <w:t>Date: November 4, 2016</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4800" w:type="dxa"/>
            <w:vAlign w:val="bottom"/>
          </w:tcPr>
          <w:p>
            <w:pPr>
              <w:jc w:val="center"/>
              <w:ind w:right="70"/>
              <w:spacing w:after="0"/>
              <w:rPr>
                <w:sz w:val="20"/>
                <w:szCs w:val="20"/>
                <w:color w:val="auto"/>
              </w:rPr>
            </w:pPr>
            <w:r>
              <w:rPr>
                <w:rFonts w:ascii="Arial" w:cs="Arial" w:eastAsia="Arial" w:hAnsi="Arial"/>
                <w:sz w:val="18"/>
                <w:szCs w:val="18"/>
                <w:color w:val="auto"/>
                <w:w w:val="88"/>
              </w:rPr>
              <w:t>/S/ Steven R. Beauchamp</w:t>
            </w:r>
          </w:p>
        </w:tc>
        <w:tc>
          <w:tcPr>
            <w:tcW w:w="4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8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Name:</w:t>
            </w:r>
          </w:p>
        </w:tc>
        <w:tc>
          <w:tcPr>
            <w:tcW w:w="14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Steven R. Beauchamp</w:t>
            </w:r>
          </w:p>
        </w:tc>
        <w:tc>
          <w:tcPr>
            <w:tcW w:w="4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w:t>
            </w:r>
          </w:p>
        </w:tc>
        <w:tc>
          <w:tcPr>
            <w:tcW w:w="48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40" w:type="dxa"/>
            <w:vAlign w:val="bottom"/>
          </w:tcPr>
          <w:p>
            <w:pPr>
              <w:spacing w:after="0"/>
              <w:rPr>
                <w:sz w:val="20"/>
                <w:szCs w:val="20"/>
                <w:color w:val="auto"/>
              </w:rPr>
            </w:pPr>
          </w:p>
        </w:tc>
      </w:tr>
      <w:tr>
        <w:trPr>
          <w:trHeight w:val="648"/>
        </w:trPr>
        <w:tc>
          <w:tcPr>
            <w:tcW w:w="5800" w:type="dxa"/>
            <w:vAlign w:val="bottom"/>
            <w:gridSpan w:val="4"/>
          </w:tcPr>
          <w:p>
            <w:pPr>
              <w:ind w:left="60"/>
              <w:spacing w:after="0"/>
              <w:rPr>
                <w:sz w:val="20"/>
                <w:szCs w:val="20"/>
                <w:color w:val="auto"/>
              </w:rPr>
            </w:pPr>
            <w:r>
              <w:rPr>
                <w:rFonts w:ascii="Arial" w:cs="Arial" w:eastAsia="Arial" w:hAnsi="Arial"/>
                <w:sz w:val="18"/>
                <w:szCs w:val="18"/>
                <w:color w:val="auto"/>
              </w:rPr>
              <w:t>Date: November 4, 2016</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4800" w:type="dxa"/>
            <w:vAlign w:val="bottom"/>
          </w:tcPr>
          <w:p>
            <w:pPr>
              <w:jc w:val="center"/>
              <w:ind w:right="50"/>
              <w:spacing w:after="0"/>
              <w:rPr>
                <w:sz w:val="20"/>
                <w:szCs w:val="20"/>
                <w:color w:val="auto"/>
              </w:rPr>
            </w:pPr>
            <w:r>
              <w:rPr>
                <w:rFonts w:ascii="Arial" w:cs="Arial" w:eastAsia="Arial" w:hAnsi="Arial"/>
                <w:sz w:val="18"/>
                <w:szCs w:val="18"/>
                <w:color w:val="auto"/>
                <w:w w:val="90"/>
              </w:rPr>
              <w:t>/S/ Peter J. McGrail</w:t>
            </w:r>
          </w:p>
        </w:tc>
        <w:tc>
          <w:tcPr>
            <w:tcW w:w="4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8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Name:</w:t>
            </w:r>
          </w:p>
        </w:tc>
        <w:tc>
          <w:tcPr>
            <w:tcW w:w="14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5"/>
              </w:rPr>
              <w:t>Peter J. McGrail</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w:t>
            </w:r>
          </w:p>
        </w:tc>
        <w:tc>
          <w:tcPr>
            <w:tcW w:w="48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Chief Financial Officer (Principal Financial and Accounting</w:t>
            </w:r>
          </w:p>
        </w:tc>
        <w:tc>
          <w:tcPr>
            <w:tcW w:w="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Officer)</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440" w:type="dxa"/>
            <w:vAlign w:val="bottom"/>
            <w:gridSpan w:val="2"/>
          </w:tcPr>
          <w:p>
            <w:pPr>
              <w:spacing w:after="0"/>
              <w:rPr>
                <w:rFonts w:ascii="Arial" w:cs="Arial" w:eastAsia="Arial" w:hAnsi="Arial"/>
                <w:sz w:val="18"/>
                <w:szCs w:val="18"/>
                <w:color w:val="0000EE"/>
                <w:w w:val="99"/>
              </w:rPr>
            </w:pPr>
            <w:hyperlink w:anchor="page2">
              <w:r>
                <w:rPr>
                  <w:rFonts w:ascii="Arial" w:cs="Arial" w:eastAsia="Arial" w:hAnsi="Arial"/>
                  <w:sz w:val="18"/>
                  <w:szCs w:val="18"/>
                  <w:color w:val="0000EE"/>
                  <w:w w:val="99"/>
                </w:rPr>
                <w:t>Table of Contents</w:t>
              </w:r>
            </w:hyperlink>
          </w:p>
        </w:tc>
        <w:tc>
          <w:tcPr>
            <w:tcW w:w="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3"/>
          </w:tcPr>
          <w:p>
            <w:pPr>
              <w:jc w:val="center"/>
              <w:ind w:left="3010"/>
              <w:spacing w:after="0"/>
              <w:rPr>
                <w:sz w:val="20"/>
                <w:szCs w:val="20"/>
                <w:color w:val="auto"/>
              </w:rPr>
            </w:pPr>
            <w:r>
              <w:rPr>
                <w:rFonts w:ascii="Arial" w:cs="Arial" w:eastAsia="Arial" w:hAnsi="Arial"/>
                <w:sz w:val="18"/>
                <w:szCs w:val="18"/>
                <w:b w:val="1"/>
                <w:bCs w:val="1"/>
                <w:color w:val="auto"/>
              </w:rPr>
              <w:t>INDEX TO EXHIBITS</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9980" w:type="dxa"/>
            <w:vAlign w:val="bottom"/>
            <w:gridSpan w:val="5"/>
          </w:tcPr>
          <w:p>
            <w:pPr>
              <w:ind w:left="280"/>
              <w:spacing w:after="0"/>
              <w:rPr>
                <w:sz w:val="20"/>
                <w:szCs w:val="20"/>
                <w:color w:val="auto"/>
              </w:rPr>
            </w:pPr>
            <w:r>
              <w:rPr>
                <w:rFonts w:ascii="Arial" w:cs="Arial" w:eastAsia="Arial" w:hAnsi="Arial"/>
                <w:sz w:val="18"/>
                <w:szCs w:val="18"/>
                <w:color w:val="auto"/>
              </w:rPr>
              <w:t>First Amended and Restated Certificate of Incorporation (filed as Exhibit 3.2 of Paylocity Holding Corporation’s Form S-1</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w w:val="93"/>
              </w:rPr>
              <w:t>Registration Statement (Registration No. 333-193661).</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9980" w:type="dxa"/>
            <w:vAlign w:val="bottom"/>
            <w:gridSpan w:val="5"/>
          </w:tcPr>
          <w:p>
            <w:pPr>
              <w:ind w:left="280"/>
              <w:spacing w:after="0"/>
              <w:rPr>
                <w:sz w:val="20"/>
                <w:szCs w:val="20"/>
                <w:color w:val="auto"/>
              </w:rPr>
            </w:pPr>
            <w:r>
              <w:rPr>
                <w:rFonts w:ascii="Arial" w:cs="Arial" w:eastAsia="Arial" w:hAnsi="Arial"/>
                <w:sz w:val="18"/>
                <w:szCs w:val="18"/>
                <w:color w:val="auto"/>
                <w:w w:val="94"/>
              </w:rPr>
              <w:t>Amended and Restated Bylaws of Paylocity Holding Corporation. (filed as Exhibit 3.2 of Paylocity Holding Corporation’s Quarterly</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80" w:type="dxa"/>
            <w:vAlign w:val="bottom"/>
            <w:gridSpan w:val="5"/>
          </w:tcPr>
          <w:p>
            <w:pPr>
              <w:ind w:left="280"/>
              <w:spacing w:after="0"/>
              <w:rPr>
                <w:sz w:val="20"/>
                <w:szCs w:val="20"/>
                <w:color w:val="auto"/>
              </w:rPr>
            </w:pPr>
            <w:r>
              <w:rPr>
                <w:rFonts w:ascii="Arial" w:cs="Arial" w:eastAsia="Arial" w:hAnsi="Arial"/>
                <w:sz w:val="18"/>
                <w:szCs w:val="18"/>
                <w:color w:val="auto"/>
              </w:rPr>
              <w:t>Report on Form 10-Q for the quarter ended December 31, 2015 (File No. 001-36348)).</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980" w:type="dxa"/>
            <w:vAlign w:val="bottom"/>
            <w:gridSpan w:val="5"/>
          </w:tcPr>
          <w:p>
            <w:pPr>
              <w:ind w:left="280"/>
              <w:spacing w:after="0"/>
              <w:rPr>
                <w:sz w:val="20"/>
                <w:szCs w:val="20"/>
                <w:color w:val="auto"/>
              </w:rPr>
            </w:pPr>
            <w:r>
              <w:rPr>
                <w:rFonts w:ascii="Arial" w:cs="Arial" w:eastAsia="Arial" w:hAnsi="Arial"/>
                <w:sz w:val="18"/>
                <w:szCs w:val="18"/>
                <w:color w:val="auto"/>
                <w:w w:val="98"/>
              </w:rPr>
              <w:t>Certification of Chief Executive Officer pursuant to Securities Exchange Act Rules 13a-4 and 15d-14 as adopted pursuant to</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980" w:type="dxa"/>
            <w:vAlign w:val="bottom"/>
            <w:gridSpan w:val="5"/>
          </w:tcPr>
          <w:p>
            <w:pPr>
              <w:ind w:left="280"/>
              <w:spacing w:after="0"/>
              <w:rPr>
                <w:sz w:val="20"/>
                <w:szCs w:val="20"/>
                <w:color w:val="auto"/>
              </w:rPr>
            </w:pPr>
            <w:r>
              <w:rPr>
                <w:rFonts w:ascii="Arial" w:cs="Arial" w:eastAsia="Arial" w:hAnsi="Arial"/>
                <w:sz w:val="18"/>
                <w:szCs w:val="18"/>
                <w:color w:val="auto"/>
                <w:w w:val="98"/>
              </w:rPr>
              <w:t>Certification of Chief Financial Officer pursuant to Securities Exchange Act Rules 13a-4 and 15d-14 as adopted pursuant to</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980" w:type="dxa"/>
            <w:vAlign w:val="bottom"/>
            <w:gridSpan w:val="5"/>
          </w:tcPr>
          <w:p>
            <w:pPr>
              <w:ind w:left="280"/>
              <w:spacing w:after="0"/>
              <w:rPr>
                <w:sz w:val="20"/>
                <w:szCs w:val="20"/>
                <w:color w:val="auto"/>
              </w:rPr>
            </w:pPr>
            <w:r>
              <w:rPr>
                <w:rFonts w:ascii="Arial" w:cs="Arial" w:eastAsia="Arial" w:hAnsi="Arial"/>
                <w:sz w:val="18"/>
                <w:szCs w:val="18"/>
                <w:color w:val="auto"/>
                <w:w w:val="94"/>
              </w:rPr>
              <w:t>Certification pursuant to 18 U.S.C. 1350, adopted pursuant to Section 906 of the Sarbanes-Oxley Act of 2002, by Chief Executive</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Officer.</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980" w:type="dxa"/>
            <w:vAlign w:val="bottom"/>
            <w:gridSpan w:val="5"/>
          </w:tcPr>
          <w:p>
            <w:pPr>
              <w:ind w:left="280"/>
              <w:spacing w:after="0"/>
              <w:rPr>
                <w:sz w:val="20"/>
                <w:szCs w:val="20"/>
                <w:color w:val="auto"/>
              </w:rPr>
            </w:pPr>
            <w:r>
              <w:rPr>
                <w:rFonts w:ascii="Arial" w:cs="Arial" w:eastAsia="Arial" w:hAnsi="Arial"/>
                <w:sz w:val="18"/>
                <w:szCs w:val="18"/>
                <w:color w:val="auto"/>
                <w:w w:val="94"/>
              </w:rPr>
              <w:t>Certification pursuant to 18 U.S.C. 1350, adopted pursuant to Section 906 of the Sarbanes-Oxley Act of 2002, by Chief Financial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Officer.</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XBRL Instance Document.</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-3920490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-3920490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101.CAL*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235585</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1000" w:space="720"/>
            <w:col w:w="8499"/>
          </w:cols>
          <w:pgMar w:left="240" w:top="341" w:right="1440" w:bottom="1440" w:gutter="0" w:footer="0" w:header="0"/>
        </w:sectPr>
      </w:pPr>
    </w:p>
    <w:p>
      <w:pPr>
        <w:spacing w:after="0" w:line="266" w:lineRule="exact"/>
        <w:rPr>
          <w:sz w:val="20"/>
          <w:szCs w:val="20"/>
          <w:color w:val="auto"/>
        </w:rPr>
      </w:pPr>
    </w:p>
    <w:p>
      <w:pPr>
        <w:ind w:left="440" w:hanging="433"/>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225" w:lineRule="exact"/>
        <w:rPr>
          <w:sz w:val="20"/>
          <w:szCs w:val="20"/>
          <w:color w:val="auto"/>
        </w:rPr>
      </w:pPr>
    </w:p>
    <w:p>
      <w:pPr>
        <w:ind w:left="1060" w:hanging="17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 (the “Company”);</w:t>
      </w:r>
    </w:p>
    <w:p>
      <w:pPr>
        <w:spacing w:after="0" w:line="225" w:lineRule="exact"/>
        <w:rPr>
          <w:rFonts w:ascii="Arial" w:cs="Arial" w:eastAsia="Arial" w:hAnsi="Arial"/>
          <w:sz w:val="18"/>
          <w:szCs w:val="18"/>
          <w:color w:val="auto"/>
        </w:rPr>
      </w:pPr>
    </w:p>
    <w:p>
      <w:pPr>
        <w:ind w:left="440" w:right="180" w:firstLine="449"/>
        <w:spacing w:after="0" w:line="264" w:lineRule="auto"/>
        <w:tabs>
          <w:tab w:leader="none" w:pos="10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40" w:firstLine="449"/>
        <w:spacing w:after="0" w:line="308" w:lineRule="auto"/>
        <w:tabs>
          <w:tab w:leader="none" w:pos="1061"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40" w:right="120" w:firstLine="449"/>
        <w:spacing w:after="0" w:line="264" w:lineRule="auto"/>
        <w:tabs>
          <w:tab w:leader="none" w:pos="10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00" w:hanging="170"/>
        <w:spacing w:after="0"/>
        <w:tabs>
          <w:tab w:leader="none" w:pos="15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880" w:right="260"/>
        <w:spacing w:after="0" w:line="261"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7"/>
          <w:szCs w:val="17"/>
          <w:color w:val="auto"/>
        </w:rPr>
      </w:pPr>
    </w:p>
    <w:p>
      <w:pPr>
        <w:ind w:left="880" w:right="40" w:firstLine="450"/>
        <w:spacing w:after="0" w:line="264" w:lineRule="auto"/>
        <w:tabs>
          <w:tab w:leader="none" w:pos="15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260" w:firstLine="450"/>
        <w:spacing w:after="0" w:line="342" w:lineRule="auto"/>
        <w:tabs>
          <w:tab w:leader="none" w:pos="14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180" w:firstLine="450"/>
        <w:spacing w:after="0" w:line="264" w:lineRule="auto"/>
        <w:tabs>
          <w:tab w:leader="none" w:pos="15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quarter ended September 30, 2016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80" w:firstLine="449"/>
        <w:spacing w:after="0" w:line="342" w:lineRule="auto"/>
        <w:tabs>
          <w:tab w:leader="none" w:pos="10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480" w:firstLine="450"/>
        <w:spacing w:after="0" w:line="308" w:lineRule="auto"/>
        <w:tabs>
          <w:tab w:leader="none" w:pos="149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160" w:firstLine="450"/>
        <w:spacing w:after="0" w:line="277" w:lineRule="auto"/>
        <w:tabs>
          <w:tab w:leader="none" w:pos="15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Date: November 4, 2016</w:t>
            </w: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c>
          <w:tcPr>
            <w:tcW w:w="40" w:type="dxa"/>
            <w:vAlign w:val="bottom"/>
          </w:tcPr>
          <w:p>
            <w:pPr>
              <w:spacing w:after="0"/>
              <w:rPr>
                <w:sz w:val="20"/>
                <w:szCs w:val="20"/>
                <w:color w:val="auto"/>
              </w:rPr>
            </w:pPr>
          </w:p>
        </w:tc>
      </w:tr>
      <w:tr>
        <w:trPr>
          <w:trHeight w:val="191"/>
        </w:trPr>
        <w:tc>
          <w:tcPr>
            <w:tcW w:w="6660" w:type="dxa"/>
            <w:vAlign w:val="bottom"/>
          </w:tcPr>
          <w:p>
            <w:pPr>
              <w:ind w:left="5820"/>
              <w:spacing w:after="0" w:line="191" w:lineRule="exact"/>
              <w:rPr>
                <w:sz w:val="20"/>
                <w:szCs w:val="20"/>
                <w:color w:val="auto"/>
              </w:rPr>
            </w:pPr>
            <w:r>
              <w:rPr>
                <w:rFonts w:ascii="Arial" w:cs="Arial" w:eastAsia="Arial" w:hAnsi="Arial"/>
                <w:sz w:val="18"/>
                <w:szCs w:val="18"/>
                <w:b w:val="1"/>
                <w:bCs w:val="1"/>
                <w:color w:val="auto"/>
              </w:rPr>
              <w:t>Name:</w:t>
            </w:r>
          </w:p>
        </w:tc>
        <w:tc>
          <w:tcPr>
            <w:tcW w:w="4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Steven R. Beauchamp</w:t>
            </w:r>
          </w:p>
        </w:tc>
        <w:tc>
          <w:tcPr>
            <w:tcW w:w="40" w:type="dxa"/>
            <w:vAlign w:val="bottom"/>
          </w:tcPr>
          <w:p>
            <w:pPr>
              <w:spacing w:after="0"/>
              <w:rPr>
                <w:sz w:val="16"/>
                <w:szCs w:val="16"/>
                <w:color w:val="auto"/>
              </w:rPr>
            </w:pPr>
          </w:p>
        </w:tc>
      </w:tr>
      <w:tr>
        <w:trPr>
          <w:trHeight w:val="234"/>
        </w:trPr>
        <w:tc>
          <w:tcPr>
            <w:tcW w:w="6660" w:type="dxa"/>
            <w:vAlign w:val="bottom"/>
          </w:tcPr>
          <w:p>
            <w:pPr>
              <w:ind w:left="5820"/>
              <w:spacing w:after="0"/>
              <w:rPr>
                <w:sz w:val="20"/>
                <w:szCs w:val="20"/>
                <w:color w:val="auto"/>
              </w:rPr>
            </w:pPr>
            <w:r>
              <w:rPr>
                <w:rFonts w:ascii="Arial" w:cs="Arial" w:eastAsia="Arial" w:hAnsi="Arial"/>
                <w:sz w:val="18"/>
                <w:szCs w:val="18"/>
                <w:b w:val="1"/>
                <w:bCs w:val="1"/>
                <w:color w:val="auto"/>
              </w:rPr>
              <w:t>Title:</w:t>
            </w:r>
          </w:p>
        </w:tc>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40" w:type="dxa"/>
            <w:vAlign w:val="bottom"/>
          </w:tcPr>
          <w:p>
            <w:pPr>
              <w:spacing w:after="0"/>
              <w:rPr>
                <w:sz w:val="20"/>
                <w:szCs w:val="20"/>
                <w:color w:val="auto"/>
              </w:rPr>
            </w:pPr>
          </w:p>
        </w:tc>
      </w:tr>
      <w:tr>
        <w:trPr>
          <w:trHeight w:val="348"/>
        </w:trPr>
        <w:tc>
          <w:tcPr>
            <w:tcW w:w="666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J. McGrail, certify that:</w:t>
      </w:r>
    </w:p>
    <w:p>
      <w:pPr>
        <w:spacing w:after="0" w:line="225" w:lineRule="exact"/>
        <w:rPr>
          <w:sz w:val="20"/>
          <w:szCs w:val="20"/>
          <w:color w:val="auto"/>
        </w:rPr>
      </w:pPr>
    </w:p>
    <w:p>
      <w:pPr>
        <w:ind w:left="1060" w:hanging="17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 (the “Company”);</w:t>
      </w:r>
    </w:p>
    <w:p>
      <w:pPr>
        <w:spacing w:after="0" w:line="225" w:lineRule="exact"/>
        <w:rPr>
          <w:rFonts w:ascii="Arial" w:cs="Arial" w:eastAsia="Arial" w:hAnsi="Arial"/>
          <w:sz w:val="18"/>
          <w:szCs w:val="18"/>
          <w:color w:val="auto"/>
        </w:rPr>
      </w:pPr>
    </w:p>
    <w:p>
      <w:pPr>
        <w:ind w:left="440" w:right="180" w:firstLine="449"/>
        <w:spacing w:after="0" w:line="264" w:lineRule="auto"/>
        <w:tabs>
          <w:tab w:leader="none" w:pos="10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40" w:firstLine="449"/>
        <w:spacing w:after="0" w:line="308" w:lineRule="auto"/>
        <w:tabs>
          <w:tab w:leader="none" w:pos="106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40" w:right="120" w:firstLine="449"/>
        <w:spacing w:after="0" w:line="264" w:lineRule="auto"/>
        <w:tabs>
          <w:tab w:leader="none" w:pos="10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00" w:hanging="170"/>
        <w:spacing w:after="0"/>
        <w:tabs>
          <w:tab w:leader="none" w:pos="15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880" w:right="260"/>
        <w:spacing w:after="0" w:line="261"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7"/>
          <w:szCs w:val="17"/>
          <w:color w:val="auto"/>
        </w:rPr>
      </w:pPr>
    </w:p>
    <w:p>
      <w:pPr>
        <w:ind w:left="880" w:right="40" w:firstLine="450"/>
        <w:spacing w:after="0" w:line="264" w:lineRule="auto"/>
        <w:tabs>
          <w:tab w:leader="none" w:pos="15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260" w:firstLine="450"/>
        <w:spacing w:after="0" w:line="342" w:lineRule="auto"/>
        <w:tabs>
          <w:tab w:leader="none" w:pos="14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180" w:firstLine="450"/>
        <w:spacing w:after="0" w:line="264" w:lineRule="auto"/>
        <w:tabs>
          <w:tab w:leader="none" w:pos="15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quarter ended September 30, 2016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80" w:firstLine="449"/>
        <w:spacing w:after="0" w:line="342" w:lineRule="auto"/>
        <w:tabs>
          <w:tab w:leader="none" w:pos="10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480" w:firstLine="450"/>
        <w:spacing w:after="0" w:line="308" w:lineRule="auto"/>
        <w:tabs>
          <w:tab w:leader="none" w:pos="1491"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160" w:firstLine="450"/>
        <w:spacing w:after="0" w:line="277" w:lineRule="auto"/>
        <w:tabs>
          <w:tab w:leader="none" w:pos="15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Date: November 4, 2016</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J. McGrail</w:t>
            </w:r>
          </w:p>
        </w:tc>
        <w:tc>
          <w:tcPr>
            <w:tcW w:w="40" w:type="dxa"/>
            <w:vAlign w:val="bottom"/>
          </w:tcPr>
          <w:p>
            <w:pPr>
              <w:spacing w:after="0"/>
              <w:rPr>
                <w:sz w:val="20"/>
                <w:szCs w:val="20"/>
                <w:color w:val="auto"/>
              </w:rPr>
            </w:pPr>
          </w:p>
        </w:tc>
      </w:tr>
      <w:tr>
        <w:trPr>
          <w:trHeight w:val="191"/>
        </w:trPr>
        <w:tc>
          <w:tcPr>
            <w:tcW w:w="6600" w:type="dxa"/>
            <w:vAlign w:val="bottom"/>
          </w:tcPr>
          <w:p>
            <w:pPr>
              <w:ind w:left="5780"/>
              <w:spacing w:after="0" w:line="191" w:lineRule="exact"/>
              <w:rPr>
                <w:sz w:val="20"/>
                <w:szCs w:val="20"/>
                <w:color w:val="auto"/>
              </w:rPr>
            </w:pPr>
            <w:r>
              <w:rPr>
                <w:rFonts w:ascii="Arial" w:cs="Arial" w:eastAsia="Arial" w:hAnsi="Arial"/>
                <w:sz w:val="18"/>
                <w:szCs w:val="18"/>
                <w:b w:val="1"/>
                <w:bCs w:val="1"/>
                <w:color w:val="auto"/>
              </w:rPr>
              <w:t>Name:</w:t>
            </w:r>
          </w:p>
        </w:tc>
        <w:tc>
          <w:tcPr>
            <w:tcW w:w="4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Peter J. McGrail</w:t>
            </w:r>
          </w:p>
        </w:tc>
        <w:tc>
          <w:tcPr>
            <w:tcW w:w="40" w:type="dxa"/>
            <w:vAlign w:val="bottom"/>
          </w:tcPr>
          <w:p>
            <w:pPr>
              <w:spacing w:after="0"/>
              <w:rPr>
                <w:sz w:val="16"/>
                <w:szCs w:val="16"/>
                <w:color w:val="auto"/>
              </w:rPr>
            </w:pPr>
          </w:p>
        </w:tc>
      </w:tr>
      <w:tr>
        <w:trPr>
          <w:trHeight w:val="216"/>
        </w:trPr>
        <w:tc>
          <w:tcPr>
            <w:tcW w:w="6600" w:type="dxa"/>
            <w:vAlign w:val="bottom"/>
          </w:tcPr>
          <w:p>
            <w:pPr>
              <w:ind w:left="5780"/>
              <w:spacing w:after="0"/>
              <w:rPr>
                <w:sz w:val="20"/>
                <w:szCs w:val="20"/>
                <w:color w:val="auto"/>
              </w:rPr>
            </w:pPr>
            <w:r>
              <w:rPr>
                <w:rFonts w:ascii="Arial" w:cs="Arial" w:eastAsia="Arial" w:hAnsi="Arial"/>
                <w:sz w:val="18"/>
                <w:szCs w:val="18"/>
                <w:b w:val="1"/>
                <w:bCs w:val="1"/>
                <w:color w:val="auto"/>
              </w:rPr>
              <w:t>Title:</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 (Principal Financial and Accounting</w:t>
            </w:r>
          </w:p>
        </w:tc>
        <w:tc>
          <w:tcPr>
            <w:tcW w:w="40" w:type="dxa"/>
            <w:vAlign w:val="bottom"/>
          </w:tcPr>
          <w:p>
            <w:pPr>
              <w:spacing w:after="0"/>
              <w:rPr>
                <w:sz w:val="18"/>
                <w:szCs w:val="18"/>
                <w:color w:val="auto"/>
              </w:rPr>
            </w:pPr>
          </w:p>
        </w:tc>
      </w:tr>
      <w:tr>
        <w:trPr>
          <w:trHeight w:val="234"/>
        </w:trPr>
        <w:tc>
          <w:tcPr>
            <w:tcW w:w="66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c>
          <w:tcPr>
            <w:tcW w:w="40" w:type="dxa"/>
            <w:vAlign w:val="bottom"/>
          </w:tcPr>
          <w:p>
            <w:pPr>
              <w:spacing w:after="0"/>
              <w:rPr>
                <w:sz w:val="20"/>
                <w:szCs w:val="20"/>
                <w:color w:val="auto"/>
              </w:rPr>
            </w:pPr>
          </w:p>
        </w:tc>
      </w:tr>
      <w:tr>
        <w:trPr>
          <w:trHeight w:val="348"/>
        </w:trPr>
        <w:tc>
          <w:tcPr>
            <w:tcW w:w="66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September 30, 2016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8"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Dated: November 4, 2016</w:t>
      </w:r>
      <w:r>
        <w:rPr>
          <w:sz w:val="20"/>
          <w:szCs w:val="20"/>
          <w:color w:val="auto"/>
        </w:rPr>
        <w:tab/>
      </w:r>
      <w:r>
        <w:rPr>
          <w:rFonts w:ascii="Arial" w:cs="Arial" w:eastAsia="Arial" w:hAnsi="Arial"/>
          <w:sz w:val="15"/>
          <w:szCs w:val="15"/>
          <w:color w:val="auto"/>
        </w:rPr>
        <w:t>/S/ Steven R. Beauchamp</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September 30, 2016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54"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Dated: November 4, 2016</w:t>
      </w:r>
      <w:r>
        <w:rPr>
          <w:sz w:val="20"/>
          <w:szCs w:val="20"/>
          <w:color w:val="auto"/>
        </w:rPr>
        <w:tab/>
      </w:r>
      <w:r>
        <w:rPr>
          <w:rFonts w:ascii="Arial" w:cs="Arial" w:eastAsia="Arial" w:hAnsi="Arial"/>
          <w:sz w:val="16"/>
          <w:szCs w:val="16"/>
          <w:color w:val="auto"/>
        </w:rPr>
        <w:t>/S/ Peter J. McGrail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Peter J. McGrail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7"/>
          <w:szCs w:val="17"/>
          <w:b w:val="1"/>
          <w:bCs w:val="1"/>
          <w:color w:val="auto"/>
        </w:rPr>
        <w:t>Chief Financial Officer (Principal Financial and Accounting Officer)</w:t>
      </w:r>
    </w:p>
    <w:p>
      <w:pPr>
        <w:spacing w:after="0" w:line="222"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2"/>
    </w:lvl>
  </w:abstractNum>
  <w:abstractNum w:abstractNumId="2">
    <w:nsid w:val="1190CDE7"/>
    <w:multiLevelType w:val="hybridMultilevel"/>
    <w:lvl w:ilvl="0">
      <w:lvlJc w:val="left"/>
      <w:lvlText w:val="(%1)"/>
      <w:numFmt w:val="lowerLetter"/>
      <w:start w:val="3"/>
    </w:lvl>
  </w:abstractNum>
  <w:abstractNum w:abstractNumId="3">
    <w:nsid w:val="66EF438D"/>
    <w:multiLevelType w:val="hybridMultilevel"/>
    <w:lvl w:ilvl="0">
      <w:lvlJc w:val="left"/>
      <w:lvlText w:val="(%1)"/>
      <w:numFmt w:val="lowerLetter"/>
      <w:start w:val="4"/>
    </w:lvl>
  </w:abstractNum>
  <w:abstractNum w:abstractNumId="4">
    <w:nsid w:val="140E0F76"/>
    <w:multiLevelType w:val="hybridMultilevel"/>
    <w:lvl w:ilvl="0">
      <w:lvlJc w:val="left"/>
      <w:lvlText w:val="(%1)"/>
      <w:numFmt w:val="lowerLetter"/>
      <w:start w:val="5"/>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lvl w:ilvl="1">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2019-12-29T09:58:30Z</dcterms:created>
  <dcterms:modified xsi:type="dcterms:W3CDTF">2019-12-29T09:58:30Z</dcterms:modified>
</cp:coreProperties>
</file>