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180975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740" w:hanging="425"/>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2017</w:t>
      </w:r>
    </w:p>
    <w:p>
      <w:pPr>
        <w:spacing w:after="0" w:line="139" w:lineRule="exact"/>
        <w:rPr>
          <w:sz w:val="24"/>
          <w:szCs w:val="24"/>
          <w:color w:val="auto"/>
        </w:rPr>
      </w:pPr>
    </w:p>
    <w:p>
      <w:pPr>
        <w:ind w:left="740" w:hanging="425"/>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4020"/>
        <w:spacing w:after="0"/>
        <w:tabs>
          <w:tab w:leader="none" w:pos="604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r>
    </w:p>
    <w:p>
      <w:pPr>
        <w:spacing w:after="0" w:line="13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161925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jc w:val="center"/>
              <w:ind w:right="32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46-4066644</w:t>
            </w:r>
          </w:p>
        </w:tc>
        <w:tc>
          <w:tcPr>
            <w:tcW w:w="0" w:type="dxa"/>
            <w:vAlign w:val="bottom"/>
          </w:tcPr>
          <w:p>
            <w:pPr>
              <w:spacing w:after="0"/>
              <w:rPr>
                <w:sz w:val="1"/>
                <w:szCs w:val="1"/>
                <w:color w:val="auto"/>
              </w:rPr>
            </w:pPr>
          </w:p>
        </w:tc>
      </w:tr>
      <w:tr>
        <w:trPr>
          <w:trHeight w:val="149"/>
        </w:trPr>
        <w:tc>
          <w:tcPr>
            <w:tcW w:w="5580" w:type="dxa"/>
            <w:vAlign w:val="bottom"/>
          </w:tcPr>
          <w:p>
            <w:pPr>
              <w:jc w:val="center"/>
              <w:ind w:right="33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580" w:type="dxa"/>
            <w:vAlign w:val="bottom"/>
          </w:tcPr>
          <w:p>
            <w:pPr>
              <w:jc w:val="center"/>
              <w:ind w:right="33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09"/>
        </w:trPr>
        <w:tc>
          <w:tcPr>
            <w:tcW w:w="5580" w:type="dxa"/>
            <w:vAlign w:val="bottom"/>
          </w:tcPr>
          <w:p>
            <w:pPr>
              <w:jc w:val="center"/>
              <w:ind w:right="3208"/>
              <w:spacing w:after="0"/>
              <w:rPr>
                <w:sz w:val="20"/>
                <w:szCs w:val="20"/>
                <w:color w:val="auto"/>
              </w:rPr>
            </w:pPr>
            <w:r>
              <w:rPr>
                <w:rFonts w:ascii="Times New Roman" w:cs="Times New Roman" w:eastAsia="Times New Roman" w:hAnsi="Times New Roman"/>
                <w:sz w:val="14"/>
                <w:szCs w:val="14"/>
                <w:b w:val="1"/>
                <w:bCs w:val="1"/>
                <w:color w:val="auto"/>
              </w:rPr>
              <w:t>3850 N. Wilke Road</w:t>
            </w:r>
          </w:p>
        </w:tc>
        <w:tc>
          <w:tcPr>
            <w:tcW w:w="13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60004</w:t>
            </w:r>
          </w:p>
        </w:tc>
        <w:tc>
          <w:tcPr>
            <w:tcW w:w="0" w:type="dxa"/>
            <w:vAlign w:val="bottom"/>
          </w:tcPr>
          <w:p>
            <w:pPr>
              <w:spacing w:after="0"/>
              <w:rPr>
                <w:sz w:val="1"/>
                <w:szCs w:val="1"/>
                <w:color w:val="auto"/>
              </w:rPr>
            </w:pPr>
          </w:p>
        </w:tc>
      </w:tr>
      <w:tr>
        <w:trPr>
          <w:trHeight w:val="151"/>
        </w:trPr>
        <w:tc>
          <w:tcPr>
            <w:tcW w:w="5580" w:type="dxa"/>
            <w:vAlign w:val="bottom"/>
          </w:tcPr>
          <w:p>
            <w:pPr>
              <w:jc w:val="center"/>
              <w:ind w:right="3208"/>
              <w:spacing w:after="0" w:line="151" w:lineRule="exact"/>
              <w:rPr>
                <w:sz w:val="20"/>
                <w:szCs w:val="20"/>
                <w:color w:val="auto"/>
              </w:rPr>
            </w:pPr>
            <w:r>
              <w:rPr>
                <w:rFonts w:ascii="Times New Roman" w:cs="Times New Roman" w:eastAsia="Times New Roman" w:hAnsi="Times New Roman"/>
                <w:sz w:val="14"/>
                <w:szCs w:val="14"/>
                <w:b w:val="1"/>
                <w:bCs w:val="1"/>
                <w:color w:val="auto"/>
              </w:rPr>
              <w:t>Arlington Heights, Illinois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580" w:type="dxa"/>
            <w:vAlign w:val="bottom"/>
          </w:tcPr>
          <w:p>
            <w:pPr>
              <w:jc w:val="center"/>
              <w:ind w:right="32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57"/>
        </w:trPr>
        <w:tc>
          <w:tcPr>
            <w:tcW w:w="5580" w:type="dxa"/>
            <w:vAlign w:val="bottom"/>
          </w:tcPr>
          <w:p>
            <w:pPr>
              <w:jc w:val="right"/>
              <w:ind w:right="1308"/>
              <w:spacing w:after="0"/>
              <w:rPr>
                <w:sz w:val="20"/>
                <w:szCs w:val="20"/>
                <w:color w:val="auto"/>
              </w:rPr>
            </w:pPr>
            <w:r>
              <w:rPr>
                <w:rFonts w:ascii="Times New Roman" w:cs="Times New Roman" w:eastAsia="Times New Roman" w:hAnsi="Times New Roman"/>
                <w:sz w:val="14"/>
                <w:szCs w:val="14"/>
                <w:b w:val="1"/>
                <w:bCs w:val="1"/>
                <w:color w:val="auto"/>
              </w:rPr>
              <w:t>(847) 463-3200</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580" w:type="dxa"/>
            <w:vAlign w:val="bottom"/>
          </w:tcPr>
          <w:p>
            <w:pPr>
              <w:jc w:val="center"/>
              <w:ind w:left="186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143510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540" w:firstLine="441"/>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right="40" w:firstLine="441"/>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jc w:val="both"/>
        <w:ind w:right="140" w:firstLine="486"/>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16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9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16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29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416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08" w:lineRule="exact"/>
        <w:rPr>
          <w:sz w:val="24"/>
          <w:szCs w:val="24"/>
          <w:color w:val="auto"/>
        </w:rPr>
      </w:pPr>
    </w:p>
    <w:p>
      <w:pPr>
        <w:ind w:right="440" w:firstLine="441"/>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3" w:lineRule="exact"/>
        <w:rPr>
          <w:sz w:val="24"/>
          <w:szCs w:val="24"/>
          <w:color w:val="auto"/>
        </w:rPr>
      </w:pPr>
    </w:p>
    <w:p>
      <w:pPr>
        <w:ind w:firstLine="441"/>
        <w:spacing w:after="0" w:line="26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51,510,382 shares of Common Stock, $0.001 par value per share, as of April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-2540</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648970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29" w:right="79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6"/>
          </w:tcPr>
          <w:p>
            <w:pPr>
              <w:jc w:val="center"/>
              <w:ind w:right="3000"/>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FINANCIAL INFORMATION</w:t>
              </w:r>
            </w:hyperlink>
          </w:p>
        </w:tc>
        <w:tc>
          <w:tcPr>
            <w:tcW w:w="4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ITEM 1. FINANCIAL STATEMENTS</w:t>
              </w:r>
            </w:hyperlink>
          </w:p>
        </w:tc>
        <w:tc>
          <w:tcPr>
            <w:tcW w:w="578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Consolidated Balance Sheets</w:t>
              </w:r>
            </w:hyperlink>
          </w:p>
        </w:tc>
        <w:tc>
          <w:tcPr>
            <w:tcW w:w="570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3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Statements of Operations</w:t>
              </w:r>
            </w:hyperlink>
          </w:p>
        </w:tc>
        <w:tc>
          <w:tcPr>
            <w:tcW w:w="498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8600" w:type="dxa"/>
            <w:vAlign w:val="bottom"/>
            <w:gridSpan w:val="2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Statement of Changes in Stockholders’ Equity</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512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Consolidated Statements of Cash Flows</w:t>
              </w:r>
            </w:hyperlink>
          </w:p>
        </w:tc>
        <w:tc>
          <w:tcPr>
            <w:tcW w:w="348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2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the Unaudited Consolidated Financial Statements</w:t>
              </w:r>
            </w:hyperlink>
          </w:p>
        </w:tc>
        <w:tc>
          <w:tcPr>
            <w:tcW w:w="438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8600" w:type="dxa"/>
            <w:vAlign w:val="bottom"/>
            <w:gridSpan w:val="23"/>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r>
      <w:tr>
        <w:trPr>
          <w:trHeight w:val="196"/>
        </w:trPr>
        <w:tc>
          <w:tcPr>
            <w:tcW w:w="13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OF OPERATIONS</w:t>
              </w:r>
            </w:hyperlink>
          </w:p>
        </w:tc>
        <w:tc>
          <w:tcPr>
            <w:tcW w:w="6780" w:type="dxa"/>
            <w:vAlign w:val="bottom"/>
            <w:tcBorders>
              <w:top w:val="single" w:sz="8" w:color="0000EE"/>
            </w:tcBorders>
            <w:gridSpan w:val="20"/>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412"/>
        </w:trPr>
        <w:tc>
          <w:tcPr>
            <w:tcW w:w="8600" w:type="dxa"/>
            <w:vAlign w:val="bottom"/>
            <w:gridSpan w:val="23"/>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3. QUANTITATIVE AND QUALITATIVE DISCLOSURES ABOUT MARKET RISK</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680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4. CONTROLS AND PROCEDURES</w:t>
              </w:r>
            </w:hyperlink>
          </w:p>
        </w:tc>
        <w:tc>
          <w:tcPr>
            <w:tcW w:w="18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Borders>
              <w:bottom w:val="single" w:sz="8" w:color="0000EE"/>
            </w:tcBorders>
            <w:gridSpan w:val="9"/>
          </w:tcPr>
          <w:p>
            <w:pPr>
              <w:jc w:val="cente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PART II. OTHER INFORMATION</w:t>
              </w:r>
            </w:hyperlink>
          </w:p>
        </w:tc>
        <w:tc>
          <w:tcPr>
            <w:tcW w:w="314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8600" w:type="dxa"/>
            <w:vAlign w:val="bottom"/>
            <w:gridSpan w:val="23"/>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1. LEGAL PROCEEDINGS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25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1A. RISK FACTORS</w:t>
              </w:r>
            </w:hyperlink>
          </w:p>
        </w:tc>
        <w:tc>
          <w:tcPr>
            <w:tcW w:w="606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7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ITEM 2. UNREGISTERED SALES OF EQUITY SECURITIES AND USE OF PROCEEDS</w:t>
              </w:r>
            </w:hyperlink>
          </w:p>
        </w:tc>
        <w:tc>
          <w:tcPr>
            <w:tcW w:w="186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2"/>
        </w:trPr>
        <w:tc>
          <w:tcPr>
            <w:tcW w:w="38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50">
              <w:r>
                <w:rPr>
                  <w:rFonts w:ascii="Times New Roman" w:cs="Times New Roman" w:eastAsia="Times New Roman" w:hAnsi="Times New Roman"/>
                  <w:sz w:val="18"/>
                  <w:szCs w:val="18"/>
                  <w:color w:val="0000EE"/>
                  <w:w w:val="98"/>
                </w:rPr>
                <w:t>ITEM 3. DEFAULTS UPON SENIOR SECURITIES</w:t>
              </w:r>
            </w:hyperlink>
          </w:p>
        </w:tc>
        <w:tc>
          <w:tcPr>
            <w:tcW w:w="474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8600" w:type="dxa"/>
            <w:vAlign w:val="bottom"/>
            <w:gridSpan w:val="2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4. MINE SAFETY DISCLOSURES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25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50">
              <w:r>
                <w:rPr>
                  <w:rFonts w:ascii="Times New Roman" w:cs="Times New Roman" w:eastAsia="Times New Roman" w:hAnsi="Times New Roman"/>
                  <w:sz w:val="18"/>
                  <w:szCs w:val="18"/>
                  <w:color w:val="0000EE"/>
                  <w:w w:val="98"/>
                </w:rPr>
                <w:t>ITEM 5. OTHER INFORMATION</w:t>
              </w:r>
            </w:hyperlink>
          </w:p>
        </w:tc>
        <w:tc>
          <w:tcPr>
            <w:tcW w:w="540" w:type="dxa"/>
            <w:vAlign w:val="bottom"/>
            <w:tcBorders>
              <w:top w:val="single" w:sz="8" w:color="0000EE"/>
            </w:tcBorders>
            <w:gridSpan w:val="5"/>
          </w:tcPr>
          <w:p>
            <w:pPr>
              <w:spacing w:after="0"/>
              <w:rPr>
                <w:sz w:val="24"/>
                <w:szCs w:val="24"/>
                <w:color w:val="auto"/>
              </w:rPr>
            </w:pPr>
          </w:p>
        </w:tc>
        <w:tc>
          <w:tcPr>
            <w:tcW w:w="55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8600" w:type="dxa"/>
            <w:vAlign w:val="bottom"/>
            <w:gridSpan w:val="23"/>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6. EXHIBITS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2"/>
        </w:trPr>
        <w:tc>
          <w:tcPr>
            <w:tcW w:w="148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SIGNATURES</w:t>
              </w:r>
            </w:hyperlink>
          </w:p>
        </w:tc>
        <w:tc>
          <w:tcPr>
            <w:tcW w:w="7120" w:type="dxa"/>
            <w:vAlign w:val="bottom"/>
            <w:gridSpan w:val="20"/>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898"/>
        </w:trPr>
        <w:tc>
          <w:tcPr>
            <w:tcW w:w="1100" w:type="dxa"/>
            <w:vAlign w:val="bottom"/>
            <w:tcBorders>
              <w:top w:val="single" w:sz="8" w:color="0000EE"/>
            </w:tcBorders>
          </w:tcPr>
          <w:p>
            <w:pPr>
              <w:spacing w:after="0"/>
              <w:rPr>
                <w:sz w:val="24"/>
                <w:szCs w:val="24"/>
                <w:color w:val="auto"/>
              </w:rPr>
            </w:pPr>
          </w:p>
        </w:tc>
        <w:tc>
          <w:tcPr>
            <w:tcW w:w="4020" w:type="dxa"/>
            <w:vAlign w:val="bottom"/>
            <w:gridSpan w:val="16"/>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INFORMATION</w:t>
      </w:r>
    </w:p>
    <w:p>
      <w:pPr>
        <w:spacing w:after="0" w:line="15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1.</w:t>
        <w:tab/>
        <w:t>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PAYLOCITY HOLDING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86,496</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Funds held for clients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1,239,622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1,170,341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1,390,689</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1,354,936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Client fund obligations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1,271,117</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June 30, 2016 and March 31, 2017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2016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31, 2017; 51,132 shares issued and outstanding at June 30, 2016 and 51,489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at March 31, 2017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145,849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1,390,689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Recurring fees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recurring revenues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170,862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223,949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Recurring revenues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133,125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122,395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income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51,447</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0"/>
        </w:trPr>
        <w:tc>
          <w:tcPr>
            <w:tcW w:w="55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53,424</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54,002</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53,431</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53,987</w:t>
            </w:r>
          </w:p>
        </w:tc>
        <w:tc>
          <w:tcPr>
            <w:tcW w:w="60" w:type="dxa"/>
            <w:vAlign w:val="bottom"/>
          </w:tcPr>
          <w:p>
            <w:pPr>
              <w:spacing w:after="0"/>
              <w:rPr>
                <w:sz w:val="18"/>
                <w:szCs w:val="18"/>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60"/>
          </w:cols>
          <w:pgMar w:left="1420" w:top="121" w:right="13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0"/>
        <w:spacing w:after="0" w:line="27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 of Changes in Stockholders’ Equity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860" w:type="dxa"/>
            <w:vAlign w:val="bottom"/>
          </w:tcPr>
          <w:p>
            <w:pPr>
              <w:spacing w:after="0"/>
              <w:rPr>
                <w:sz w:val="23"/>
                <w:szCs w:val="23"/>
                <w:color w:val="auto"/>
              </w:rPr>
            </w:pPr>
          </w:p>
        </w:tc>
        <w:tc>
          <w:tcPr>
            <w:tcW w:w="13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3"/>
                <w:szCs w:val="2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3"/>
                <w:szCs w:val="23"/>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3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6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2016</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$ 171,515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settlement for taxes and/or exercise price related to equity</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2017</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$ 187,230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60"/>
          </w:cols>
          <w:pgMar w:left="1420" w:top="121" w:right="13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change in funds held for clients</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(831,757)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829,175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Build-out allowances received from landlords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 accrued but not paid</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1" w:right="1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Consolidation and Use of Estimates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subsidiary. All intercompany accounts and transactions have been eliminated in consolidation.</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incurred but not reported medical and dental claims,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82" w:lineRule="exact"/>
        <w:rPr>
          <w:sz w:val="20"/>
          <w:szCs w:val="20"/>
          <w:color w:val="auto"/>
        </w:rPr>
      </w:pPr>
    </w:p>
    <w:p>
      <w:pPr>
        <w:ind w:left="300" w:hanging="297"/>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nine months ended March 31, 2017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2016 included in the Company’s Annual Report on Form 10-K filed with the SEC on August 12, 2016.</w:t>
      </w:r>
    </w:p>
    <w:p>
      <w:pPr>
        <w:spacing w:after="0" w:line="170"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Differences in the normal relationship between the income tax expense (benefit) and pre-tax income materially result from the existence of a valuation allowance recorded against the preponderance of the net deferred tax assets.</w:t>
      </w:r>
    </w:p>
    <w:p>
      <w:pPr>
        <w:spacing w:after="0" w:line="158"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requisite service period for each separately vesting portion of the award. The Company estimates grant date fair value using the Black-Scholes option-pricing model and periodically updates the assumed forfeiture rates for actual experience over the option vesting term or the term of the ESPP purchase period.</w:t>
      </w:r>
    </w:p>
    <w:p>
      <w:pPr>
        <w:spacing w:after="0" w:line="172" w:lineRule="exact"/>
        <w:rPr>
          <w:sz w:val="20"/>
          <w:szCs w:val="20"/>
          <w:color w:val="auto"/>
        </w:rPr>
      </w:pPr>
    </w:p>
    <w:p>
      <w:pPr>
        <w:ind w:left="300" w:hanging="297"/>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(Topic 606) (“ASU 2014-09”). ASU 2014-09 supersedes a majority of existing revenue recognition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In addition, in March 2016, April 2016, May 2016 and December 2016 the FASB issued ASU 2016-08, </w:t>
      </w:r>
      <w:r>
        <w:rPr>
          <w:rFonts w:ascii="Times New Roman" w:cs="Times New Roman" w:eastAsia="Times New Roman" w:hAnsi="Times New Roman"/>
          <w:sz w:val="18"/>
          <w:szCs w:val="18"/>
          <w:i w:val="1"/>
          <w:iCs w:val="1"/>
          <w:color w:val="auto"/>
        </w:rPr>
        <w:t>Revenue from Contracts with Customers (Topic 606): Principal versus Agent Considerations (Reporting Revenue Gross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versus Net) </w:t>
      </w:r>
      <w:r>
        <w:rPr>
          <w:rFonts w:ascii="Times New Roman" w:cs="Times New Roman" w:eastAsia="Times New Roman" w:hAnsi="Times New Roman"/>
          <w:sz w:val="18"/>
          <w:szCs w:val="18"/>
          <w:color w:val="auto"/>
        </w:rPr>
        <w:t>(“ASU 2016-08”), ASU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 </w:t>
      </w:r>
      <w:r>
        <w:rPr>
          <w:rFonts w:ascii="Times New Roman" w:cs="Times New Roman" w:eastAsia="Times New Roman" w:hAnsi="Times New Roman"/>
          <w:sz w:val="18"/>
          <w:szCs w:val="18"/>
          <w:color w:val="auto"/>
        </w:rPr>
        <w:t>(“ASU 2016-10”), ASU 2016-12,</w:t>
      </w:r>
      <w:r>
        <w:rPr>
          <w:rFonts w:ascii="Times New Roman" w:cs="Times New Roman" w:eastAsia="Times New Roman" w:hAnsi="Times New Roman"/>
          <w:sz w:val="18"/>
          <w:szCs w:val="18"/>
          <w:i w:val="1"/>
          <w:iCs w:val="1"/>
          <w:color w:val="auto"/>
        </w:rPr>
        <w:t xml:space="preserve"> Revenue from Contracts with Customers (Topic 606): Narrow-Scope Improvements and Practical Expedients </w:t>
      </w:r>
      <w:r>
        <w:rPr>
          <w:rFonts w:ascii="Times New Roman" w:cs="Times New Roman" w:eastAsia="Times New Roman" w:hAnsi="Times New Roman"/>
          <w:sz w:val="18"/>
          <w:szCs w:val="18"/>
          <w:color w:val="auto"/>
        </w:rPr>
        <w:t>(“ASU 2016-12”) and ASU 2016-20,</w:t>
      </w:r>
      <w:r>
        <w:rPr>
          <w:rFonts w:ascii="Times New Roman" w:cs="Times New Roman" w:eastAsia="Times New Roman" w:hAnsi="Times New Roman"/>
          <w:sz w:val="18"/>
          <w:szCs w:val="18"/>
          <w:i w:val="1"/>
          <w:iCs w:val="1"/>
          <w:color w:val="auto"/>
        </w:rPr>
        <w:t xml:space="preserve"> Technical Corrections and Improvements to Topic 606, Revenue from Contracts with Customers </w:t>
      </w:r>
      <w:r>
        <w:rPr>
          <w:rFonts w:ascii="Times New Roman" w:cs="Times New Roman" w:eastAsia="Times New Roman" w:hAnsi="Times New Roman"/>
          <w:sz w:val="18"/>
          <w:szCs w:val="18"/>
          <w:color w:val="auto"/>
        </w:rPr>
        <w:t>(“ASU 2016-20”), respectively, to amend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in ASU 2014-09. Topic 606 allows for either a retrospective or cumulative effect transition 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w:t>
      </w:r>
    </w:p>
    <w:p>
      <w:pPr>
        <w:spacing w:after="0" w:line="19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expects to adopt the new standard in its fiscal year beginning July 1, 2018 and is evaluating adoption methods. While the impact the new revenue recognition standard will have on its consolidated financial statements and disclosures has not yet been fully assessed, the Company currently expects that there will be a material impact in the manner in which it treats certain costs of obtaining new contracts (i.e., selling and commission costs). The new standard will require the Company to defer these costs and amortize them versus expensing these costs as incurred. The Company is continuing to evaluate all potential impacts as well as the changes required for systems, processes and internal controls to meet the new standard’s reporting and disclosure requirements.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ASU 2016-02 is effective for fiscal years beginning after December 15, 2018, with early adoption permitted. The Company is currently assessing the potential effects of these changes to its consolidated financial statements and is evaluating the timing of adoption.</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(Topic 718) (“ASU 2016-09”) which modifies the existing guidance for stock compensation specifically related to the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will adopt this new standard in its fiscal year beginning July 1, 2017 and is currently assessing the potential effects of these changes to its consolidated financial statements.</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2016</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Charged to expense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7"/>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2017</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676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4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40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(29,029)</w:t>
            </w:r>
          </w:p>
        </w:tc>
        <w:tc>
          <w:tcPr>
            <w:tcW w:w="60" w:type="dxa"/>
            <w:vAlign w:val="bottom"/>
            <w:tcBorders>
              <w:bottom w:val="single" w:sz="8" w:color="CCEEFF"/>
            </w:tcBorders>
          </w:tcPr>
          <w:p>
            <w:pPr>
              <w:spacing w:after="0"/>
              <w:rPr>
                <w:sz w:val="18"/>
                <w:szCs w:val="18"/>
                <w:color w:val="auto"/>
              </w:rPr>
            </w:pPr>
          </w:p>
        </w:tc>
      </w:tr>
      <w:tr>
        <w:trPr>
          <w:trHeight w:val="217"/>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199" w:firstLine="648"/>
        <w:spacing w:after="0" w:line="266" w:lineRule="auto"/>
        <w:rPr>
          <w:sz w:val="20"/>
          <w:szCs w:val="20"/>
          <w:color w:val="auto"/>
        </w:rPr>
      </w:pPr>
      <w:r>
        <w:rPr>
          <w:rFonts w:ascii="Times New Roman" w:cs="Times New Roman" w:eastAsia="Times New Roman" w:hAnsi="Times New Roman"/>
          <w:sz w:val="18"/>
          <w:szCs w:val="18"/>
          <w:color w:val="auto"/>
        </w:rPr>
        <w:t>Amortization of capitalized internal-use software costs is included in Cost of Revenues-Recurring Revenues and amounted to $1,504 and $2,573 for the three months ended March 31, 2016 and 2017, respectively, and $3,869 and $6,207 for the nine months ended March 31, 2016 and 2017,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74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60" w:type="dxa"/>
            <w:vAlign w:val="bottom"/>
            <w:tcBorders>
              <w:bottom w:val="single" w:sz="8" w:color="CCEEFF"/>
            </w:tcBorders>
          </w:tcPr>
          <w:p>
            <w:pPr>
              <w:spacing w:after="0"/>
              <w:rPr>
                <w:sz w:val="18"/>
                <w:szCs w:val="18"/>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58,509</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60" w:type="dxa"/>
            <w:vAlign w:val="bottom"/>
            <w:tcBorders>
              <w:bottom w:val="single" w:sz="8" w:color="CCEEFF"/>
            </w:tcBorders>
          </w:tcPr>
          <w:p>
            <w:pPr>
              <w:spacing w:after="0"/>
              <w:rPr>
                <w:sz w:val="18"/>
                <w:szCs w:val="18"/>
                <w:color w:val="auto"/>
              </w:rPr>
            </w:pPr>
          </w:p>
        </w:tc>
      </w:tr>
      <w:tr>
        <w:trPr>
          <w:trHeight w:val="217"/>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59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$1,835 and $2,629 for the three months ended March 31, 2016 and 2017, respectively, and $4,864 and $7,336 for the nine months ended March 31, 2016 and 2017,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90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relationships</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$ 12,580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2 - 3 years</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9"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was $381 and $380 for the three months ended March 31, 2016 and 2017, respectively, and $1,142 for both of the nine months ended March 31, 2016 and 2017.</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is as follows, as of March 31, 2017:</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Remainder of fiscal 2017</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Fiscal 2018</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Fiscal 2019</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Fiscal 2020</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Fiscal 2021</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60" w:type="dxa"/>
            <w:vAlign w:val="bottom"/>
            <w:tcBorders>
              <w:bottom w:val="single" w:sz="8" w:color="CCEEFF"/>
            </w:tcBorders>
          </w:tcPr>
          <w:p>
            <w:pPr>
              <w:spacing w:after="0"/>
              <w:rPr>
                <w:sz w:val="18"/>
                <w:szCs w:val="18"/>
                <w:color w:val="auto"/>
              </w:rPr>
            </w:pPr>
          </w:p>
        </w:tc>
      </w:tr>
      <w:tr>
        <w:trPr>
          <w:trHeight w:val="230"/>
        </w:trPr>
        <w:tc>
          <w:tcPr>
            <w:tcW w:w="5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419"/>
        </w:trPr>
        <w:tc>
          <w:tcPr>
            <w:tcW w:w="5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5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000" w:type="dxa"/>
            <w:vAlign w:val="bottom"/>
          </w:tcPr>
          <w:p>
            <w:pPr>
              <w:spacing w:after="0"/>
              <w:rPr>
                <w:sz w:val="15"/>
                <w:szCs w:val="15"/>
                <w:color w:val="auto"/>
              </w:rPr>
            </w:pPr>
          </w:p>
        </w:tc>
        <w:tc>
          <w:tcPr>
            <w:tcW w:w="114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0" w:type="dxa"/>
            <w:vAlign w:val="bottom"/>
          </w:tcPr>
          <w:p>
            <w:pPr>
              <w:spacing w:after="0"/>
              <w:rPr>
                <w:sz w:val="15"/>
                <w:szCs w:val="15"/>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$ 21,658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rent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60" w:type="dxa"/>
            <w:vAlign w:val="bottom"/>
            <w:shd w:val="clear" w:color="auto" w:fill="CCEEFF"/>
          </w:tcPr>
          <w:p>
            <w:pPr>
              <w:spacing w:after="0"/>
              <w:rPr>
                <w:sz w:val="19"/>
                <w:szCs w:val="19"/>
                <w:color w:val="auto"/>
              </w:rPr>
            </w:pPr>
          </w:p>
        </w:tc>
      </w:tr>
      <w:tr>
        <w:trPr>
          <w:trHeight w:val="21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4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$ 24,979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60" w:type="dxa"/>
            <w:vAlign w:val="bottom"/>
          </w:tcPr>
          <w:p>
            <w:pPr>
              <w:spacing w:after="0"/>
              <w:rPr>
                <w:sz w:val="18"/>
                <w:szCs w:val="18"/>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the fair value measurement and disclosure provisions of ASC 820, Fair Value Measurements and Disclosures, and ASU 2011-04, </w:t>
      </w:r>
      <w:r>
        <w:rPr>
          <w:rFonts w:ascii="Times New Roman" w:cs="Times New Roman" w:eastAsia="Times New Roman" w:hAnsi="Times New Roman"/>
          <w:sz w:val="18"/>
          <w:szCs w:val="18"/>
          <w:i w:val="1"/>
          <w:iCs w:val="1"/>
          <w:color w:val="auto"/>
        </w:rPr>
        <w:t>Fair Value Measurement (Topic 820): Amendments to Achieve Common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and Disclosure Requirements in U.S. GAAP and IFRS</w:t>
      </w:r>
      <w:r>
        <w:rPr>
          <w:rFonts w:ascii="Times New Roman" w:cs="Times New Roman" w:eastAsia="Times New Roman" w:hAnsi="Times New Roman"/>
          <w:sz w:val="18"/>
          <w:szCs w:val="18"/>
          <w:color w:val="auto"/>
        </w:rPr>
        <w:t>. Fair value is defined as the price that would be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760" w:hanging="109"/>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740" w:right="219" w:hanging="89"/>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61" w:lineRule="exact"/>
        <w:rPr>
          <w:rFonts w:ascii="Times New Roman" w:cs="Times New Roman" w:eastAsia="Times New Roman" w:hAnsi="Times New Roman"/>
          <w:sz w:val="18"/>
          <w:szCs w:val="18"/>
          <w:color w:val="auto"/>
        </w:rPr>
      </w:pPr>
    </w:p>
    <w:p>
      <w:pPr>
        <w:ind w:left="740" w:right="179" w:hanging="89"/>
        <w:spacing w:after="0" w:line="266"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76" w:lineRule="exact"/>
        <w:rPr>
          <w:sz w:val="20"/>
          <w:szCs w:val="20"/>
          <w:color w:val="auto"/>
        </w:rPr>
      </w:pPr>
    </w:p>
    <w:p>
      <w:pPr>
        <w:ind w:right="119"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funds held for clients, accounts payable and client fund obligations to approximate the fair value of the respective assets and liabilities at June 30, 2016 and March 31, 2017 based upon the short-term nature of these assets and liabilities.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Benefit Plans</w:t>
      </w:r>
    </w:p>
    <w:p>
      <w:pPr>
        <w:spacing w:after="0" w:line="225"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ind w:right="39"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increase automatically each calendar year, continuing through and including January 1, 2024.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 The Company’s board of directors determined that, effective January 1, 2017, it would increase the number of common shares in reserve for issuance under the 2014 Plan by 2,314 shares.</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March 31, 2017, the Company had 12,684 shares allocated to the plans, of which 4,606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number of shares available for grant under our equity incentive plans during the nine months ended March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644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July 1, 2016</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2017 Evergreen provision increase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removed</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8"/>
                <w:szCs w:val="18"/>
                <w:color w:val="auto"/>
              </w:rPr>
            </w:pPr>
          </w:p>
        </w:tc>
      </w:tr>
      <w:tr>
        <w:trPr>
          <w:trHeight w:val="217"/>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March 31, 2017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4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recurring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non-recurring</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60" w:type="dxa"/>
            <w:vAlign w:val="bottom"/>
            <w:shd w:val="clear" w:color="auto" w:fill="CCEEFF"/>
          </w:tcPr>
          <w:p>
            <w:pPr>
              <w:spacing w:after="0"/>
              <w:rPr>
                <w:sz w:val="18"/>
                <w:szCs w:val="18"/>
                <w:color w:val="auto"/>
              </w:rPr>
            </w:pPr>
          </w:p>
        </w:tc>
      </w:tr>
      <w:tr>
        <w:trPr>
          <w:trHeight w:val="21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60" w:type="dxa"/>
            <w:vAlign w:val="bottom"/>
          </w:tcPr>
          <w:p>
            <w:pPr>
              <w:spacing w:after="0"/>
              <w:rPr>
                <w:sz w:val="18"/>
                <w:szCs w:val="18"/>
                <w:color w:val="auto"/>
              </w:rPr>
            </w:pPr>
          </w:p>
        </w:tc>
      </w:tr>
    </w:tbl>
    <w:p>
      <w:pPr>
        <w:spacing w:after="0" w:line="19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capitalized $281 and $540 of stock-based compensation expense in its capitalized internal-use software costs in the three months ended March 31, 2016 and 2017, respectively, and $823 and $1,412 in the nine months ended March 31, 2016 and 2017, respectively.</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values stock options using the Black-Scholes option-pricing model, which requires the input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subjective assumptions, including the risk-free interest rate, expected life, expected stock price volatility and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The risk-free interest rate assumption is based upon observed interest rates for U.S. Treasury securities consistent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expected term of the Company’s employee stock options. The expected life represents the period of time the stock options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expected to be outstanding and is based on the simplified method. Under the simplified method, the expected life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is presumed to be the mid-point between the vesting date and the end of the contractual term. As the Company has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history of trading as a public company, the Company utilizes the simplified method due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lack of sufficient historical exercise data to provide a reasonable basis upon which to otherwise estimate the expected life of the stock options. Therefore, the expected volatility is based on historical volatilities for publicly traded stock of comparable companies over the estimated expected life of the stock options. The Company assumed no dividend yield because it does not expect to pay dividends in the near future, which is consistent with the Company’s history of not paying dividends.</w:t>
      </w:r>
    </w:p>
    <w:p>
      <w:pPr>
        <w:spacing w:after="0" w:line="184"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7"/>
          <w:szCs w:val="17"/>
          <w:color w:val="auto"/>
        </w:rPr>
        <w:t>There were no stock options granted during the nine months ended March 31, 2017. The following table summarizes the assumptions used for estimating the fair value of stock options granted for the nine months ended March 31, 2016: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20" w:type="dxa"/>
            <w:vAlign w:val="bottom"/>
          </w:tcPr>
          <w:p>
            <w:pPr>
              <w:spacing w:after="0"/>
              <w:rPr>
                <w:sz w:val="13"/>
                <w:szCs w:val="13"/>
                <w:color w:val="auto"/>
              </w:rPr>
            </w:pPr>
          </w:p>
        </w:tc>
      </w:tr>
      <w:tr>
        <w:trPr>
          <w:trHeight w:val="149"/>
        </w:trPr>
        <w:tc>
          <w:tcPr>
            <w:tcW w:w="6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r>
      <w:tr>
        <w:trPr>
          <w:trHeight w:val="173"/>
        </w:trPr>
        <w:tc>
          <w:tcPr>
            <w:tcW w:w="6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5"/>
                <w:szCs w:val="15"/>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assumptions: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stock option activity during the nine months ended March 31,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right"/>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2016</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March 31, 2017</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84,835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March 31, 2017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79,302</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Options vested and expected to vest at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31, 2017</w:t>
            </w:r>
          </w:p>
        </w:tc>
        <w:tc>
          <w:tcPr>
            <w:tcW w:w="680" w:type="dxa"/>
            <w:vAlign w:val="bottom"/>
            <w:tcBorders>
              <w:bottom w:val="single" w:sz="8" w:color="auto"/>
            </w:tcBorders>
            <w:vMerge w:val="continue"/>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There were no stock options granted during the three months ended March 31, 2016 and 2017 or the nine months ended March 31, 2017. The weighted average grant date fair value of options granted during the nine months ended March 31, 2016 was $12.92. The total intrinsic value of options exercised was $908 and $2,813 during the three months ended March 31, 2016 and 2017, respectively, and $8,496 and $8,352 during the nine months ended March 31, 2016 and 2017, respectively. At March 31, 2017, there was $1,004 of total unrecognized compensation cost, net of estimated forfeitures, related to unvested stock option granted under the Plan. That cost is expected to be recognized over a weighted average period of 1.45 years.</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 awards are based on attainment of certain performance benchmarks. The following table represents restricted stock unit activity during the nine months ended March 31,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July 1, 2016</w:t>
            </w:r>
          </w:p>
        </w:tc>
        <w:tc>
          <w:tcPr>
            <w:tcW w:w="20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80" w:type="dxa"/>
            <w:vAlign w:val="bottom"/>
            <w:tcBorders>
              <w:top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8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balance at March 31, 2017</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RSUs expected to vest at March 31, 2017</w:t>
            </w:r>
          </w:p>
        </w:tc>
        <w:tc>
          <w:tcPr>
            <w:tcW w:w="20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1,313</w:t>
            </w:r>
          </w:p>
        </w:tc>
        <w:tc>
          <w:tcPr>
            <w:tcW w:w="26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38.88</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720" w:type="dxa"/>
            <w:vAlign w:val="bottom"/>
          </w:tcPr>
          <w:p>
            <w:pPr>
              <w:spacing w:after="0"/>
              <w:rPr>
                <w:sz w:val="24"/>
                <w:szCs w:val="24"/>
                <w:color w:val="auto"/>
              </w:rPr>
            </w:pPr>
          </w:p>
        </w:tc>
        <w:tc>
          <w:tcPr>
            <w:tcW w:w="20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At March 31, 2017, there was $27,942 of total unrecognized compensation cost, net of estimated forfeitures, related to unvested restricted stock awards granted under the Plan. That cost is expected to be recognized over a weighted average period of 1.92 years.</w:t>
      </w:r>
    </w:p>
    <w:p>
      <w:pPr>
        <w:spacing w:after="0" w:line="172"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of March 31, 2017, a total of 888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600, (b) seventy-five one hundredths percent (0.75%) of the number of shares of common stock of the Company issued and outstanding on the immediately preceding December 31, or (c) an amount determined by the Company’s board of directors. For fiscal year 2017, the Company’s board of directors determined that it would not increase the number of common shares reserved for issuance under the ESPP.</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64 shares upon the completion of its six-month offering period ending November 15, 2016. The Company recorded compensation expense attributable to the ESPP of $283 and $304 for the three months ended March 31, 2016 and 2017, respectively, and $791 and $967 for the nine months ended March 31, 2016 and 2017, respectively, which is included in the summary of stock-based compensation expense above. The grant date fair value of the ESPP offering periods was estimated using the following weighted average assumptions: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00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80" w:type="dxa"/>
            <w:vAlign w:val="bottom"/>
          </w:tcPr>
          <w:p>
            <w:pPr>
              <w:spacing w:after="0"/>
              <w:rPr>
                <w:sz w:val="16"/>
                <w:szCs w:val="16"/>
                <w:color w:val="auto"/>
              </w:rPr>
            </w:pPr>
          </w:p>
        </w:tc>
      </w:tr>
      <w:tr>
        <w:trPr>
          <w:trHeight w:val="213"/>
        </w:trPr>
        <w:tc>
          <w:tcPr>
            <w:tcW w:w="4980" w:type="dxa"/>
            <w:vAlign w:val="bottom"/>
          </w:tcPr>
          <w:p>
            <w:pPr>
              <w:spacing w:after="0"/>
              <w:rPr>
                <w:sz w:val="18"/>
                <w:szCs w:val="18"/>
                <w:color w:val="auto"/>
              </w:rPr>
            </w:pPr>
          </w:p>
        </w:tc>
        <w:tc>
          <w:tcPr>
            <w:tcW w:w="200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8"/>
                <w:szCs w:val="18"/>
                <w:color w:val="auto"/>
              </w:rPr>
            </w:pPr>
          </w:p>
        </w:tc>
      </w:tr>
      <w:tr>
        <w:trPr>
          <w:trHeight w:val="210"/>
        </w:trPr>
        <w:tc>
          <w:tcPr>
            <w:tcW w:w="49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assumptions: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44.1 - 48.4 %</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38.9 - 53.4 %</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9"/>
                <w:szCs w:val="19"/>
                <w:color w:val="auto"/>
              </w:rPr>
            </w:pPr>
          </w:p>
        </w:tc>
      </w:tr>
      <w:tr>
        <w:trPr>
          <w:trHeight w:val="230"/>
        </w:trPr>
        <w:tc>
          <w:tcPr>
            <w:tcW w:w="49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0.11 - 0.31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0.28 - 0.61 %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 401(k) plan with a matching provision that covers all eligible employees. Up to December 31, 2015, the Company matched 50% of the employees’ contributions up to 6% of their gross pay. Effective January 1, 2016, the Company increased its match to 50% of employees’ contributions up to 8% of their gross pay. Contributions were $821 and $1,055 for the three months ended March 31, 2016 and 2017, respectively, and were $1,937 and $2,732 for the nine months ended March 31, 2016 and 2017, respectively.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Income Per Share</w:t>
      </w:r>
    </w:p>
    <w:p>
      <w:pPr>
        <w:spacing w:after="0" w:line="201" w:lineRule="exact"/>
        <w:rPr>
          <w:sz w:val="20"/>
          <w:szCs w:val="20"/>
          <w:color w:val="auto"/>
        </w:rPr>
      </w:pPr>
    </w:p>
    <w:p>
      <w:pPr>
        <w:ind w:firstLine="648"/>
        <w:spacing w:after="0" w:line="224" w:lineRule="exact"/>
        <w:rPr>
          <w:sz w:val="20"/>
          <w:szCs w:val="20"/>
          <w:color w:val="auto"/>
        </w:rPr>
      </w:pPr>
      <w:r>
        <w:rPr>
          <w:rFonts w:ascii="Times New Roman" w:cs="Times New Roman" w:eastAsia="Times New Roman" w:hAnsi="Times New Roman"/>
          <w:sz w:val="18"/>
          <w:szCs w:val="18"/>
          <w:color w:val="auto"/>
        </w:rPr>
        <w:t>Basic net income per common share is computed using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number of common shares outstanding during the period. Diluted net income per share is computed using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income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effect of potentially dilutive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Employee stock options, restricted stock units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and employee stock purchase plan shares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outstanding employee stock options and restricted stock units as of the balance sheet date that were excluded from the diluted per share calculation for the periods presented because to include them would have been anti-dilutive: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4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299" w:firstLine="648"/>
        <w:spacing w:after="0" w:line="261"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discrete effective tax rate method.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13" w:lineRule="exact"/>
        <w:rPr>
          <w:sz w:val="20"/>
          <w:szCs w:val="20"/>
          <w:color w:val="auto"/>
        </w:rPr>
      </w:pPr>
    </w:p>
    <w:p>
      <w:pPr>
        <w:ind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income tax expense (benefit) of $(43) and $32 for the three months ended March 31, 2016 and 2017, respectively, and $143 and $164 for the nine months ended March 31, 2016 and 2017, respectively. The Company’s effective tax rates for the three and nine months ended March 31, 2016 and 2017 differ from statutory rates primarily due to the existence of a valuation allowance recorded against the preponderance of the net deferred tax assets.</w:t>
      </w:r>
    </w:p>
    <w:p>
      <w:pPr>
        <w:spacing w:after="0" w:line="113" w:lineRule="exact"/>
        <w:rPr>
          <w:sz w:val="20"/>
          <w:szCs w:val="20"/>
          <w:color w:val="auto"/>
        </w:rPr>
      </w:pPr>
    </w:p>
    <w:p>
      <w:pPr>
        <w:ind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the likelihood that it will realize the benefit of its deferred tax assets and, therefore, the need for a valuation allowance on a quarterly basis. It established a valuation allowance on all of its net deferred tax assets except for deferred tax liabilities associated with indefinite-lived intangible assets during fiscal 2014, given that the Company determined that it was more likely than not that the Company would not recognize the benefits of its net operating loss carryforwards prior to their expiration. The Company has continued to carry the valuation allowance during fiscal 2016 and for the nine months ended March 31, 2017. As of March 31, 2017, the Company had no unrecognized tax benefits.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76"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65"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discounts and increased pressure from existing customers to renew expiring recurring revenue agreements for lower amounts.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interest income on funds held for clients continues to be adversely impacted by historically low interest rates.</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subsidiary Paylocity Corporation was incorporated in July 1997 as an Illinois corporation. In November 2013, we formed Paylocity Holding Corporation, a Delaware corporation, of which Paylocity Corporation is now a wholly-owned subsidiary. Paylocity Holding Corporation had no operations prior to the restructuring. All of our business operations, excluding interest earned on certain cash holdings and expenses associated with certain secondary stock offerings, have historically been, and are currently, conducted by Paylocity Corporation, and the financial results presented herein are entirely attributable to the results of its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 Growth</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$67.1 million for the three months ended March 31, 2016 to $86.4 million for the three months ended March 31, 2017, representing a 29% year-over-year increase. Recurring revenue increased from $162.3 million for the nine months ended March 31, 2016 to $215.1 million for the nine months ended March 31, 2017, representing a 32% year-over-year increase. Recurring revenue represented 95% and 96% of total revenue during both the three and nine months ended March 31, 2016 and 2017, respectively. Recurring revenue was positively impacted by the launch in fiscal 2016 of our Affordable Care Act (“ACA”) compliance solution, which had significant penetration beginning in the second quarter of fiscal 2016. The impact on year-over-year quarterly revenue growth of our ACA compliance solution was the highest in the first quarter of fiscal 2017 given the timing of significant penetration beginning in the second quarter of fiscal 2016.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Fees from New Clients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48% and 42% for the three months ended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and 2017, respectively and 43% and 37% for the nine months ended March 31, 2016 and 2017,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Adjusted Recurring Gross Profit and Adjusted EBITDA</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8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or cash provided by (used in)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before interest expense, income tax expense (benefit), depreciation and amortization expense, stock-based compensation expense, and employer payroll taxes related to stock releases and option exercises. The table below sets forth our Adjusted Gross Profit, Adjusted Recurring Gross Profit and Adjusted EBITDA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73"/>
        </w:trPr>
        <w:tc>
          <w:tcPr>
            <w:tcW w:w="4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4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8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4"/>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9"/>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8"/>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7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$45,627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$61,651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$105,449</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$142,145</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Adjusted Recurring Gross Profit</w:t>
            </w:r>
          </w:p>
        </w:tc>
        <w:tc>
          <w:tcPr>
            <w:tcW w:w="7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$50,469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$67,006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w w:val="94"/>
              </w:rPr>
              <w:t>$ 119,648</w:t>
            </w:r>
          </w:p>
        </w:tc>
        <w:tc>
          <w:tcPr>
            <w:tcW w:w="60" w:type="dxa"/>
            <w:vAlign w:val="bottom"/>
          </w:tcPr>
          <w:p>
            <w:pPr>
              <w:spacing w:after="0"/>
              <w:rPr>
                <w:sz w:val="18"/>
                <w:szCs w:val="18"/>
                <w:color w:val="auto"/>
              </w:rPr>
            </w:pP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$160,741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$14,612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$26,833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25,139</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$ 44,674</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353"/>
        </w:trPr>
        <w:tc>
          <w:tcPr>
            <w:tcW w:w="4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9"/>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4"/>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8"/>
          </w:tcPr>
          <w:p>
            <w:pPr>
              <w:jc w:val="center"/>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7"/>
          </w:tcPr>
          <w:p>
            <w:pPr>
              <w:jc w:val="center"/>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20" w:type="dxa"/>
            <w:vAlign w:val="bottom"/>
          </w:tcPr>
          <w:p>
            <w:pPr>
              <w:spacing w:after="0"/>
              <w:rPr>
                <w:sz w:val="18"/>
                <w:szCs w:val="18"/>
                <w:color w:val="auto"/>
              </w:rPr>
            </w:pP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$133,125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198"/>
        </w:trPr>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7"/>
        </w:trPr>
        <w:tc>
          <w:tcPr>
            <w:tcW w:w="4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Gross Profit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45,627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61,651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105,449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142,145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353"/>
        </w:trPr>
        <w:tc>
          <w:tcPr>
            <w:tcW w:w="4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4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8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4"/>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9"/>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8"/>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4"/>
        </w:trPr>
        <w:tc>
          <w:tcPr>
            <w:tcW w:w="4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from Total Recurring Revenues to Adjusted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Pr>
          <w:p>
            <w:pPr>
              <w:spacing w:after="0"/>
              <w:rPr>
                <w:sz w:val="16"/>
                <w:szCs w:val="16"/>
                <w:color w:val="auto"/>
              </w:rPr>
            </w:pPr>
          </w:p>
        </w:tc>
      </w:tr>
      <w:tr>
        <w:trPr>
          <w:trHeight w:val="23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Recurring Gross Profit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revenues</w:t>
            </w:r>
          </w:p>
        </w:tc>
        <w:tc>
          <w:tcPr>
            <w:tcW w:w="7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$67,082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$86,355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$162,320</w:t>
            </w:r>
          </w:p>
        </w:tc>
        <w:tc>
          <w:tcPr>
            <w:tcW w:w="60" w:type="dxa"/>
            <w:vAlign w:val="bottom"/>
          </w:tcPr>
          <w:p>
            <w:pPr>
              <w:spacing w:after="0"/>
              <w:rPr>
                <w:sz w:val="18"/>
                <w:szCs w:val="18"/>
                <w:color w:val="auto"/>
              </w:rPr>
            </w:pP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$215,070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7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18,576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47,858</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62,255</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Recurring gross profit</w:t>
            </w:r>
          </w:p>
        </w:tc>
        <w:tc>
          <w:tcPr>
            <w:tcW w:w="140" w:type="dxa"/>
            <w:vAlign w:val="bottom"/>
            <w:gridSpan w:val="2"/>
          </w:tcPr>
          <w:p>
            <w:pPr>
              <w:spacing w:after="0"/>
              <w:rPr>
                <w:sz w:val="18"/>
                <w:szCs w:val="18"/>
                <w:color w:val="auto"/>
              </w:rPr>
            </w:pPr>
          </w:p>
        </w:tc>
        <w:tc>
          <w:tcPr>
            <w:tcW w:w="6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48,506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63,919</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5"/>
              </w:rPr>
              <w:t>114,462</w:t>
            </w:r>
          </w:p>
        </w:tc>
        <w:tc>
          <w:tcPr>
            <w:tcW w:w="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7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152,815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7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3,869</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6,207</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198"/>
        </w:trPr>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7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1,317</w:t>
            </w:r>
          </w:p>
        </w:tc>
        <w:tc>
          <w:tcPr>
            <w:tcW w:w="60" w:type="dxa"/>
            <w:vAlign w:val="bottom"/>
          </w:tcPr>
          <w:p>
            <w:pPr>
              <w:spacing w:after="0"/>
              <w:rPr>
                <w:sz w:val="20"/>
                <w:szCs w:val="20"/>
                <w:color w:val="auto"/>
              </w:rPr>
            </w:pP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7"/>
        </w:trPr>
        <w:tc>
          <w:tcPr>
            <w:tcW w:w="4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Recurring Gross Profit</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50,469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67,006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119,648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160,741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353"/>
        </w:trPr>
        <w:tc>
          <w:tcPr>
            <w:tcW w:w="4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24"/>
                <w:szCs w:val="24"/>
                <w:color w:val="auto"/>
              </w:rPr>
            </w:pPr>
          </w:p>
        </w:tc>
      </w:tr>
      <w:tr>
        <w:trPr>
          <w:trHeight w:val="173"/>
        </w:trPr>
        <w:tc>
          <w:tcPr>
            <w:tcW w:w="4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9"/>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320" w:type="dxa"/>
            <w:vAlign w:val="bottom"/>
            <w:gridSpan w:val="3"/>
          </w:tcPr>
          <w:p>
            <w:pPr>
              <w:spacing w:after="0"/>
              <w:rPr>
                <w:sz w:val="12"/>
                <w:szCs w:val="12"/>
                <w:color w:val="auto"/>
              </w:rPr>
            </w:pPr>
          </w:p>
        </w:tc>
        <w:tc>
          <w:tcPr>
            <w:tcW w:w="50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6"/>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4"/>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9"/>
          </w:tcPr>
          <w:p>
            <w:pPr>
              <w:jc w:val="center"/>
              <w:ind w:left="16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8"/>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$ 6,161</w:t>
            </w:r>
          </w:p>
        </w:tc>
        <w:tc>
          <w:tcPr>
            <w:tcW w:w="8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$ 1,561</w:t>
            </w: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$10,562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6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8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9,875</w:t>
            </w: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14,685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6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Borders>
              <w:top w:val="single" w:sz="8" w:color="CCEEFF"/>
            </w:tcBorders>
            <w:gridSpan w:val="3"/>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11,579</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25,411</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198"/>
        </w:trPr>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9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13,560</w:t>
            </w: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19,263</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4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6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14,612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26,833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25,139</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44,674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Pr>
          <w:p>
            <w:pPr>
              <w:spacing w:after="0"/>
              <w:rPr>
                <w:sz w:val="19"/>
                <w:szCs w:val="19"/>
                <w:color w:val="auto"/>
              </w:rPr>
            </w:pPr>
          </w:p>
        </w:tc>
      </w:tr>
      <w:tr>
        <w:trPr>
          <w:trHeight w:val="851"/>
        </w:trPr>
        <w:tc>
          <w:tcPr>
            <w:tcW w:w="468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29"/>
        </w:trPr>
        <w:tc>
          <w:tcPr>
            <w:tcW w:w="4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94% and 95% of our total revenues during both the three and nine months ended March 31, 2016 and 2017, respectively.</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Cost of recurring revenues is generally expensed as incurred, and includes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8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capitalize a portion of our internal-use software costs, which are then all amortized as a cost of recurring revenues. We amortized $1.5 million and $2.6 million of capitalized internal-use software costs during the three months ended March 31, 2016 and 2017, respectively, and $3.9 million and $6.2 million of capitalized internal-use software costs during the nine months ended March 31, 2016 and 2017,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Cost of implementation services and other consists primarily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acquisition of new clients, and doing so will require increased personnel to implement our solutions. Therefore our cost of implementation services and other is expected to increase in absolute dollars for the foreseeable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typically by running its first payroll. Bonuses paid to sales staff for attainment of certain performance criteria are accrued in the fiscal year in which they are earned and are subsequently paid annually in the first fiscal quarter of the following year.</w:t>
      </w:r>
    </w:p>
    <w:p>
      <w:pPr>
        <w:spacing w:after="0" w:line="188" w:lineRule="exact"/>
        <w:rPr>
          <w:sz w:val="20"/>
          <w:szCs w:val="20"/>
          <w:color w:val="auto"/>
        </w:rPr>
      </w:pPr>
    </w:p>
    <w:p>
      <w:pPr>
        <w:jc w:val="both"/>
        <w:ind w:right="40" w:firstLine="648"/>
        <w:spacing w:after="0" w:line="313" w:lineRule="auto"/>
        <w:rPr>
          <w:sz w:val="20"/>
          <w:szCs w:val="20"/>
          <w:color w:val="auto"/>
        </w:rPr>
      </w:pPr>
      <w:r>
        <w:rPr>
          <w:rFonts w:ascii="Times New Roman" w:cs="Times New Roman" w:eastAsia="Times New Roman" w:hAnsi="Times New Roman"/>
          <w:sz w:val="17"/>
          <w:szCs w:val="17"/>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2016 and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60" w:type="dxa"/>
            <w:vAlign w:val="bottom"/>
          </w:tcPr>
          <w:p>
            <w:pPr>
              <w:spacing w:after="0"/>
              <w:rPr>
                <w:sz w:val="18"/>
                <w:szCs w:val="18"/>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$ 9,135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$ 32,977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continue to increase in absolute dollars as a result of our operations as a public company. These expenses include costs associated with compliance with regulations governing public companies, costs of directors’ and officers’ liability insurance and professional services expenses.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received on our cash and cash equivalents, net of losses on disposal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20" w:type="dxa"/>
            <w:vAlign w:val="bottom"/>
          </w:tcPr>
          <w:p>
            <w:pPr>
              <w:spacing w:after="0"/>
              <w:rPr>
                <w:sz w:val="13"/>
                <w:szCs w:val="13"/>
                <w:color w:val="auto"/>
              </w:rPr>
            </w:pPr>
          </w:p>
        </w:tc>
      </w:tr>
      <w:tr>
        <w:trPr>
          <w:trHeight w:val="173"/>
        </w:trPr>
        <w:tc>
          <w:tcPr>
            <w:tcW w:w="3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2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2"/>
                <w:szCs w:val="12"/>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Recurring fees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212,581</w:t>
            </w:r>
          </w:p>
        </w:tc>
        <w:tc>
          <w:tcPr>
            <w:tcW w:w="1420" w:type="dxa"/>
            <w:vAlign w:val="bottom"/>
          </w:tcPr>
          <w:p>
            <w:pPr>
              <w:spacing w:after="0"/>
              <w:rPr>
                <w:sz w:val="18"/>
                <w:szCs w:val="18"/>
                <w:color w:val="auto"/>
              </w:rPr>
            </w:pPr>
          </w:p>
        </w:tc>
      </w:tr>
      <w:tr>
        <w:trPr>
          <w:trHeight w:val="216"/>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2,489</w:t>
            </w:r>
          </w:p>
        </w:tc>
        <w:tc>
          <w:tcPr>
            <w:tcW w:w="1420" w:type="dxa"/>
            <w:vAlign w:val="bottom"/>
          </w:tcPr>
          <w:p>
            <w:pPr>
              <w:spacing w:after="0"/>
              <w:rPr>
                <w:sz w:val="18"/>
                <w:szCs w:val="18"/>
                <w:color w:val="auto"/>
              </w:rPr>
            </w:pPr>
          </w:p>
        </w:tc>
      </w:tr>
      <w:tr>
        <w:trPr>
          <w:trHeight w:val="210"/>
        </w:trPr>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recurring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215,070</w:t>
            </w:r>
          </w:p>
        </w:tc>
        <w:tc>
          <w:tcPr>
            <w:tcW w:w="1420" w:type="dxa"/>
            <w:vAlign w:val="bottom"/>
          </w:tcPr>
          <w:p>
            <w:pPr>
              <w:spacing w:after="0"/>
              <w:rPr>
                <w:sz w:val="18"/>
                <w:szCs w:val="18"/>
                <w:color w:val="auto"/>
              </w:rPr>
            </w:pPr>
          </w:p>
        </w:tc>
      </w:tr>
      <w:tr>
        <w:trPr>
          <w:trHeight w:val="216"/>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8,879</w:t>
            </w:r>
          </w:p>
        </w:tc>
        <w:tc>
          <w:tcPr>
            <w:tcW w:w="142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70,570</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223,949</w:t>
            </w:r>
          </w:p>
        </w:tc>
        <w:tc>
          <w:tcPr>
            <w:tcW w:w="1420" w:type="dxa"/>
            <w:vAlign w:val="bottom"/>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Recurring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62,255</w:t>
            </w:r>
          </w:p>
        </w:tc>
        <w:tc>
          <w:tcPr>
            <w:tcW w:w="1420" w:type="dxa"/>
            <w:vAlign w:val="bottom"/>
          </w:tcPr>
          <w:p>
            <w:pPr>
              <w:spacing w:after="0"/>
              <w:rPr>
                <w:sz w:val="18"/>
                <w:szCs w:val="18"/>
                <w:color w:val="auto"/>
              </w:rPr>
            </w:pPr>
          </w:p>
        </w:tc>
      </w:tr>
      <w:tr>
        <w:trPr>
          <w:trHeight w:val="216"/>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28,569</w:t>
            </w:r>
          </w:p>
        </w:tc>
        <w:tc>
          <w:tcPr>
            <w:tcW w:w="142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27,209</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90,824</w:t>
            </w:r>
          </w:p>
        </w:tc>
        <w:tc>
          <w:tcPr>
            <w:tcW w:w="1420" w:type="dxa"/>
            <w:vAlign w:val="bottom"/>
          </w:tcPr>
          <w:p>
            <w:pPr>
              <w:spacing w:after="0"/>
              <w:rPr>
                <w:sz w:val="18"/>
                <w:szCs w:val="18"/>
                <w:color w:val="auto"/>
              </w:rPr>
            </w:pPr>
          </w:p>
        </w:tc>
      </w:tr>
      <w:tr>
        <w:trPr>
          <w:trHeight w:val="210"/>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133,125</w:t>
            </w:r>
          </w:p>
        </w:tc>
        <w:tc>
          <w:tcPr>
            <w:tcW w:w="142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56,988</w:t>
            </w:r>
          </w:p>
        </w:tc>
        <w:tc>
          <w:tcPr>
            <w:tcW w:w="1420" w:type="dxa"/>
            <w:vAlign w:val="bottom"/>
          </w:tcPr>
          <w:p>
            <w:pPr>
              <w:spacing w:after="0"/>
              <w:rPr>
                <w:sz w:val="18"/>
                <w:szCs w:val="18"/>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21,492</w:t>
            </w:r>
          </w:p>
        </w:tc>
        <w:tc>
          <w:tcPr>
            <w:tcW w:w="1420" w:type="dxa"/>
            <w:vAlign w:val="bottom"/>
          </w:tcPr>
          <w:p>
            <w:pPr>
              <w:spacing w:after="0"/>
              <w:rPr>
                <w:sz w:val="18"/>
                <w:szCs w:val="18"/>
                <w:color w:val="auto"/>
              </w:rPr>
            </w:pPr>
          </w:p>
        </w:tc>
      </w:tr>
      <w:tr>
        <w:trPr>
          <w:trHeight w:val="216"/>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43,915</w:t>
            </w:r>
          </w:p>
        </w:tc>
        <w:tc>
          <w:tcPr>
            <w:tcW w:w="142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122,395</w:t>
            </w:r>
          </w:p>
        </w:tc>
        <w:tc>
          <w:tcPr>
            <w:tcW w:w="1420" w:type="dxa"/>
            <w:vAlign w:val="bottom"/>
          </w:tcPr>
          <w:p>
            <w:pPr>
              <w:spacing w:after="0"/>
              <w:rPr>
                <w:sz w:val="18"/>
                <w:szCs w:val="18"/>
                <w:color w:val="auto"/>
              </w:rPr>
            </w:pPr>
          </w:p>
        </w:tc>
      </w:tr>
      <w:tr>
        <w:trPr>
          <w:trHeight w:val="210"/>
        </w:trPr>
        <w:tc>
          <w:tcPr>
            <w:tcW w:w="3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10,730</w:t>
            </w:r>
          </w:p>
        </w:tc>
        <w:tc>
          <w:tcPr>
            <w:tcW w:w="14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Pr>
          <w:p>
            <w:pPr>
              <w:spacing w:after="0"/>
              <w:rPr>
                <w:sz w:val="18"/>
                <w:szCs w:val="18"/>
                <w:color w:val="auto"/>
              </w:rPr>
            </w:pPr>
          </w:p>
        </w:tc>
      </w:tr>
      <w:tr>
        <w:trPr>
          <w:trHeight w:val="210"/>
        </w:trPr>
        <w:tc>
          <w:tcPr>
            <w:tcW w:w="3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10,726</w:t>
            </w:r>
          </w:p>
        </w:tc>
        <w:tc>
          <w:tcPr>
            <w:tcW w:w="14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1420" w:type="dxa"/>
            <w:vAlign w:val="bottom"/>
          </w:tcPr>
          <w:p>
            <w:pPr>
              <w:spacing w:after="0"/>
              <w:rPr>
                <w:sz w:val="18"/>
                <w:szCs w:val="18"/>
                <w:color w:val="auto"/>
              </w:rPr>
            </w:pPr>
          </w:p>
        </w:tc>
      </w:tr>
      <w:tr>
        <w:trPr>
          <w:trHeight w:val="21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10,562</w:t>
            </w:r>
          </w:p>
        </w:tc>
        <w:tc>
          <w:tcPr>
            <w:tcW w:w="1420" w:type="dxa"/>
            <w:vAlign w:val="bottom"/>
          </w:tcPr>
          <w:p>
            <w:pPr>
              <w:spacing w:after="0"/>
              <w:rPr>
                <w:sz w:val="18"/>
                <w:szCs w:val="18"/>
                <w:color w:val="auto"/>
              </w:rPr>
            </w:pPr>
          </w:p>
        </w:tc>
      </w:tr>
      <w:tr>
        <w:trPr>
          <w:trHeight w:val="864"/>
        </w:trPr>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29"/>
        </w:trPr>
        <w:tc>
          <w:tcPr>
            <w:tcW w:w="38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180" w:type="dxa"/>
            <w:vAlign w:val="bottom"/>
            <w:gridSpan w:val="6"/>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gridSpan w:val="11"/>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5"/>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6"/>
          </w:tcPr>
          <w:p>
            <w:pPr>
              <w:jc w:val="right"/>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18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Recurring fees</w:t>
            </w:r>
          </w:p>
        </w:tc>
        <w:tc>
          <w:tcPr>
            <w:tcW w:w="6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94 %</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94 %</w:t>
            </w:r>
          </w:p>
        </w:tc>
        <w:tc>
          <w:tcPr>
            <w:tcW w:w="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6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1 %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recurring revenues</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6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5 %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Recurring revenues</w:t>
            </w:r>
          </w:p>
        </w:tc>
        <w:tc>
          <w:tcPr>
            <w:tcW w:w="6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26 %</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6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12 %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25 %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26 %</w:t>
            </w:r>
          </w:p>
        </w:tc>
        <w:tc>
          <w:tcPr>
            <w:tcW w:w="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10 %</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18 %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0 %</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0 %</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2016 and 2017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11"/>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5"/>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fees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$ 85,314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95 %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Recurring fees for the three months ended March 31, 2017 increased by $19.0 million, or 29%, to $85.3 million from $66.3 million for the three months ended March 31, 2016. Recurring fees increased as a result of incremental revenues from new and existing clients.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March 31, 2017 increased by $0.2 million, or 30% to $1.0 million from $0.8 million for the three months ended March 31, 2016. Interest income on funds held for clients increased primarily as a result of an increased average daily balance for funds held due to the addition of new clients to our client base.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Implementation services and other revenue for the three months ended March 31, 2017 increased by $0.4 million, or 12%, to $3.9 million from $3.5 million for the three months ended March 31, 2016. Implementation services and other revenue increased primarily as a result of an increase in the number of new clients during the three months ended March 31, 2017 in comparison to the three months ended March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$ 22,436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recurring revenues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gross margin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implementation services and other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200" w:type="dxa"/>
            <w:vAlign w:val="bottom"/>
          </w:tcPr>
          <w:p>
            <w:pPr>
              <w:spacing w:after="0"/>
              <w:rPr>
                <w:sz w:val="18"/>
                <w:szCs w:val="18"/>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 implementation services and other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gross margin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recurring revenues for the three months ended March 31, 2017 increased by $3.9 million, or 21%,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$22.4 million from $18.6 million for the three months ended March 31, 2016. Cost of recurring revenues increased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continued growth of our business, in particular, $1.3 million in employee-related costs resulting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personnel necessary to provide services to new and existing clients, $1.4 million in delivery and other processing-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fees and $1.1 million in additional internal-use software amortization expense. Recurring gross margin increased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for the three months ended March 31, 2016 to 74% for the three months ended March 31, 2017 primarily due to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costs as a percentage of total recurring revenue.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Cost of implementation services and other for the three months ended March 31, 2017 increased by $1.0 million, or 12%, to $9.6 million from $8.6 million for the three months ended March 31, 2016. Cost of implementation services and other increased primarily due to a $0.9 million increase in employee-related costs to implement our solutions for new and existing clients during the three months ended March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9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$ 17,681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$ 21,242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and marketing expenses for the three months ended March 31, 2017 increased by $3.6 million, or 20%,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million from $17.7 million for the three months ended March 31, 2016. The increase in 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primarily the result of $2.9 million of additional employee-related expenses incurred due to the expansion of our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 by 104 personnel, including management, sales engineers, direct sales, sales administration and sales lead generation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7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for the three months ended March 31, 2017 increased by $0.2 million, or 3%, to $7.0 million from $6.8 million for the three months ended March 31, 2016. The increase in research and development expense was primarily as a result of $1.9 million in employee-related expenses related to 62 additional development personnel and $0.3 million of additional stock-based compensation costs, partially offset by higher year-over-year capitalized internal-use software costs of $2.1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9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Borders>
              <w:top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$ 12,720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$ 15,100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17 %</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2017 increased by $2.4 million, or 19%, to $15.1 million from $12.7 million for the three months ended March 31, 2016. The increase was primarily the result</w:t>
      </w:r>
    </w:p>
    <w:p>
      <w:pPr>
        <w:ind w:right="100"/>
        <w:spacing w:after="0" w:line="255" w:lineRule="auto"/>
        <w:rPr>
          <w:sz w:val="20"/>
          <w:szCs w:val="20"/>
          <w:color w:val="auto"/>
        </w:rPr>
      </w:pPr>
      <w:r>
        <w:rPr>
          <w:rFonts w:ascii="Times New Roman" w:cs="Times New Roman" w:eastAsia="Times New Roman" w:hAnsi="Times New Roman"/>
          <w:sz w:val="18"/>
          <w:szCs w:val="18"/>
          <w:color w:val="auto"/>
        </w:rPr>
        <w:t>of $1.1 million of increased occupancy costs incurred as a result of our requirement for additional office space, $0.9 million of additional stock-based compensation costs, and $0.5 million of additional employee-related expenses related to 26 additional personnel.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for the three months ended March 31, 2017 was not materially different as compared to the three months ended March 31,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8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8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4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 Meaningful</w:t>
            </w:r>
          </w:p>
        </w:tc>
        <w:tc>
          <w:tcPr>
            <w:tcW w:w="3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(benefit) for the three months ended March 31, 2017 was not materially different as compared to the three months ended March 31, 2016.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2016 and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fees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$ 212,581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18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418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jc w:val="center"/>
              <w:ind w:right="1610"/>
              <w:spacing w:after="0"/>
              <w:rPr>
                <w:sz w:val="20"/>
                <w:szCs w:val="20"/>
                <w:color w:val="auto"/>
              </w:rPr>
            </w:pPr>
            <w:r>
              <w:rPr>
                <w:rFonts w:ascii="Times New Roman" w:cs="Times New Roman" w:eastAsia="Times New Roman" w:hAnsi="Times New Roman"/>
                <w:sz w:val="18"/>
                <w:szCs w:val="18"/>
                <w:color w:val="auto"/>
                <w:w w:val="99"/>
              </w:rPr>
              <w:t>Implementation services and other</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4"/>
        </w:trPr>
        <w:tc>
          <w:tcPr>
            <w:tcW w:w="418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Recurring fees for the nine months ended March 31, 2017 increased by $52.2 million, or 33%, to $212.6 million from $160.4 million for the nine months ended March 31, 2016. Recurring fees increased as a result of incremental revenues from new and existing clients, including revenue related to our Affordable Care Act (“ACA”) compliance solution offered to new and existing clients, which we launched in fiscal year 2016 and experienced significant penetration beginning in the second quarter of fiscal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nine months ended March 31, 2017 increased by $0.5 million, or 28% to $2.5 million from $1.9 million for the nine months ended March 31, 2016. Interest income on funds held for clients increased primarily as a result of an increased average daily balance for funds held due to the addition of new clients to our client base.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Implementation services and other revenue for the nine months ended March 31, 2017 increased by $0.3 million, or 4%, to $8.9 million from $8.5 million for the nine months ended March 31, 2016. Implementation services and other revenue increased primarily as a result of an increase in the number of new clients during the nine months ended March 31, 2017 in comparison to the nine months ended March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$ 47,858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62,255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recurring revenues</w:t>
            </w: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gross margin</w:t>
            </w: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implementation services and other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$ 23,646</w:t>
            </w:r>
          </w:p>
        </w:tc>
        <w:tc>
          <w:tcPr>
            <w:tcW w:w="200" w:type="dxa"/>
            <w:vAlign w:val="bottom"/>
          </w:tcPr>
          <w:p>
            <w:pPr>
              <w:spacing w:after="0"/>
              <w:rPr>
                <w:sz w:val="18"/>
                <w:szCs w:val="18"/>
                <w:color w:val="auto"/>
              </w:rPr>
            </w:pPr>
          </w:p>
        </w:tc>
        <w:tc>
          <w:tcPr>
            <w:tcW w:w="2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28,569</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 implementation services and other</w:t>
            </w: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277 %</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gross margin</w:t>
            </w: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recurring revenues for the nine months ended March 31, 2017 increased by $14.4 million, or 30%,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$62.3 million from $47.9 million for the nine months ended March 31, 2016. Cost of recurring revenues increased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continued growth of our business, in particular, $7.2 million in employee-related costs resulting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personnel necessary to provide services to new and existing clients, $4.4 million in delivery and other processing-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fees and $2.3 million in additional capitalized internal-use software amortization expense. Recurring gross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remained consistent at 71% for the nine months ended March 31, 2016 and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Cost of implementation services and other for the nine months ended March 31, 2017 increased by $4.9 million, or 21%, to $28.6 million from $23.6 million for the nine months ended March 31, 2016. Cost of implementation services and other increased primarily due to a $4.4 million increase in employee-related costs to implement our solutions for new and existing clients during the nine months ended March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10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$ 44,471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$ 56,988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for the nine months ended March 31, 2017 increased by $12.5 million, or 28%, to $57.0 million from $44.5 million for the nine months ended March 31, 2016. The increase in sales and marketing expenses was primarily the result of $9.6 million of additional employee-related expenses incurred due to the expansion of our sales team by 104 personnel, including management, sales engineers, direct sales, sales administration and sales lead generation personnel. The increase was also attributable to $1.6 million in additional stock-based compensation associated with our equity incentive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8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$ 18,987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$ 21,492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for the nine months ended March 31, 2017 increased by $2.5 million, or 13%,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million from $19.0 million for the nine months ended March 31, 2016. The increase in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was primarily as a result of $6.1 million in employee-related expenses related to 62 additional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and $0.9 million of additional stock-based compensation costs, partially offset by higher year-over-year capitalized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internal-use software costs of $4.7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8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$ 34,410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$ 43,915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March 31, 2017 increased by $9.5 million, or 28%, to $43.9 million from $34.4 million for the nine months ended March 31, 2016. The increase was primarily the result of $3.2 million of additional employee-related expenses related to 26 additional personnel, $3.1 million of additional stock-based compensation costs and $2.8 million of increased occupancy costs incurred as a result of our requirement for additional office space.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8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(218)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 Meaningful</w:t>
            </w: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for the nine months ended March 31, 2017 was not materially different as compared to the nine months ended March 31,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8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(benefit) for the nine months ended March 31, 2017 was not materially different as compared to the nine months ended March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229" w:lineRule="exact"/>
        <w:rPr>
          <w:sz w:val="20"/>
          <w:szCs w:val="20"/>
          <w:color w:val="auto"/>
        </w:rPr>
      </w:pPr>
    </w:p>
    <w:p>
      <w:pPr>
        <w:jc w:val="both"/>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During the nine months ended March 31, 2017, there were no material changes to our critical accounting policies and use of estimates, which are disclosed in our audited consolidated financial statements for the year ended June 30, 2016 included in our Annual Report on Form 10-K filed with the SEC on August 12, 2016.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March 31, 2017, our principal source of liquidity was $101.5 million of cash and cash equivalents.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seek to establish borrowing capacity to satisfy those needs.</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solely for the repayment of client fund obligations.</w:t>
      </w:r>
    </w:p>
    <w:p>
      <w:pPr>
        <w:spacing w:after="0" w:line="18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cash flow from operations will be sufficient to meet our working capital, capital expenditure and other investment requirements for at least the next 12 months.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142"/>
        </w:trPr>
        <w:tc>
          <w:tcPr>
            <w:tcW w:w="48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43,335</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(10,073)</w:t>
            </w:r>
          </w:p>
        </w:tc>
      </w:tr>
      <w:tr>
        <w:trPr>
          <w:trHeight w:val="216"/>
        </w:trPr>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(13,916)</w:t>
            </w:r>
          </w:p>
        </w:tc>
      </w:tr>
      <w:tr>
        <w:trPr>
          <w:trHeight w:val="21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change in funds held for clients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(831,757)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69,281</w:t>
            </w:r>
          </w:p>
        </w:tc>
        <w:tc>
          <w:tcPr>
            <w:tcW w:w="6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45,292</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(69,281)</w:t>
            </w:r>
          </w:p>
        </w:tc>
      </w:tr>
      <w:tr>
        <w:trPr>
          <w:trHeight w:val="216"/>
        </w:trPr>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6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(73,673)</w:t>
            </w:r>
          </w:p>
        </w:tc>
        <w:tc>
          <w:tcPr>
            <w:tcW w:w="60" w:type="dxa"/>
            <w:vAlign w:val="bottom"/>
            <w:shd w:val="clear" w:color="auto" w:fill="CCEEFF"/>
          </w:tcPr>
          <w:p>
            <w:pPr>
              <w:spacing w:after="0"/>
              <w:rPr>
                <w:sz w:val="18"/>
                <w:szCs w:val="18"/>
                <w:color w:val="auto"/>
              </w:rPr>
            </w:pPr>
          </w:p>
        </w:tc>
      </w:tr>
      <w:tr>
        <w:trPr>
          <w:trHeight w:val="21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6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$43.3 million for the nine months ended March 31, 2017 as compared to $29.1 million for the nine months ended March 31, 2016. The increase in net cash provided by operating activities from the nine months ended March 31, 2016 to the nine months ended March 31, 2017 was primarily due to improved operating results after adjusting for non-cash items including stock-based compensation expense and depreciation and amortization expense, partially offset by downward fluctuations in operating assets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(used in) investing activities was $45.3 million for the nine months ended March 31, 2017 as compared to $(849.8) million for the nine months ended March 31, 2016.</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Changes in net cash provided by (used in) investing activities are significantly influenced by the amount of funds held for clients at the end of a reporting period. Changes in the amount of funds held for clients from period to period will vary substantially. Our payroll processing activities involve the movement of significant funds from the account of an employer to employees and relevant taxing authorities. During fiscal 2016 we processed over $74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Excluding the net change in funds held for clients, our net cash used in investing activities was $24.0 million for the nine months ended March 31, 2017 as compared to $18.0 million for the nine months ended March 31, 2016. The change in net cash used in investing activities was primarily due to higher capitalized internal-use software costs and increased purchases of property and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(used in) in financing activities was $(73.7) million for the nine months ended March 31, 2017 as compared to $829.2 million for the nine months ended March 31, 2016. Excluding the net change in client fund obligations, net cash used in financing activities was $4.4 million for the nine months ended March 31, 2017 as compared to $2.6 million for the nine months ended March 31, 2016. The change in cash provided by (used in) financing activities, excluding the net change in client fund obligations, was primarily the result of higher taxes paid related to net share settlement of equity awards, partially offset by higher proceeds received from our employee stock purchase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principal commitments consist of operating lease obligations. The following table summarizes our contractual obligations at March 31,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Payment Due By Fiscal Period</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$ 119,629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$16,791</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$18,552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$ 77,374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7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122,247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18,360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18,552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$ 77,374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expect to increase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$11.7 million and $13.9 million for the nine months ended March 31, 2016 and 2017, respectively, exclusive of capitalized internal-use software costs of $5.8 million and $10.1 million for the same periods,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March 31, 2017,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in the past, and we may not be able to achieve or sustain profitability for the foreseeable future.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net losses from time to time. We incurred net losses of $7,110,000, $13,972,000 and $3,851,000 in fiscal 2014, fiscal 2015 and fiscal 2016, respectively.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have incurred significant legal, accounting and other expenses that we had not incurred as a private company. These increased expenditures have made it harder for us to achieve and maintain profitability. We also may incur losses in the future for a number of other unforeseen reasons. Accordingly, we may incur losses for the foreseeable future.</w:t>
      </w:r>
    </w:p>
    <w:p>
      <w:pPr>
        <w:spacing w:after="0" w:line="18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in the past and may continue to fluctuate, causing the value of our common stock to decline substantially.</w:t>
      </w:r>
    </w:p>
    <w:p>
      <w:pPr>
        <w:spacing w:after="0" w:line="15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other risk factors listed in this section, some of the important factors that may cause fluctuations in our quarterly operating results include:</w:t>
      </w:r>
    </w:p>
    <w:p>
      <w:pPr>
        <w:spacing w:after="0" w:line="162" w:lineRule="exact"/>
        <w:rPr>
          <w:sz w:val="20"/>
          <w:szCs w:val="20"/>
          <w:color w:val="auto"/>
        </w:rPr>
      </w:pPr>
    </w:p>
    <w:p>
      <w:pPr>
        <w:ind w:left="1080" w:hanging="105"/>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achieve or maintain market acceptance;</w:t>
      </w:r>
    </w:p>
    <w:p>
      <w:pPr>
        <w:spacing w:after="0" w:line="225" w:lineRule="exact"/>
        <w:rPr>
          <w:rFonts w:ascii="Times New Roman" w:cs="Times New Roman" w:eastAsia="Times New Roman" w:hAnsi="Times New Roman"/>
          <w:sz w:val="18"/>
          <w:szCs w:val="18"/>
          <w:color w:val="auto"/>
        </w:rPr>
      </w:pPr>
    </w:p>
    <w:p>
      <w:pPr>
        <w:ind w:left="1060" w:right="420" w:hanging="85"/>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enhancements and updates to our existing products on a timely basis;</w:t>
      </w:r>
    </w:p>
    <w:p>
      <w:pPr>
        <w:spacing w:after="0" w:line="161"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and the introduction of enhanced products and services from competitors;</w:t>
      </w:r>
    </w:p>
    <w:p>
      <w:pPr>
        <w:spacing w:after="0" w:line="225"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procurement policies;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60" w:right="880" w:hanging="85"/>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investment in research and development activities and whether such investments are capitalized or expensed as incurred;</w:t>
      </w:r>
    </w:p>
    <w:p>
      <w:pPr>
        <w:spacing w:after="0" w:line="161"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clients’ employees;</w:t>
      </w:r>
    </w:p>
    <w:p>
      <w:pPr>
        <w:spacing w:after="0" w:line="225"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recognition of revenues and expenses;</w:t>
      </w:r>
    </w:p>
    <w:p>
      <w:pPr>
        <w:spacing w:after="0" w:line="225"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w:t>
      </w:r>
    </w:p>
    <w:p>
      <w:pPr>
        <w:spacing w:after="0" w:line="225"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225"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with our products or interruptions in our services;</w:t>
      </w:r>
    </w:p>
    <w:p>
      <w:pPr>
        <w:spacing w:after="0" w:line="225"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w:t>
      </w:r>
    </w:p>
    <w:p>
      <w:pPr>
        <w:spacing w:after="0" w:line="225"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repeal of or changes to the laws and regulations related to the products and services which we offer;</w:t>
      </w:r>
    </w:p>
    <w:p>
      <w:pPr>
        <w:spacing w:after="0" w:line="225"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225"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settlement costs.</w:t>
      </w:r>
    </w:p>
    <w:p>
      <w:pPr>
        <w:spacing w:after="0" w:line="225" w:lineRule="exact"/>
        <w:rPr>
          <w:sz w:val="20"/>
          <w:szCs w:val="20"/>
          <w:color w:val="auto"/>
        </w:rPr>
      </w:pPr>
    </w:p>
    <w:p>
      <w:pPr>
        <w:jc w:val="both"/>
        <w:ind w:right="760" w:firstLine="648"/>
        <w:spacing w:after="0" w:line="266" w:lineRule="auto"/>
        <w:rPr>
          <w:sz w:val="20"/>
          <w:szCs w:val="20"/>
          <w:color w:val="auto"/>
        </w:rPr>
      </w:pPr>
      <w:r>
        <w:rPr>
          <w:rFonts w:ascii="Times New Roman" w:cs="Times New Roman" w:eastAsia="Times New Roman" w:hAnsi="Times New Roman"/>
          <w:sz w:val="18"/>
          <w:szCs w:val="18"/>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increase our expenses, decrease our revenue, and prevent us from implementing our business strategy.</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8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if we do not compete effectively, our operating results could be adversely affected.</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market for payroll and HCM solutions is fragmented, highly competitive and rapidly changing. Our competitors vary for each of our solutions, and include enterprise-focused software providers, such as Ultimate Software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176"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7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8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if the Patient Protection and Affordable Care Act (the “ACA”) is repealed in its entirety or certain aspects of the ACA are repealed or changed.</w:t>
      </w:r>
    </w:p>
    <w:p>
      <w:pPr>
        <w:spacing w:after="0" w:line="15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The ACA remains subject to legislative efforts to repeal, modify or delay the implementation of the law. The 2016 Presidential and Congressional elections may result in additional or successful efforts to repeal, modify or delay implementation of all or certain aspects of the ACA. Generally, if the ACA is repealed or modified in whole or in part, or if implementation of certain aspects of the ACA is delayed, such repeal, modification or delay could adversely impact our existing and future business and operating results. For example, any such repeal, modification or delay could negatively impact the revenue we currently generate from our ACA Enhanced or ACA Essential products, overall gross margins, and require us to write-down capitalized internal-use software development costs related to ACA products. While we expect continued challenges to the ACA, at this time we are unable to more precisely predict the full impact of any repeal, modification or delay in the implementation of the ACA.</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5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8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8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9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limitations of liability in our contracts would be enforceable or adequate or would otherwise protect us from any such liabilities or damages with respect to any particular claim related to a breach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expand our direct sales force with qualified and productive persons, we may not be able to grow our business effectively.</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referral network participants reduce their referrals to us, we may not be able to grow our client base or revenues in the future.</w:t>
      </w:r>
    </w:p>
    <w:p>
      <w:pPr>
        <w:spacing w:after="0" w:line="15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greater than 30% of our new sales in fiscal 2016 were referred to us from our referral network participants. In most cases, our relationships with referral network participants are informal, although in some cases, we have formalized relationships where we are a recommended vendor for their client.</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8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payroll processing business involves the movement of significant funds from the account of a client to employees and relevant taxing authorities. For example, in fiscal 2016 we processed over $74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economic or political conditions could adversely affect our operating results and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volatility. For example, United Kingdom’s decision to leave the European Union has created global economic uncertainty, which, in turn, could depress the demand for our services.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8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process on behalf of our clients, their doing so may impede our ability to process funds and could have an adverse impact on our financial results and liquidity.</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Steven R. Beauchamp, our President and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8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8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and laws or other domestic regulations may reduce the effectiveness of our applications and adversely affect our business.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addition to government activity, privacy advocacy groups and the technology and other industries are considering various new, additional or different self-regulatory standards that may place additional burdens on us. If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processing of personal information were to be curtailed in this manner, our products would be less effective, which may reduce demand for our applications and adversely affect our business.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do not effectively implement our solutions or our clients are not satisfied with our implementation services.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affected if we are unable to accommodate increased demand for our implementation services resulting from growth in our business.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client services may adversely affect our relationships with our clients and our financial results.</w:t>
      </w:r>
    </w:p>
    <w:p>
      <w:pPr>
        <w:spacing w:after="0" w:line="15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7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5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060" w:hanging="85"/>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and other force majeure events outside our control;</w:t>
      </w:r>
    </w:p>
    <w:p>
      <w:pPr>
        <w:spacing w:after="0" w:line="225"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225"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225"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denial-of-service attacks and similar disruptive problems; and</w:t>
      </w:r>
    </w:p>
    <w:p>
      <w:pPr>
        <w:spacing w:after="0" w:line="225"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disruption in the operation of our data centers could adversely affect our business.</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We host our applications and serve all of our clients from data centers located at our company headquarters in Arlington Heights, Illinois with backup data centers at third-party facilities in Franklin Park, Illinois and Kenosha, Wisconsin. We also may decide to employ additional offsite data centers in the future to accommodate growth.</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8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acquired, we may be required to transfer our servers and other infrastructure to new data center facilities, and we may incur costs and experience service interruption in doing so.</w:t>
      </w:r>
    </w:p>
    <w:p>
      <w:pPr>
        <w:spacing w:after="0" w:line="158"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3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4"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82" w:lineRule="auto"/>
        <w:rPr>
          <w:sz w:val="20"/>
          <w:szCs w:val="20"/>
          <w:color w:val="auto"/>
        </w:rPr>
      </w:pPr>
      <w:r>
        <w:rPr>
          <w:rFonts w:ascii="Times New Roman" w:cs="Times New Roman" w:eastAsia="Times New Roman" w:hAnsi="Times New Roman"/>
          <w:sz w:val="18"/>
          <w:szCs w:val="18"/>
          <w:color w:val="auto"/>
        </w:rPr>
        <w:t>limits. If the FDIC were to take the position that it is not obligated to provide deposit insurance for our clients’ funds or if the reimbursement of these funds were delayed, our business and our clients could be materially harmed.</w:t>
      </w:r>
    </w:p>
    <w:p>
      <w:pPr>
        <w:spacing w:after="0" w:line="158" w:lineRule="exact"/>
        <w:rPr>
          <w:sz w:val="20"/>
          <w:szCs w:val="20"/>
          <w:color w:val="auto"/>
        </w:rPr>
      </w:pPr>
    </w:p>
    <w:p>
      <w:pPr>
        <w:jc w:val="both"/>
        <w:ind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75" w:lineRule="exact"/>
        <w:rPr>
          <w:sz w:val="20"/>
          <w:szCs w:val="20"/>
          <w:color w:val="auto"/>
        </w:rPr>
      </w:pPr>
    </w:p>
    <w:p>
      <w:pPr>
        <w:ind w:right="139" w:firstLine="648"/>
        <w:spacing w:after="0" w:line="258" w:lineRule="auto"/>
        <w:rPr>
          <w:sz w:val="20"/>
          <w:szCs w:val="20"/>
          <w:color w:val="auto"/>
        </w:rPr>
      </w:pPr>
      <w:r>
        <w:rPr>
          <w:rFonts w:ascii="Times New Roman" w:cs="Times New Roman" w:eastAsia="Times New Roman" w:hAnsi="Times New Roman"/>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4" w:lineRule="exact"/>
        <w:rPr>
          <w:sz w:val="20"/>
          <w:szCs w:val="20"/>
          <w:color w:val="auto"/>
        </w:rPr>
      </w:pPr>
    </w:p>
    <w:p>
      <w:pPr>
        <w:ind w:right="39" w:firstLine="648"/>
        <w:spacing w:after="0" w:line="266" w:lineRule="auto"/>
        <w:rPr>
          <w:sz w:val="20"/>
          <w:szCs w:val="20"/>
          <w:color w:val="auto"/>
        </w:rPr>
      </w:pPr>
      <w:r>
        <w:rPr>
          <w:rFonts w:ascii="Times New Roman" w:cs="Times New Roman" w:eastAsia="Times New Roman" w:hAnsi="Times New Roman"/>
          <w:sz w:val="18"/>
          <w:szCs w:val="18"/>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76" w:lineRule="exact"/>
        <w:rPr>
          <w:sz w:val="20"/>
          <w:szCs w:val="20"/>
          <w:color w:val="auto"/>
        </w:rPr>
      </w:pPr>
    </w:p>
    <w:p>
      <w:pPr>
        <w:ind w:right="19" w:firstLine="648"/>
        <w:spacing w:after="0" w:line="254" w:lineRule="auto"/>
        <w:rPr>
          <w:sz w:val="20"/>
          <w:szCs w:val="20"/>
          <w:color w:val="auto"/>
        </w:rPr>
      </w:pPr>
      <w:r>
        <w:rPr>
          <w:rFonts w:ascii="Times New Roman" w:cs="Times New Roman" w:eastAsia="Times New Roman" w:hAnsi="Times New Roman"/>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the licensing of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89" w:lineRule="exact"/>
        <w:rPr>
          <w:sz w:val="20"/>
          <w:szCs w:val="20"/>
          <w:color w:val="auto"/>
        </w:rPr>
      </w:pPr>
    </w:p>
    <w:p>
      <w:pPr>
        <w:ind w:right="19" w:firstLine="648"/>
        <w:spacing w:after="0" w:line="254" w:lineRule="auto"/>
        <w:rPr>
          <w:sz w:val="20"/>
          <w:szCs w:val="20"/>
          <w:color w:val="auto"/>
        </w:rPr>
      </w:pPr>
      <w:r>
        <w:rPr>
          <w:rFonts w:ascii="Times New Roman" w:cs="Times New Roman" w:eastAsia="Times New Roman" w:hAnsi="Times New Roman"/>
          <w:sz w:val="18"/>
          <w:szCs w:val="18"/>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software and services to our clients and might adversely affect our ability to retain existing clients or to gain new clients in the areas in which such taxes are imposed.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ind w:right="59" w:firstLine="648"/>
        <w:spacing w:after="0" w:line="255"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1" w:lineRule="exact"/>
        <w:rPr>
          <w:sz w:val="20"/>
          <w:szCs w:val="20"/>
          <w:color w:val="auto"/>
        </w:rPr>
      </w:pPr>
    </w:p>
    <w:p>
      <w:pPr>
        <w:ind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159" w:lineRule="exact"/>
        <w:rPr>
          <w:sz w:val="20"/>
          <w:szCs w:val="20"/>
          <w:color w:val="auto"/>
        </w:rPr>
      </w:pPr>
    </w:p>
    <w:p>
      <w:pPr>
        <w:ind w:right="179" w:firstLine="648"/>
        <w:spacing w:after="0" w:line="258"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80"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and solutions may expose us to additional risks and harm our intellectual property rights.</w:t>
      </w:r>
    </w:p>
    <w:p>
      <w:pPr>
        <w:spacing w:after="0" w:line="159"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software used in our products is not adequately maintained or updated, our business could be materially adversely affected.</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5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59" w:lineRule="exact"/>
        <w:rPr>
          <w:sz w:val="20"/>
          <w:szCs w:val="20"/>
          <w:color w:val="auto"/>
        </w:rPr>
      </w:pPr>
    </w:p>
    <w:p>
      <w:pPr>
        <w:ind w:right="39" w:firstLine="648"/>
        <w:spacing w:after="0" w:line="255" w:lineRule="auto"/>
        <w:rPr>
          <w:sz w:val="20"/>
          <w:szCs w:val="20"/>
          <w:color w:val="auto"/>
        </w:rPr>
      </w:pPr>
      <w:r>
        <w:rPr>
          <w:rFonts w:ascii="Times New Roman" w:cs="Times New Roman" w:eastAsia="Times New Roman" w:hAnsi="Times New Roman"/>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w:t>
      </w:r>
    </w:p>
    <w:p>
      <w:pPr>
        <w:spacing w:after="0" w:line="229" w:lineRule="exact"/>
        <w:rPr>
          <w:sz w:val="20"/>
          <w:szCs w:val="20"/>
          <w:color w:val="auto"/>
        </w:rPr>
      </w:pPr>
    </w:p>
    <w:p>
      <w:pPr>
        <w:jc w:val="both"/>
        <w:ind w:right="299" w:firstLine="648"/>
        <w:spacing w:after="0" w:line="257"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spacing w:after="0" w:line="2" w:lineRule="exact"/>
        <w:rPr>
          <w:sz w:val="20"/>
          <w:szCs w:val="20"/>
          <w:color w:val="auto"/>
        </w:rPr>
      </w:pPr>
    </w:p>
    <w:p>
      <w:pPr>
        <w:ind w:right="259"/>
        <w:spacing w:after="0" w:line="261" w:lineRule="auto"/>
        <w:rPr>
          <w:sz w:val="20"/>
          <w:szCs w:val="20"/>
          <w:color w:val="auto"/>
        </w:rPr>
      </w:pPr>
      <w:r>
        <w:rPr>
          <w:rFonts w:ascii="Times New Roman" w:cs="Times New Roman" w:eastAsia="Times New Roman" w:hAnsi="Times New Roman"/>
          <w:sz w:val="18"/>
          <w:szCs w:val="18"/>
          <w:color w:val="auto"/>
        </w:rPr>
        <w:t>Accordingly, we might need to engage in equity or debt financings to secure additional funds. In addition, we will need to expand our ACH capacity as we grow our business.</w:t>
      </w:r>
    </w:p>
    <w:p>
      <w:pPr>
        <w:spacing w:after="0" w:line="180"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81" w:lineRule="exact"/>
        <w:rPr>
          <w:sz w:val="20"/>
          <w:szCs w:val="20"/>
          <w:color w:val="auto"/>
        </w:rPr>
      </w:pPr>
    </w:p>
    <w:p>
      <w:pPr>
        <w:ind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services present the potential for embezzlement, identity theft, or other similar illegal behavior by our associates with respect to third parties.</w:t>
      </w:r>
    </w:p>
    <w:p>
      <w:pPr>
        <w:spacing w:after="0" w:line="159" w:lineRule="exact"/>
        <w:rPr>
          <w:sz w:val="20"/>
          <w:szCs w:val="20"/>
          <w:color w:val="auto"/>
        </w:rPr>
      </w:pPr>
    </w:p>
    <w:p>
      <w:pPr>
        <w:ind w:right="119" w:firstLine="648"/>
        <w:spacing w:after="0" w:line="255" w:lineRule="auto"/>
        <w:rPr>
          <w:sz w:val="20"/>
          <w:szCs w:val="20"/>
          <w:color w:val="auto"/>
        </w:rPr>
      </w:pPr>
      <w:r>
        <w:rPr>
          <w:rFonts w:ascii="Times New Roman" w:cs="Times New Roman" w:eastAsia="Times New Roman" w:hAnsi="Times New Roman"/>
          <w:sz w:val="18"/>
          <w:szCs w:val="18"/>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85" w:lineRule="exact"/>
        <w:rPr>
          <w:sz w:val="20"/>
          <w:szCs w:val="20"/>
          <w:color w:val="auto"/>
        </w:rPr>
      </w:pPr>
    </w:p>
    <w:p>
      <w:pPr>
        <w:ind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59" w:lineRule="exact"/>
        <w:rPr>
          <w:sz w:val="20"/>
          <w:szCs w:val="20"/>
          <w:color w:val="auto"/>
        </w:rPr>
      </w:pPr>
    </w:p>
    <w:p>
      <w:pPr>
        <w:ind w:right="119" w:firstLine="648"/>
        <w:spacing w:after="0" w:line="255" w:lineRule="auto"/>
        <w:rPr>
          <w:sz w:val="20"/>
          <w:szCs w:val="20"/>
          <w:color w:val="auto"/>
        </w:rPr>
      </w:pPr>
      <w:r>
        <w:rPr>
          <w:rFonts w:ascii="Times New Roman" w:cs="Times New Roman" w:eastAsia="Times New Roman" w:hAnsi="Times New Roman"/>
          <w:sz w:val="18"/>
          <w:szCs w:val="18"/>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85" w:lineRule="exact"/>
        <w:rPr>
          <w:sz w:val="20"/>
          <w:szCs w:val="20"/>
          <w:color w:val="auto"/>
        </w:rPr>
      </w:pPr>
    </w:p>
    <w:p>
      <w:pPr>
        <w:ind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59" w:lineRule="exact"/>
        <w:rPr>
          <w:sz w:val="20"/>
          <w:szCs w:val="20"/>
          <w:color w:val="auto"/>
        </w:rPr>
      </w:pPr>
    </w:p>
    <w:p>
      <w:pPr>
        <w:ind w:right="39" w:firstLine="648"/>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including increased volatility, and could affect the reporting of</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transactions completed before the announcement of a change. In particular, changes to regulations concerning revenue recognition could require us to alter our current revenue accounting practices and cause us to either defer revenue into a future period, or to recognize lower revenue in a current period, and the implementation of such changes could increase compliance costs.</w:t>
      </w:r>
    </w:p>
    <w:p>
      <w:pPr>
        <w:spacing w:after="0" w:line="176" w:lineRule="exact"/>
        <w:rPr>
          <w:sz w:val="20"/>
          <w:szCs w:val="20"/>
          <w:color w:val="auto"/>
        </w:rPr>
      </w:pPr>
    </w:p>
    <w:p>
      <w:pPr>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3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0" w:lineRule="exact"/>
        <w:rPr>
          <w:sz w:val="20"/>
          <w:szCs w:val="20"/>
          <w:color w:val="auto"/>
        </w:rPr>
      </w:pPr>
    </w:p>
    <w:p>
      <w:pPr>
        <w:ind w:left="1060" w:hanging="85"/>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225"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225"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225" w:lineRule="exact"/>
        <w:rPr>
          <w:rFonts w:ascii="Times New Roman" w:cs="Times New Roman" w:eastAsia="Times New Roman" w:hAnsi="Times New Roman"/>
          <w:sz w:val="18"/>
          <w:szCs w:val="18"/>
          <w:color w:val="auto"/>
        </w:rPr>
      </w:pPr>
    </w:p>
    <w:p>
      <w:pPr>
        <w:ind w:left="1060" w:right="180" w:hanging="85"/>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61" w:lineRule="exact"/>
        <w:rPr>
          <w:rFonts w:ascii="Times New Roman" w:cs="Times New Roman" w:eastAsia="Times New Roman" w:hAnsi="Times New Roman"/>
          <w:sz w:val="18"/>
          <w:szCs w:val="18"/>
          <w:color w:val="auto"/>
        </w:rPr>
      </w:pPr>
    </w:p>
    <w:p>
      <w:pPr>
        <w:ind w:left="1060" w:right="220" w:hanging="85"/>
        <w:spacing w:after="0" w:line="313" w:lineRule="auto"/>
        <w:tabs>
          <w:tab w:leader="none" w:pos="10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clients of the acquired business onto our applications and contract terms, including disparities in the revenues, licensing, support or professional services model of the acquired company;</w:t>
      </w:r>
    </w:p>
    <w:p>
      <w:pPr>
        <w:spacing w:after="0" w:line="138" w:lineRule="exact"/>
        <w:rPr>
          <w:rFonts w:ascii="Times New Roman" w:cs="Times New Roman" w:eastAsia="Times New Roman" w:hAnsi="Times New Roman"/>
          <w:sz w:val="17"/>
          <w:szCs w:val="17"/>
          <w:color w:val="auto"/>
        </w:rPr>
      </w:pPr>
    </w:p>
    <w:p>
      <w:pPr>
        <w:ind w:left="1080" w:hanging="10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1060" w:right="480" w:hanging="85"/>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161"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225"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225"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right="580" w:firstLine="648"/>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of April 28, 2017, our directors, executive officers and holders of more than 5% of our common stock, together with their respective affiliates, beneficially owned, in the aggregate, approximately 49.4%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subject to wide fluctuations.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76" w:lineRule="exact"/>
        <w:rPr>
          <w:sz w:val="20"/>
          <w:szCs w:val="20"/>
          <w:color w:val="auto"/>
        </w:rPr>
      </w:pPr>
    </w:p>
    <w:p>
      <w:pPr>
        <w:ind w:left="1060" w:hanging="85"/>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operating performance of similar companies;</w:t>
      </w:r>
    </w:p>
    <w:p>
      <w:pPr>
        <w:spacing w:after="0" w:line="225"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225" w:lineRule="exact"/>
        <w:rPr>
          <w:rFonts w:ascii="Times New Roman" w:cs="Times New Roman" w:eastAsia="Times New Roman" w:hAnsi="Times New Roman"/>
          <w:sz w:val="18"/>
          <w:szCs w:val="18"/>
          <w:color w:val="auto"/>
        </w:rPr>
      </w:pPr>
    </w:p>
    <w:p>
      <w:pPr>
        <w:ind w:left="1060" w:right="600" w:hanging="85"/>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directors, executive officers and affiliates;</w:t>
      </w:r>
    </w:p>
    <w:p>
      <w:pPr>
        <w:spacing w:after="0" w:line="225"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and</w:t>
      </w:r>
    </w:p>
    <w:p>
      <w:pPr>
        <w:spacing w:after="0" w:line="225" w:lineRule="exact"/>
        <w:rPr>
          <w:rFonts w:ascii="Times New Roman" w:cs="Times New Roman" w:eastAsia="Times New Roman" w:hAnsi="Times New Roman"/>
          <w:sz w:val="18"/>
          <w:szCs w:val="18"/>
          <w:color w:val="auto"/>
        </w:rPr>
      </w:pPr>
    </w:p>
    <w:p>
      <w:pPr>
        <w:ind w:left="1060" w:right="140" w:hanging="85"/>
        <w:spacing w:after="0" w:line="261"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conditions in the United States and global economies or financial markets (including those resulting from the United Kingdom’s decision to exit from the European Union, acts of God, war, incidents of terrorism, or other destabilizing events and the resulting responses to them).</w:t>
      </w:r>
    </w:p>
    <w:p>
      <w:pPr>
        <w:spacing w:after="0" w:line="180" w:lineRule="exact"/>
        <w:rPr>
          <w:sz w:val="20"/>
          <w:szCs w:val="20"/>
          <w:color w:val="auto"/>
        </w:rPr>
      </w:pPr>
    </w:p>
    <w:p>
      <w:pPr>
        <w:ind w:right="420"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in the past two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by existing stockholders could depress the market price of our common stock.</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of April 28, 2017, we had an aggregate of 51,510,382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addition, we have registered 15,092,927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9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5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For example, we are subject to the reporting requirements of the Securities Exchange Act of 1934, as amended, or the Exchange Act, and are required to comply with the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53" w:lineRule="exact"/>
        <w:rPr>
          <w:sz w:val="20"/>
          <w:szCs w:val="20"/>
          <w:color w:val="auto"/>
        </w:rPr>
      </w:pPr>
    </w:p>
    <w:p>
      <w:pPr>
        <w:ind w:left="1060" w:right="480" w:hanging="85"/>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convertible preferred stock that could be issued by our board of directors to thwart a takeover attempt;</w:t>
      </w:r>
    </w:p>
    <w:p>
      <w:pPr>
        <w:spacing w:after="0" w:line="26" w:lineRule="exact"/>
        <w:rPr>
          <w:rFonts w:ascii="Times New Roman" w:cs="Times New Roman" w:eastAsia="Times New Roman" w:hAnsi="Times New Roman"/>
          <w:sz w:val="18"/>
          <w:szCs w:val="18"/>
          <w:color w:val="auto"/>
        </w:rPr>
      </w:pPr>
    </w:p>
    <w:p>
      <w:pPr>
        <w:ind w:left="1060" w:right="160" w:hanging="85"/>
        <w:spacing w:after="0" w:line="266"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1"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supermajority stockholder vote;</w:t>
      </w:r>
    </w:p>
    <w:p>
      <w:pPr>
        <w:spacing w:after="0" w:line="90" w:lineRule="exact"/>
        <w:rPr>
          <w:rFonts w:ascii="Times New Roman" w:cs="Times New Roman" w:eastAsia="Times New Roman" w:hAnsi="Times New Roman"/>
          <w:sz w:val="18"/>
          <w:szCs w:val="18"/>
          <w:color w:val="auto"/>
        </w:rPr>
      </w:pPr>
    </w:p>
    <w:p>
      <w:pPr>
        <w:ind w:left="1060" w:hanging="85"/>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including newly-created directorships, may be filled only by a majority vote of directors then in office rather than by stockholders;</w:t>
      </w:r>
    </w:p>
    <w:p>
      <w:pPr>
        <w:spacing w:after="0" w:line="26"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calling special meetings; and</w:t>
      </w:r>
    </w:p>
    <w:p>
      <w:pPr>
        <w:spacing w:after="0" w:line="90" w:lineRule="exact"/>
        <w:rPr>
          <w:rFonts w:ascii="Times New Roman" w:cs="Times New Roman" w:eastAsia="Times New Roman" w:hAnsi="Times New Roman"/>
          <w:sz w:val="18"/>
          <w:szCs w:val="18"/>
          <w:color w:val="auto"/>
        </w:rPr>
      </w:pPr>
    </w:p>
    <w:p>
      <w:pPr>
        <w:ind w:left="1060" w:right="940" w:hanging="85"/>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state and federal courts located within the state of Delaware are the sole and exclusive forums for certain legal actions involving the company or our directors, officers and employees and that, to the extent permitted by law, any claimant who violates the exclusive forum provision of our bylaws may be obligated to reimburse us for any costs we incur in connection with such extra-forum claim.</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In addition, our bylaws provide that, to the extent permitted by law, any claimant who violates the exclusive forum provision of our bylaws may be obligated to reimburse us for any attorneys’ fees and costs we incur in connection with such extra-forum claim. The choice of forum provision is expressly authorized by the Delaware General Corporation Law, which was amended so that companies would not have to litigate internal claims in more than one jurisdiction. The imposition of attorneys’ fees and costs for a violation of our exclusive forum provision may discourage a claimant from bringing an action in a judicial forum outside the Company’s state of incorporation and eliminate the additional costs that may be incurred in actions against us or our directors, officers or other employees. Alternatively, if a court were to find the exclusive forum provision contained in our bylaws to be inapplicable or unenforceable, we may incur additional costs associated with resolving such extra-forum claims, which could adversely affect our business and financial condition. If a claimant violates our exclusive forum provision, such claimant may be required, to the extent permitted by law, to reimburse us for attorneys’ fees and other litigation expenses. These bylaw provisions, therefore, may dissuade or discourage claimants from initiating lawsuits or claims against us or our directors and officers in forums other than Delaware.</w:t>
      </w:r>
    </w:p>
    <w:p>
      <w:pPr>
        <w:spacing w:after="0" w:line="19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legislative and common laws on fee-shifting and other provisions designed to curb unnecessary litigation are evolving, and there exists considerable uncertainty regarding the validity of, and potential judicial and legislative responses to, such provisions. We are currently involved in litigation regarding the validity of our bylaw provision that imposes attorneys’ fees and costs on claimants who violate our exclusive forum provision, and the Delaware Court of Chancery has ruled that our provision conflicts with a recently-enacted section of the Delaware General Corporation Law. We intend to appeal this ruling, and we will incur additional costs related to such appeal. If we are unsuccessful in this appeal, we will be required to amend or remove that provision from our bylaws. However, it remains uncertain whether a court would nevertheless require a claimant who violates our exclusive forum provision to reimburse us for our attorneys’ fees and costs even without an express provision in our bylaws providing for such relief.</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88" w:lineRule="exact"/>
        <w:rPr>
          <w:sz w:val="20"/>
          <w:szCs w:val="20"/>
          <w:color w:val="auto"/>
        </w:rPr>
      </w:pPr>
    </w:p>
    <w:p>
      <w:pPr>
        <w:ind w:right="340" w:firstLine="648"/>
        <w:spacing w:after="0" w:line="289" w:lineRule="auto"/>
        <w:rPr>
          <w:sz w:val="20"/>
          <w:szCs w:val="20"/>
          <w:color w:val="auto"/>
        </w:rPr>
      </w:pPr>
      <w:r>
        <w:rPr>
          <w:rFonts w:ascii="Times New Roman" w:cs="Times New Roman" w:eastAsia="Times New Roman" w:hAnsi="Times New Roman"/>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59"/>
        <w:spacing w:after="0" w:line="282" w:lineRule="auto"/>
        <w:rPr>
          <w:sz w:val="20"/>
          <w:szCs w:val="20"/>
          <w:color w:val="auto"/>
        </w:rPr>
      </w:pPr>
      <w:r>
        <w:rPr>
          <w:rFonts w:ascii="Times New Roman" w:cs="Times New Roman" w:eastAsia="Times New Roman" w:hAnsi="Times New Roman"/>
          <w:sz w:val="18"/>
          <w:szCs w:val="18"/>
          <w:color w:val="auto"/>
        </w:rPr>
        <w:t>which was declared effective by the SEC on September 25, 2015. The Company did not receive any proceeds from the sale of common stock, as all the shares were sold by shareholders of the Company.</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80" w:type="dxa"/>
            <w:vAlign w:val="bottom"/>
          </w:tcPr>
          <w:p>
            <w:pPr>
              <w:spacing w:after="0"/>
              <w:rPr>
                <w:sz w:val="16"/>
                <w:szCs w:val="16"/>
                <w:color w:val="auto"/>
              </w:rPr>
            </w:pPr>
          </w:p>
        </w:tc>
        <w:tc>
          <w:tcPr>
            <w:tcW w:w="786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First Amended and Restated Certificate of Incorporation (filed as Exhibit 3.2 of Paylocity Holding</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Corporation’s Form S-1 Registration Statement (Registration No. 333-193661).</w:t>
            </w:r>
          </w:p>
        </w:tc>
      </w:tr>
      <w:tr>
        <w:trPr>
          <w:trHeight w:val="37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Paylocity Holding Corporation (filed as Exhibit 3.2 of Paylocity Holding</w:t>
            </w:r>
          </w:p>
        </w:tc>
      </w:tr>
      <w:tr>
        <w:trPr>
          <w:trHeight w:val="203"/>
        </w:trPr>
        <w:tc>
          <w:tcPr>
            <w:tcW w:w="920" w:type="dxa"/>
            <w:vAlign w:val="bottom"/>
          </w:tcPr>
          <w:p>
            <w:pPr>
              <w:spacing w:after="0"/>
              <w:rPr>
                <w:sz w:val="17"/>
                <w:szCs w:val="17"/>
                <w:color w:val="auto"/>
              </w:rPr>
            </w:pPr>
          </w:p>
        </w:tc>
        <w:tc>
          <w:tcPr>
            <w:tcW w:w="8140" w:type="dxa"/>
            <w:vAlign w:val="bottom"/>
            <w:gridSpan w:val="2"/>
          </w:tcPr>
          <w:p>
            <w:pPr>
              <w:ind w:left="280"/>
              <w:spacing w:after="0" w:line="202" w:lineRule="exact"/>
              <w:rPr>
                <w:sz w:val="20"/>
                <w:szCs w:val="20"/>
                <w:color w:val="auto"/>
              </w:rPr>
            </w:pPr>
            <w:r>
              <w:rPr>
                <w:rFonts w:ascii="Times New Roman" w:cs="Times New Roman" w:eastAsia="Times New Roman" w:hAnsi="Times New Roman"/>
                <w:sz w:val="18"/>
                <w:szCs w:val="18"/>
                <w:color w:val="auto"/>
              </w:rPr>
              <w:t>Corporation’s Quarterly Report on Form 10-Q for the quarter ended December 31, 2015 (File No. 001-</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36348)).</w:t>
            </w:r>
          </w:p>
        </w:tc>
      </w:tr>
      <w:tr>
        <w:trPr>
          <w:trHeight w:val="37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Rules 13a-4 and 15d-14 as</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7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Rules 13a-4 and 15d-14 as</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7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2002, by Chief Executive Officer.</w:t>
            </w:r>
          </w:p>
        </w:tc>
      </w:tr>
      <w:tr>
        <w:trPr>
          <w:trHeight w:val="37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2002, by Chief Financial Officer.</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54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PAYLOCITY HOLDING CORPORATION</w:t>
            </w:r>
          </w:p>
        </w:tc>
        <w:tc>
          <w:tcPr>
            <w:tcW w:w="0" w:type="dxa"/>
            <w:vAlign w:val="bottom"/>
          </w:tcPr>
          <w:p>
            <w:pPr>
              <w:spacing w:after="0"/>
              <w:rPr>
                <w:sz w:val="1"/>
                <w:szCs w:val="1"/>
                <w:color w:val="auto"/>
              </w:rPr>
            </w:pPr>
          </w:p>
        </w:tc>
      </w:tr>
      <w:tr>
        <w:trPr>
          <w:trHeight w:val="43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5, 2017</w:t>
            </w:r>
          </w:p>
        </w:tc>
        <w:tc>
          <w:tcPr>
            <w:tcW w:w="24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20" w:type="dxa"/>
            <w:vAlign w:val="bottom"/>
          </w:tcPr>
          <w:p>
            <w:pPr>
              <w:ind w:left="1800"/>
              <w:spacing w:after="0" w:line="194" w:lineRule="exact"/>
              <w:rPr>
                <w:sz w:val="20"/>
                <w:szCs w:val="20"/>
                <w:color w:val="auto"/>
              </w:rPr>
            </w:pPr>
            <w:r>
              <w:rPr>
                <w:rFonts w:ascii="Times New Roman" w:cs="Times New Roman" w:eastAsia="Times New Roman" w:hAnsi="Times New Roman"/>
                <w:sz w:val="18"/>
                <w:szCs w:val="18"/>
                <w:b w:val="1"/>
                <w:bCs w:val="1"/>
                <w:color w:val="auto"/>
              </w:rPr>
              <w:t>Name:</w:t>
            </w:r>
          </w:p>
        </w:tc>
        <w:tc>
          <w:tcPr>
            <w:tcW w:w="3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Steven R. Beauchamp</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2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65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5, 2017</w:t>
            </w:r>
          </w:p>
        </w:tc>
        <w:tc>
          <w:tcPr>
            <w:tcW w:w="24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J. McGrail</w:t>
            </w: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20" w:type="dxa"/>
            <w:vAlign w:val="bottom"/>
          </w:tcPr>
          <w:p>
            <w:pPr>
              <w:ind w:left="1800"/>
              <w:spacing w:after="0" w:line="194" w:lineRule="exact"/>
              <w:rPr>
                <w:sz w:val="20"/>
                <w:szCs w:val="20"/>
                <w:color w:val="auto"/>
              </w:rPr>
            </w:pPr>
            <w:r>
              <w:rPr>
                <w:rFonts w:ascii="Times New Roman" w:cs="Times New Roman" w:eastAsia="Times New Roman" w:hAnsi="Times New Roman"/>
                <w:sz w:val="18"/>
                <w:szCs w:val="18"/>
                <w:b w:val="1"/>
                <w:bCs w:val="1"/>
                <w:color w:val="auto"/>
              </w:rPr>
              <w:t>Name:</w:t>
            </w:r>
          </w:p>
        </w:tc>
        <w:tc>
          <w:tcPr>
            <w:tcW w:w="3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Peter J. McGrail</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20" w:type="dxa"/>
            <w:vAlign w:val="bottom"/>
            <w:vMerge w:val="restart"/>
          </w:tcPr>
          <w:p>
            <w:pPr>
              <w:ind w:left="1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w:t>
            </w: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and Accounting Officer)</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6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80" w:type="dxa"/>
            <w:vAlign w:val="bottom"/>
          </w:tcPr>
          <w:p>
            <w:pPr>
              <w:spacing w:after="0"/>
              <w:rPr>
                <w:sz w:val="24"/>
                <w:szCs w:val="24"/>
                <w:color w:val="auto"/>
              </w:rPr>
            </w:pPr>
          </w:p>
        </w:tc>
        <w:tc>
          <w:tcPr>
            <w:tcW w:w="786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First Amended and Restated Certificate of Incorporation (filed as Exhibit 3.2 of Paylocity Holding</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Corporation’s Form S-1 Registration Statement (Registration No. 333-193661).</w:t>
            </w:r>
          </w:p>
        </w:tc>
      </w:tr>
      <w:tr>
        <w:trPr>
          <w:trHeight w:val="37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Paylocity Holding Corporation (filed as Exhibit 3.2 of Paylocity Holding</w:t>
            </w:r>
          </w:p>
        </w:tc>
      </w:tr>
      <w:tr>
        <w:trPr>
          <w:trHeight w:val="203"/>
        </w:trPr>
        <w:tc>
          <w:tcPr>
            <w:tcW w:w="920" w:type="dxa"/>
            <w:vAlign w:val="bottom"/>
          </w:tcPr>
          <w:p>
            <w:pPr>
              <w:spacing w:after="0"/>
              <w:rPr>
                <w:sz w:val="17"/>
                <w:szCs w:val="17"/>
                <w:color w:val="auto"/>
              </w:rPr>
            </w:pPr>
          </w:p>
        </w:tc>
        <w:tc>
          <w:tcPr>
            <w:tcW w:w="8140" w:type="dxa"/>
            <w:vAlign w:val="bottom"/>
            <w:gridSpan w:val="2"/>
          </w:tcPr>
          <w:p>
            <w:pPr>
              <w:ind w:left="280"/>
              <w:spacing w:after="0" w:line="202" w:lineRule="exact"/>
              <w:rPr>
                <w:sz w:val="20"/>
                <w:szCs w:val="20"/>
                <w:color w:val="auto"/>
              </w:rPr>
            </w:pPr>
            <w:r>
              <w:rPr>
                <w:rFonts w:ascii="Times New Roman" w:cs="Times New Roman" w:eastAsia="Times New Roman" w:hAnsi="Times New Roman"/>
                <w:sz w:val="18"/>
                <w:szCs w:val="18"/>
                <w:color w:val="auto"/>
              </w:rPr>
              <w:t>Corporation’s Quarterly Report on Form 10-Q for the quarter ended December 31, 2015 (File No. 001-</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36348)).</w:t>
            </w:r>
          </w:p>
        </w:tc>
      </w:tr>
      <w:tr>
        <w:trPr>
          <w:trHeight w:val="37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Rules 13a-4 and 15d-14 as</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7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Rules 13a-4 and 15d-14 as</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7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2002, by Chief Executive Officer.</w:t>
            </w:r>
          </w:p>
        </w:tc>
      </w:tr>
      <w:tr>
        <w:trPr>
          <w:trHeight w:val="37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Certification pursuant to 18 U.S.C. 1350, adopted pursuant to Section 906 of the Sarbanes-Oxley Act of</w:t>
            </w:r>
          </w:p>
        </w:tc>
      </w:tr>
      <w:tr>
        <w:trPr>
          <w:trHeight w:val="234"/>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2002, by Chief Financial Officer.</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8" w:lineRule="exact"/>
        <w:rPr>
          <w:sz w:val="20"/>
          <w:szCs w:val="20"/>
          <w:color w:val="auto"/>
        </w:rPr>
      </w:pPr>
    </w:p>
    <w:p>
      <w:pPr>
        <w:ind w:left="280" w:hanging="278"/>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280" w:hanging="277"/>
        <w:spacing w:after="0"/>
        <w:tabs>
          <w:tab w:leader="none" w:pos="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622935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144" w:lineRule="exact"/>
        <w:rPr>
          <w:sz w:val="20"/>
          <w:szCs w:val="20"/>
          <w:color w:val="auto"/>
        </w:rPr>
      </w:pPr>
    </w:p>
    <w:p>
      <w:pPr>
        <w:ind w:left="1280" w:hanging="395"/>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44" w:lineRule="exact"/>
        <w:rPr>
          <w:rFonts w:ascii="Times New Roman" w:cs="Times New Roman" w:eastAsia="Times New Roman" w:hAnsi="Times New Roman"/>
          <w:sz w:val="18"/>
          <w:szCs w:val="18"/>
          <w:color w:val="auto"/>
        </w:rPr>
      </w:pPr>
    </w:p>
    <w:p>
      <w:pPr>
        <w:ind w:left="440" w:firstLine="445"/>
        <w:spacing w:after="0" w:line="226" w:lineRule="auto"/>
        <w:tabs>
          <w:tab w:leader="none" w:pos="12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440" w:right="40" w:firstLine="445"/>
        <w:spacing w:after="0" w:line="226" w:lineRule="auto"/>
        <w:tabs>
          <w:tab w:leader="none" w:pos="12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440" w:firstLine="445"/>
        <w:spacing w:after="0" w:line="226" w:lineRule="auto"/>
        <w:tabs>
          <w:tab w:leader="none" w:pos="12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880" w:right="60" w:firstLine="445"/>
        <w:spacing w:after="0" w:line="220" w:lineRule="auto"/>
        <w:tabs>
          <w:tab w:leader="none" w:pos="171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880" w:right="40" w:firstLine="445"/>
        <w:spacing w:after="0" w:line="220" w:lineRule="auto"/>
        <w:tabs>
          <w:tab w:leader="none" w:pos="172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880" w:firstLine="445"/>
        <w:spacing w:after="0" w:line="226" w:lineRule="auto"/>
        <w:tabs>
          <w:tab w:leader="none" w:pos="171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880" w:right="40" w:firstLine="445"/>
        <w:spacing w:after="0" w:line="226" w:lineRule="auto"/>
        <w:tabs>
          <w:tab w:leader="none" w:pos="172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2017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440" w:right="60" w:firstLine="445"/>
        <w:spacing w:after="0" w:line="226" w:lineRule="auto"/>
        <w:tabs>
          <w:tab w:leader="none" w:pos="12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880" w:right="100" w:firstLine="445"/>
        <w:spacing w:after="0" w:line="226" w:lineRule="auto"/>
        <w:tabs>
          <w:tab w:leader="none" w:pos="170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880" w:right="560" w:firstLine="445"/>
        <w:spacing w:after="0" w:line="237" w:lineRule="auto"/>
        <w:tabs>
          <w:tab w:leader="none" w:pos="171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2017</w:t>
            </w: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142"/>
        </w:trPr>
        <w:tc>
          <w:tcPr>
            <w:tcW w:w="5180" w:type="dxa"/>
            <w:vAlign w:val="bottom"/>
          </w:tcPr>
          <w:p>
            <w:pPr>
              <w:ind w:left="4540"/>
              <w:spacing w:after="0" w:line="142" w:lineRule="exact"/>
              <w:rPr>
                <w:sz w:val="20"/>
                <w:szCs w:val="20"/>
                <w:color w:val="auto"/>
              </w:rPr>
            </w:pPr>
            <w:r>
              <w:rPr>
                <w:rFonts w:ascii="Times New Roman" w:cs="Times New Roman" w:eastAsia="Times New Roman" w:hAnsi="Times New Roman"/>
                <w:sz w:val="16"/>
                <w:szCs w:val="16"/>
                <w:b w:val="1"/>
                <w:bCs w:val="1"/>
                <w:color w:val="auto"/>
              </w:rPr>
              <w:t>Name:</w:t>
            </w:r>
          </w:p>
        </w:tc>
        <w:tc>
          <w:tcPr>
            <w:tcW w:w="388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Steven R. Beauchamp</w:t>
            </w:r>
          </w:p>
        </w:tc>
      </w:tr>
      <w:tr>
        <w:trPr>
          <w:trHeight w:val="238"/>
        </w:trPr>
        <w:tc>
          <w:tcPr>
            <w:tcW w:w="518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376"/>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4" w:right="14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McGrail, certify that:</w:t>
      </w:r>
    </w:p>
    <w:p>
      <w:pPr>
        <w:spacing w:after="0" w:line="144" w:lineRule="exact"/>
        <w:rPr>
          <w:sz w:val="20"/>
          <w:szCs w:val="20"/>
          <w:color w:val="auto"/>
        </w:rPr>
      </w:pPr>
    </w:p>
    <w:p>
      <w:pPr>
        <w:ind w:left="1280" w:hanging="395"/>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44" w:lineRule="exact"/>
        <w:rPr>
          <w:rFonts w:ascii="Times New Roman" w:cs="Times New Roman" w:eastAsia="Times New Roman" w:hAnsi="Times New Roman"/>
          <w:sz w:val="18"/>
          <w:szCs w:val="18"/>
          <w:color w:val="auto"/>
        </w:rPr>
      </w:pPr>
    </w:p>
    <w:p>
      <w:pPr>
        <w:ind w:left="440" w:firstLine="445"/>
        <w:spacing w:after="0" w:line="226" w:lineRule="auto"/>
        <w:tabs>
          <w:tab w:leader="none" w:pos="12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440" w:right="40" w:firstLine="445"/>
        <w:spacing w:after="0" w:line="226" w:lineRule="auto"/>
        <w:tabs>
          <w:tab w:leader="none" w:pos="12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440" w:firstLine="445"/>
        <w:spacing w:after="0" w:line="226" w:lineRule="auto"/>
        <w:tabs>
          <w:tab w:leader="none" w:pos="12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880" w:right="60" w:firstLine="445"/>
        <w:spacing w:after="0" w:line="220" w:lineRule="auto"/>
        <w:tabs>
          <w:tab w:leader="none" w:pos="171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880" w:right="40" w:firstLine="445"/>
        <w:spacing w:after="0" w:line="220" w:lineRule="auto"/>
        <w:tabs>
          <w:tab w:leader="none" w:pos="172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880" w:firstLine="445"/>
        <w:spacing w:after="0" w:line="226" w:lineRule="auto"/>
        <w:tabs>
          <w:tab w:leader="none" w:pos="171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880" w:right="40" w:firstLine="445"/>
        <w:spacing w:after="0" w:line="226" w:lineRule="auto"/>
        <w:tabs>
          <w:tab w:leader="none" w:pos="172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2017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440" w:right="60" w:firstLine="445"/>
        <w:spacing w:after="0" w:line="226" w:lineRule="auto"/>
        <w:tabs>
          <w:tab w:leader="none" w:pos="12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880" w:right="100" w:firstLine="445"/>
        <w:spacing w:after="0" w:line="226" w:lineRule="auto"/>
        <w:tabs>
          <w:tab w:leader="none" w:pos="170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880" w:right="560" w:firstLine="445"/>
        <w:spacing w:after="0" w:line="237" w:lineRule="auto"/>
        <w:tabs>
          <w:tab w:leader="none" w:pos="171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2017</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Peter J. McGrail</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540"/>
              <w:spacing w:after="0" w:line="189" w:lineRule="exact"/>
              <w:rPr>
                <w:sz w:val="20"/>
                <w:szCs w:val="20"/>
                <w:color w:val="auto"/>
              </w:rPr>
            </w:pPr>
            <w:r>
              <w:rPr>
                <w:rFonts w:ascii="Times New Roman" w:cs="Times New Roman" w:eastAsia="Times New Roman" w:hAnsi="Times New Roman"/>
                <w:sz w:val="18"/>
                <w:szCs w:val="18"/>
                <w:b w:val="1"/>
                <w:bCs w:val="1"/>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8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Peter J. McGrail</w:t>
            </w:r>
          </w:p>
        </w:tc>
        <w:tc>
          <w:tcPr>
            <w:tcW w:w="0" w:type="dxa"/>
            <w:vAlign w:val="bottom"/>
          </w:tcPr>
          <w:p>
            <w:pPr>
              <w:spacing w:after="0"/>
              <w:rPr>
                <w:sz w:val="1"/>
                <w:szCs w:val="1"/>
                <w:color w:val="auto"/>
              </w:rPr>
            </w:pPr>
          </w:p>
        </w:tc>
      </w:tr>
      <w:tr>
        <w:trPr>
          <w:trHeight w:val="176"/>
        </w:trPr>
        <w:tc>
          <w:tcPr>
            <w:tcW w:w="5180" w:type="dxa"/>
            <w:vAlign w:val="bottom"/>
          </w:tcPr>
          <w:p>
            <w:pPr>
              <w:ind w:left="4540"/>
              <w:spacing w:after="0" w:line="176" w:lineRule="exact"/>
              <w:rPr>
                <w:sz w:val="20"/>
                <w:szCs w:val="20"/>
                <w:color w:val="auto"/>
              </w:rPr>
            </w:pPr>
            <w:r>
              <w:rPr>
                <w:rFonts w:ascii="Times New Roman" w:cs="Times New Roman" w:eastAsia="Times New Roman" w:hAnsi="Times New Roman"/>
                <w:sz w:val="18"/>
                <w:szCs w:val="18"/>
                <w:b w:val="1"/>
                <w:bCs w:val="1"/>
                <w:color w:val="auto"/>
              </w:rPr>
              <w:t>Title:</w:t>
            </w:r>
          </w:p>
        </w:tc>
        <w:tc>
          <w:tcPr>
            <w:tcW w:w="3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Chief Financial Officer (Principal Financial and</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Accounting Officer)</w:t>
            </w:r>
          </w:p>
        </w:tc>
        <w:tc>
          <w:tcPr>
            <w:tcW w:w="0" w:type="dxa"/>
            <w:vAlign w:val="bottom"/>
          </w:tcPr>
          <w:p>
            <w:pPr>
              <w:spacing w:after="0"/>
              <w:rPr>
                <w:sz w:val="1"/>
                <w:szCs w:val="1"/>
                <w:color w:val="auto"/>
              </w:rPr>
            </w:pPr>
          </w:p>
        </w:tc>
      </w:tr>
      <w:tr>
        <w:trPr>
          <w:trHeight w:val="376"/>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4" w:right="14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ind w:left="1440" w:right="2180"/>
        <w:spacing w:after="0" w:line="221"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119" w:lineRule="exact"/>
        <w:rPr>
          <w:sz w:val="20"/>
          <w:szCs w:val="20"/>
          <w:color w:val="auto"/>
        </w:rPr>
      </w:pPr>
    </w:p>
    <w:p>
      <w:pPr>
        <w:ind w:right="20" w:firstLine="441"/>
        <w:spacing w:after="0" w:line="214"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March 31, 2017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22"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8"/>
          <w:szCs w:val="18"/>
          <w:color w:val="auto"/>
        </w:rPr>
        <w:t>Dated: May 5, 2017</w:t>
      </w:r>
      <w:r>
        <w:rPr>
          <w:sz w:val="20"/>
          <w:szCs w:val="20"/>
          <w:color w:val="auto"/>
        </w:rPr>
        <w:tab/>
      </w:r>
      <w:r>
        <w:rPr>
          <w:rFonts w:ascii="Times New Roman" w:cs="Times New Roman" w:eastAsia="Times New Roman" w:hAnsi="Times New Roman"/>
          <w:sz w:val="17"/>
          <w:szCs w:val="17"/>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left="4540"/>
        <w:spacing w:after="0" w:line="205" w:lineRule="auto"/>
        <w:rPr>
          <w:sz w:val="20"/>
          <w:szCs w:val="20"/>
          <w:color w:val="auto"/>
        </w:rPr>
      </w:pPr>
      <w:r>
        <w:rPr>
          <w:rFonts w:ascii="Times New Roman" w:cs="Times New Roman" w:eastAsia="Times New Roman" w:hAnsi="Times New Roman"/>
          <w:sz w:val="18"/>
          <w:szCs w:val="18"/>
          <w:b w:val="1"/>
          <w:bCs w:val="1"/>
          <w:color w:val="auto"/>
        </w:rPr>
        <w:t>Steven R. Beauchamp</w:t>
      </w:r>
    </w:p>
    <w:p>
      <w:pPr>
        <w:spacing w:after="0" w:line="1"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24" w:lineRule="exact"/>
        <w:rPr>
          <w:sz w:val="20"/>
          <w:szCs w:val="20"/>
          <w:color w:val="auto"/>
        </w:rPr>
      </w:pPr>
    </w:p>
    <w:p>
      <w:pPr>
        <w:ind w:right="420" w:firstLine="441"/>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4" w:lineRule="exact"/>
        <w:rPr>
          <w:sz w:val="20"/>
          <w:szCs w:val="20"/>
          <w:color w:val="auto"/>
        </w:rPr>
      </w:pPr>
    </w:p>
    <w:p>
      <w:pPr>
        <w:jc w:val="center"/>
        <w:ind w:left="1440" w:right="2180"/>
        <w:spacing w:after="0" w:line="221"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119" w:lineRule="exact"/>
        <w:rPr>
          <w:sz w:val="20"/>
          <w:szCs w:val="20"/>
          <w:color w:val="auto"/>
        </w:rPr>
      </w:pPr>
    </w:p>
    <w:p>
      <w:pPr>
        <w:ind w:right="60" w:firstLine="441"/>
        <w:spacing w:after="0" w:line="214" w:lineRule="auto"/>
        <w:rPr>
          <w:sz w:val="20"/>
          <w:szCs w:val="20"/>
          <w:color w:val="auto"/>
        </w:rPr>
      </w:pPr>
      <w:r>
        <w:rPr>
          <w:rFonts w:ascii="Times New Roman" w:cs="Times New Roman" w:eastAsia="Times New Roman" w:hAnsi="Times New Roman"/>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March 31, 2017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5"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Dated: May 5, 2017</w:t>
      </w:r>
      <w:r>
        <w:rPr>
          <w:sz w:val="20"/>
          <w:szCs w:val="20"/>
          <w:color w:val="auto"/>
        </w:rPr>
        <w:tab/>
      </w:r>
      <w:r>
        <w:rPr>
          <w:rFonts w:ascii="Times New Roman" w:cs="Times New Roman" w:eastAsia="Times New Roman" w:hAnsi="Times New Roman"/>
          <w:sz w:val="18"/>
          <w:szCs w:val="18"/>
          <w:color w:val="auto"/>
        </w:rPr>
        <w:t>/S/ Peter J. McGrail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0</wp:posOffset>
            </wp:positionV>
            <wp:extent cx="30784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4220"/>
        <w:spacing w:after="0" w:line="205" w:lineRule="auto"/>
        <w:rPr>
          <w:sz w:val="20"/>
          <w:szCs w:val="20"/>
          <w:color w:val="auto"/>
        </w:rPr>
      </w:pPr>
      <w:r>
        <w:rPr>
          <w:rFonts w:ascii="Times New Roman" w:cs="Times New Roman" w:eastAsia="Times New Roman" w:hAnsi="Times New Roman"/>
          <w:sz w:val="18"/>
          <w:szCs w:val="18"/>
          <w:b w:val="1"/>
          <w:bCs w:val="1"/>
          <w:color w:val="auto"/>
        </w:rPr>
        <w:t>Peter J. McGrail</w:t>
      </w:r>
    </w:p>
    <w:p>
      <w:pPr>
        <w:jc w:val="center"/>
        <w:ind w:left="4220"/>
        <w:spacing w:after="0" w:line="204" w:lineRule="auto"/>
        <w:rPr>
          <w:sz w:val="20"/>
          <w:szCs w:val="20"/>
          <w:color w:val="auto"/>
        </w:rPr>
      </w:pPr>
      <w:r>
        <w:rPr>
          <w:rFonts w:ascii="Times New Roman" w:cs="Times New Roman" w:eastAsia="Times New Roman" w:hAnsi="Times New Roman"/>
          <w:sz w:val="18"/>
          <w:szCs w:val="18"/>
          <w:b w:val="1"/>
          <w:bCs w:val="1"/>
          <w:color w:val="auto"/>
        </w:rPr>
        <w:t>Chief Financial Officer (Principal Financial and Accounting</w:t>
      </w:r>
    </w:p>
    <w:p>
      <w:pPr>
        <w:jc w:val="center"/>
        <w:ind w:left="422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124" w:lineRule="exact"/>
        <w:rPr>
          <w:sz w:val="20"/>
          <w:szCs w:val="20"/>
          <w:color w:val="auto"/>
        </w:rPr>
      </w:pPr>
    </w:p>
    <w:p>
      <w:pPr>
        <w:ind w:right="420" w:firstLine="441"/>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2"/>
    </w:lvl>
  </w:abstractNum>
  <w:abstractNum w:abstractNumId="4">
    <w:nsid w:val="66EF438D"/>
    <w:multiLevelType w:val="hybridMultilevel"/>
    <w:lvl w:ilvl="0">
      <w:lvlJc w:val="left"/>
      <w:lvlText w:val="(%1)"/>
      <w:numFmt w:val="lowerLetter"/>
      <w:start w:val="3"/>
    </w:lvl>
  </w:abstractNum>
  <w:abstractNum w:abstractNumId="5">
    <w:nsid w:val="140E0F76"/>
    <w:multiLevelType w:val="hybridMultilevel"/>
    <w:lvl w:ilvl="0">
      <w:lvlJc w:val="left"/>
      <w:lvlText w:val="(%1)"/>
      <w:numFmt w:val="lowerLetter"/>
      <w:start w:val="4"/>
    </w:lvl>
  </w:abstractNum>
  <w:abstractNum w:abstractNumId="6">
    <w:nsid w:val="3352255A"/>
    <w:multiLevelType w:val="hybridMultilevel"/>
    <w:lvl w:ilvl="0">
      <w:lvlJc w:val="left"/>
      <w:lvlText w:val="(%1)"/>
      <w:numFmt w:val="lowerLetter"/>
      <w:start w:val="5"/>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lvl w:ilvl="1">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2019-12-29T06:02:50Z</dcterms:created>
  <dcterms:modified xsi:type="dcterms:W3CDTF">2019-12-29T06:02:50Z</dcterms:modified>
</cp:coreProperties>
</file>