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18" w:lineRule="exact"/>
        <w:rPr>
          <w:sz w:val="24"/>
          <w:szCs w:val="24"/>
          <w:color w:val="auto"/>
        </w:rPr>
      </w:pPr>
    </w:p>
    <w:p>
      <w:pPr>
        <w:ind w:left="340"/>
        <w:spacing w:after="0"/>
        <w:rPr>
          <w:sz w:val="20"/>
          <w:szCs w:val="20"/>
          <w:color w:val="auto"/>
        </w:rPr>
      </w:pPr>
      <w:r>
        <w:rPr>
          <w:rFonts w:ascii="Wingdings" w:cs="Wingdings" w:eastAsia="Wingdings" w:hAnsi="Wingdings"/>
          <w:sz w:val="14"/>
          <w:szCs w:val="14"/>
          <w:b w:val="1"/>
          <w:bCs w:val="1"/>
          <w:color w:val="auto"/>
          <w:highlight w:val="black"/>
        </w:rPr>
        <w:t xml:space="preserve">x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2025</w:t>
      </w:r>
    </w:p>
    <w:p>
      <w:pPr>
        <w:spacing w:after="0" w:line="123"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3" w:lineRule="exact"/>
        <w:rPr>
          <w:sz w:val="24"/>
          <w:szCs w:val="24"/>
          <w:color w:val="auto"/>
        </w:rPr>
      </w:pPr>
    </w:p>
    <w:p>
      <w:pPr>
        <w:ind w:left="34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28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62" w:lineRule="exact"/>
        <w:rPr>
          <w:sz w:val="24"/>
          <w:szCs w:val="24"/>
          <w:color w:val="auto"/>
        </w:rPr>
      </w:pPr>
    </w:p>
    <w:tbl>
      <w:tblPr>
        <w:tblLayout w:type="fixed"/>
        <w:tblInd w:w="82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40" w:type="dxa"/>
            <w:vAlign w:val="bottom"/>
            <w:gridSpan w:val="2"/>
          </w:tcPr>
          <w:p>
            <w:pPr>
              <w:jc w:val="center"/>
              <w:ind w:right="982"/>
              <w:spacing w:after="0"/>
              <w:rPr>
                <w:sz w:val="20"/>
                <w:szCs w:val="20"/>
                <w:color w:val="auto"/>
              </w:rPr>
            </w:pPr>
            <w:r>
              <w:rPr>
                <w:rFonts w:ascii="Times New Roman" w:cs="Times New Roman" w:eastAsia="Times New Roman" w:hAnsi="Times New Roman"/>
                <w:sz w:val="14"/>
                <w:szCs w:val="14"/>
                <w:color w:val="auto"/>
              </w:rPr>
              <w:t>46-4066644</w:t>
            </w:r>
          </w:p>
        </w:tc>
        <w:tc>
          <w:tcPr>
            <w:tcW w:w="20" w:type="dxa"/>
            <w:vAlign w:val="bottom"/>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2340" w:type="dxa"/>
            <w:vAlign w:val="bottom"/>
            <w:gridSpan w:val="2"/>
          </w:tcPr>
          <w:p>
            <w:pPr>
              <w:jc w:val="center"/>
              <w:ind w:left="373"/>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6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80" w:type="dxa"/>
            <w:vAlign w:val="bottom"/>
          </w:tcPr>
          <w:p>
            <w:pPr>
              <w:spacing w:after="0"/>
              <w:rPr>
                <w:sz w:val="16"/>
                <w:szCs w:val="16"/>
                <w:color w:val="auto"/>
              </w:rPr>
            </w:pPr>
          </w:p>
        </w:tc>
        <w:tc>
          <w:tcPr>
            <w:tcW w:w="2340" w:type="dxa"/>
            <w:vAlign w:val="bottom"/>
            <w:gridSpan w:val="2"/>
          </w:tcPr>
          <w:p>
            <w:pPr>
              <w:jc w:val="center"/>
              <w:ind w:left="37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6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77"/>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Schaumburg, Illinois 60173</w:t>
            </w:r>
          </w:p>
        </w:tc>
        <w:tc>
          <w:tcPr>
            <w:tcW w:w="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3"/>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(847) 463-3200</w:t>
            </w: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6"/>
        </w:trPr>
        <w:tc>
          <w:tcPr>
            <w:tcW w:w="5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Title of each class</w:t>
            </w:r>
          </w:p>
        </w:tc>
        <w:tc>
          <w:tcPr>
            <w:tcW w:w="1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1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7"/>
              </w:rPr>
              <w:t>Name of Exchange on which registered</w:t>
            </w:r>
          </w:p>
        </w:tc>
      </w:tr>
      <w:tr>
        <w:trPr>
          <w:trHeight w:val="20"/>
        </w:trPr>
        <w:tc>
          <w:tcPr>
            <w:tcW w:w="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920" w:type="dxa"/>
            <w:vAlign w:val="bottom"/>
            <w:gridSpan w:val="3"/>
          </w:tcPr>
          <w:p>
            <w:pPr>
              <w:jc w:val="center"/>
              <w:ind w:right="808"/>
              <w:spacing w:after="0"/>
              <w:rPr>
                <w:sz w:val="20"/>
                <w:szCs w:val="20"/>
                <w:color w:val="auto"/>
              </w:rPr>
            </w:pPr>
            <w:r>
              <w:rPr>
                <w:rFonts w:ascii="Times New Roman" w:cs="Times New Roman" w:eastAsia="Times New Roman" w:hAnsi="Times New Roman"/>
                <w:sz w:val="12"/>
                <w:szCs w:val="12"/>
                <w:color w:val="auto"/>
                <w:w w:val="98"/>
              </w:rPr>
              <w:t>Common Stock, par value $0.001 per share</w:t>
            </w:r>
          </w:p>
        </w:tc>
        <w:tc>
          <w:tcPr>
            <w:tcW w:w="1400" w:type="dxa"/>
            <w:vAlign w:val="bottom"/>
          </w:tcPr>
          <w:p>
            <w:pPr>
              <w:spacing w:after="0"/>
              <w:rPr>
                <w:sz w:val="16"/>
                <w:szCs w:val="16"/>
                <w:color w:val="auto"/>
              </w:rPr>
            </w:pPr>
          </w:p>
        </w:tc>
        <w:tc>
          <w:tcPr>
            <w:tcW w:w="2460" w:type="dxa"/>
            <w:vAlign w:val="bottom"/>
            <w:gridSpan w:val="2"/>
          </w:tcPr>
          <w:p>
            <w:pPr>
              <w:jc w:val="center"/>
              <w:ind w:right="1560"/>
              <w:spacing w:after="0"/>
              <w:rPr>
                <w:sz w:val="20"/>
                <w:szCs w:val="20"/>
                <w:color w:val="auto"/>
              </w:rPr>
            </w:pPr>
            <w:r>
              <w:rPr>
                <w:rFonts w:ascii="Times New Roman" w:cs="Times New Roman" w:eastAsia="Times New Roman" w:hAnsi="Times New Roman"/>
                <w:sz w:val="12"/>
                <w:szCs w:val="12"/>
                <w:color w:val="auto"/>
                <w:w w:val="97"/>
              </w:rPr>
              <w:t>PCTY</w:t>
            </w:r>
          </w:p>
        </w:tc>
        <w:tc>
          <w:tcPr>
            <w:tcW w:w="2760" w:type="dxa"/>
            <w:vAlign w:val="bottom"/>
            <w:gridSpan w:val="3"/>
          </w:tcPr>
          <w:p>
            <w:pPr>
              <w:ind w:left="780"/>
              <w:spacing w:after="0"/>
              <w:rPr>
                <w:sz w:val="20"/>
                <w:szCs w:val="20"/>
                <w:color w:val="auto"/>
              </w:rPr>
            </w:pPr>
            <w:r>
              <w:rPr>
                <w:rFonts w:ascii="Times New Roman" w:cs="Times New Roman" w:eastAsia="Times New Roman" w:hAnsi="Times New Roman"/>
                <w:sz w:val="12"/>
                <w:szCs w:val="12"/>
                <w:color w:val="auto"/>
                <w:w w:val="96"/>
              </w:rPr>
              <w:t>The NASDAQ Global Select Market LLC</w:t>
            </w:r>
          </w:p>
        </w:tc>
      </w:tr>
      <w:tr>
        <w:trPr>
          <w:trHeight w:val="387"/>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60" w:type="dxa"/>
            <w:vAlign w:val="bottom"/>
            <w:gridSpan w:val="2"/>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None</w:t>
            </w:r>
          </w:p>
        </w:tc>
        <w:tc>
          <w:tcPr>
            <w:tcW w:w="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92" w:lineRule="exact"/>
        <w:rPr>
          <w:sz w:val="24"/>
          <w:szCs w:val="24"/>
          <w:color w:val="auto"/>
        </w:rPr>
      </w:pPr>
    </w:p>
    <w:p>
      <w:pPr>
        <w:ind w:right="4020"/>
        <w:spacing w:after="0" w:line="433"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200"/>
        <w:spacing w:after="0" w:line="29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160"/>
        <w:spacing w:after="0" w:line="29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140"/>
        <w:spacing w:after="0" w:line="29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060" w:type="dxa"/>
            <w:vAlign w:val="bottom"/>
          </w:tcPr>
          <w:p>
            <w:pPr>
              <w:ind w:left="380"/>
              <w:spacing w:after="0"/>
              <w:rPr>
                <w:sz w:val="20"/>
                <w:szCs w:val="20"/>
                <w:color w:val="auto"/>
              </w:rPr>
            </w:pPr>
            <w:r>
              <w:rPr>
                <w:rFonts w:ascii="Wingdings" w:cs="Wingdings" w:eastAsia="Wingdings" w:hAnsi="Wingdings"/>
                <w:sz w:val="13"/>
                <w:szCs w:val="13"/>
                <w:b w:val="1"/>
                <w:bCs w:val="1"/>
                <w:color w:val="auto"/>
              </w:rPr>
              <w:t>x</w:t>
            </w:r>
          </w:p>
        </w:tc>
        <w:tc>
          <w:tcPr>
            <w:tcW w:w="5220" w:type="dxa"/>
            <w:vAlign w:val="bottom"/>
          </w:tcPr>
          <w:p>
            <w:pPr>
              <w:ind w:left="2540"/>
              <w:spacing w:after="0"/>
              <w:rPr>
                <w:sz w:val="20"/>
                <w:szCs w:val="20"/>
                <w:color w:val="auto"/>
              </w:rPr>
            </w:pPr>
            <w:r>
              <w:rPr>
                <w:rFonts w:ascii="Times New Roman" w:cs="Times New Roman" w:eastAsia="Times New Roman" w:hAnsi="Times New Roman"/>
                <w:sz w:val="13"/>
                <w:szCs w:val="13"/>
                <w:color w:val="auto"/>
              </w:rPr>
              <w:t>Accelerated filer</w:t>
            </w:r>
          </w:p>
        </w:tc>
        <w:tc>
          <w:tcPr>
            <w:tcW w:w="1340" w:type="dxa"/>
            <w:vAlign w:val="bottom"/>
          </w:tcPr>
          <w:p>
            <w:pPr>
              <w:ind w:left="1220"/>
              <w:spacing w:after="0"/>
              <w:rPr>
                <w:sz w:val="20"/>
                <w:szCs w:val="20"/>
                <w:color w:val="auto"/>
              </w:rPr>
            </w:pPr>
            <w:r>
              <w:rPr>
                <w:rFonts w:ascii="Wingdings" w:cs="Wingdings" w:eastAsia="Wingdings" w:hAnsi="Wingdings"/>
                <w:sz w:val="13"/>
                <w:szCs w:val="13"/>
                <w:b w:val="1"/>
                <w:bCs w:val="1"/>
                <w:color w:val="auto"/>
                <w:w w:val="85"/>
              </w:rPr>
              <w:t>o</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060" w:type="dxa"/>
            <w:vAlign w:val="bottom"/>
          </w:tcPr>
          <w:p>
            <w:pPr>
              <w:ind w:left="380"/>
              <w:spacing w:after="0"/>
              <w:rPr>
                <w:sz w:val="20"/>
                <w:szCs w:val="20"/>
                <w:color w:val="auto"/>
              </w:rPr>
            </w:pPr>
            <w:r>
              <w:rPr>
                <w:rFonts w:ascii="Wingdings" w:cs="Wingdings" w:eastAsia="Wingdings" w:hAnsi="Wingdings"/>
                <w:sz w:val="13"/>
                <w:szCs w:val="13"/>
                <w:b w:val="1"/>
                <w:bCs w:val="1"/>
                <w:color w:val="auto"/>
              </w:rPr>
              <w:t>o</w:t>
            </w:r>
          </w:p>
        </w:tc>
        <w:tc>
          <w:tcPr>
            <w:tcW w:w="5220" w:type="dxa"/>
            <w:vAlign w:val="bottom"/>
          </w:tcPr>
          <w:p>
            <w:pPr>
              <w:ind w:left="25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340" w:type="dxa"/>
            <w:vAlign w:val="bottom"/>
          </w:tcPr>
          <w:p>
            <w:pPr>
              <w:ind w:left="1220"/>
              <w:spacing w:after="0"/>
              <w:rPr>
                <w:sz w:val="20"/>
                <w:szCs w:val="20"/>
                <w:color w:val="auto"/>
              </w:rPr>
            </w:pPr>
            <w:r>
              <w:rPr>
                <w:rFonts w:ascii="Wingdings" w:cs="Wingdings" w:eastAsia="Wingdings" w:hAnsi="Wingdings"/>
                <w:sz w:val="13"/>
                <w:szCs w:val="13"/>
                <w:b w:val="1"/>
                <w:bCs w:val="1"/>
                <w:color w:val="auto"/>
                <w:w w:val="85"/>
              </w:rPr>
              <w:t>o</w:t>
            </w:r>
          </w:p>
        </w:tc>
      </w:tr>
      <w:tr>
        <w:trPr>
          <w:trHeight w:val="257"/>
        </w:trPr>
        <w:tc>
          <w:tcPr>
            <w:tcW w:w="15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5220" w:type="dxa"/>
            <w:vAlign w:val="bottom"/>
          </w:tcPr>
          <w:p>
            <w:pPr>
              <w:ind w:left="2540"/>
              <w:spacing w:after="0"/>
              <w:rPr>
                <w:sz w:val="20"/>
                <w:szCs w:val="20"/>
                <w:color w:val="auto"/>
              </w:rPr>
            </w:pPr>
            <w:r>
              <w:rPr>
                <w:rFonts w:ascii="Times New Roman" w:cs="Times New Roman" w:eastAsia="Times New Roman" w:hAnsi="Times New Roman"/>
                <w:sz w:val="13"/>
                <w:szCs w:val="13"/>
                <w:color w:val="auto"/>
              </w:rPr>
              <w:t>Emerging growth company</w:t>
            </w:r>
          </w:p>
        </w:tc>
        <w:tc>
          <w:tcPr>
            <w:tcW w:w="1340" w:type="dxa"/>
            <w:vAlign w:val="bottom"/>
          </w:tcPr>
          <w:p>
            <w:pPr>
              <w:ind w:left="1220"/>
              <w:spacing w:after="0"/>
              <w:rPr>
                <w:sz w:val="20"/>
                <w:szCs w:val="20"/>
                <w:color w:val="auto"/>
              </w:rPr>
            </w:pPr>
            <w:r>
              <w:rPr>
                <w:rFonts w:ascii="Wingdings" w:cs="Wingdings" w:eastAsia="Wingdings" w:hAnsi="Wingdings"/>
                <w:sz w:val="13"/>
                <w:szCs w:val="13"/>
                <w:b w:val="1"/>
                <w:bCs w:val="1"/>
                <w:color w:val="auto"/>
                <w:w w:val="85"/>
              </w:rPr>
              <w:t>o</w:t>
            </w:r>
          </w:p>
        </w:tc>
      </w:tr>
    </w:tbl>
    <w:p>
      <w:pPr>
        <w:spacing w:after="0" w:line="204" w:lineRule="exact"/>
        <w:rPr>
          <w:sz w:val="24"/>
          <w:szCs w:val="24"/>
          <w:color w:val="auto"/>
        </w:rPr>
      </w:pPr>
    </w:p>
    <w:p>
      <w:pPr>
        <w:ind w:right="160"/>
        <w:spacing w:after="0" w:line="299"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0" w:lineRule="exact"/>
        <w:rPr>
          <w:sz w:val="24"/>
          <w:szCs w:val="24"/>
          <w:color w:val="auto"/>
        </w:rPr>
      </w:pPr>
    </w:p>
    <w:p>
      <w:pPr>
        <w:spacing w:after="0" w:line="29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60" w:lineRule="exact"/>
        <w:rPr>
          <w:sz w:val="24"/>
          <w:szCs w:val="24"/>
          <w:color w:val="auto"/>
        </w:rPr>
      </w:pPr>
    </w:p>
    <w:p>
      <w:pPr>
        <w:ind w:right="200"/>
        <w:spacing w:after="0" w:line="29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120"/>
        <w:spacing w:after="0" w:line="299"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3"/>
          <w:szCs w:val="13"/>
          <w:b w:val="1"/>
          <w:bCs w:val="1"/>
          <w:color w:val="auto"/>
        </w:rPr>
        <w:t>o</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21" w:lineRule="exact"/>
        <w:rPr>
          <w:sz w:val="24"/>
          <w:szCs w:val="24"/>
          <w:color w:val="auto"/>
        </w:rPr>
      </w:pPr>
    </w:p>
    <w:p>
      <w:pPr>
        <w:ind w:right="140"/>
        <w:spacing w:after="0" w:line="299" w:lineRule="auto"/>
        <w:rPr>
          <w:sz w:val="20"/>
          <w:szCs w:val="20"/>
          <w:color w:val="auto"/>
        </w:rPr>
      </w:pPr>
      <w:r>
        <w:rPr>
          <w:rFonts w:ascii="Times New Roman" w:cs="Times New Roman" w:eastAsia="Times New Roman" w:hAnsi="Times New Roman"/>
          <w:sz w:val="13"/>
          <w:szCs w:val="13"/>
          <w:color w:val="auto"/>
        </w:rPr>
        <w:t>The aggregate market value of voting stock held by non-affiliates of the registrant as of December 31, 2024, the last day of registrant’s most recently completed second fiscal quarter, was $9.0 billion (based on the closing price for shares of the registrant’s common stock as reported by the NASDAQ Global Select Market on that date).</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July 30, 2025, there were 55,161,627 shares of the registrant’s common stock issued and outstanding.</w:t>
      </w:r>
    </w:p>
    <w:p>
      <w:pPr>
        <w:spacing w:after="0" w:line="1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5" w:lineRule="exact"/>
        <w:rPr>
          <w:sz w:val="24"/>
          <w:szCs w:val="24"/>
          <w:color w:val="auto"/>
        </w:rPr>
      </w:pPr>
    </w:p>
    <w:p>
      <w:pPr>
        <w:ind w:right="600"/>
        <w:spacing w:after="0" w:line="299" w:lineRule="auto"/>
        <w:rPr>
          <w:sz w:val="20"/>
          <w:szCs w:val="20"/>
          <w:color w:val="auto"/>
        </w:rPr>
      </w:pPr>
      <w:r>
        <w:rPr>
          <w:rFonts w:ascii="Times New Roman" w:cs="Times New Roman" w:eastAsia="Times New Roman" w:hAnsi="Times New Roman"/>
          <w:sz w:val="13"/>
          <w:szCs w:val="13"/>
          <w:color w:val="auto"/>
        </w:rPr>
        <w:t>The information required by Part III of this Report, to the extent not set forth herein, is incorporated herein by reference from the Proxy Statement relating to the registrant’s 2026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744855</wp:posOffset>
            </wp:positionV>
            <wp:extent cx="33655" cy="1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744855</wp:posOffset>
            </wp:positionV>
            <wp:extent cx="34290" cy="1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76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20" w:type="dxa"/>
            <w:vAlign w:val="bottom"/>
            <w:gridSpan w:val="1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PAYLOCITY HOLDING CORPORATION</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gridSpan w:val="9"/>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00" w:type="dxa"/>
            <w:vAlign w:val="bottom"/>
            <w:gridSpan w:val="10"/>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For the Year Ended June 30, 2025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4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40" w:type="dxa"/>
            <w:vAlign w:val="bottom"/>
            <w:gridSpan w:val="5"/>
            <w:vMerge w:val="restart"/>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600" w:type="dxa"/>
            <w:vAlign w:val="bottom"/>
            <w:tcBorders>
              <w:bottom w:val="single" w:sz="8" w:color="0000FF"/>
            </w:tcBorders>
            <w:gridSpan w:val="2"/>
            <w:vMerge w:val="continue"/>
          </w:tcPr>
          <w:p>
            <w:pPr>
              <w:spacing w:after="0"/>
              <w:rPr>
                <w:sz w:val="17"/>
                <w:szCs w:val="17"/>
                <w:color w:val="auto"/>
              </w:rPr>
            </w:pPr>
          </w:p>
        </w:tc>
        <w:tc>
          <w:tcPr>
            <w:tcW w:w="54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20" w:type="dxa"/>
            <w:vAlign w:val="bottom"/>
            <w:gridSpan w:val="6"/>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620" w:type="dxa"/>
            <w:vAlign w:val="bottom"/>
            <w:gridSpan w:val="2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7"/>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80" w:type="dxa"/>
            <w:vAlign w:val="bottom"/>
            <w:gridSpan w:val="4"/>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480" w:type="dxa"/>
            <w:vAlign w:val="bottom"/>
            <w:gridSpan w:val="4"/>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7"/>
        </w:trPr>
        <w:tc>
          <w:tcPr>
            <w:tcW w:w="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80" w:type="dxa"/>
            <w:vAlign w:val="bottom"/>
            <w:gridSpan w:val="4"/>
          </w:tcPr>
          <w:p>
            <w:pPr>
              <w:spacing w:after="0"/>
              <w:rPr>
                <w:sz w:val="24"/>
                <w:szCs w:val="24"/>
                <w:color w:val="auto"/>
              </w:rPr>
            </w:pP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2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7"/>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40" w:type="dxa"/>
            <w:vAlign w:val="bottom"/>
            <w:tcBorders>
              <w:top w:val="single" w:sz="8" w:color="0000FF"/>
            </w:tcBorders>
            <w:gridSpan w:val="2"/>
          </w:tcPr>
          <w:p>
            <w:pPr>
              <w:spacing w:after="0"/>
              <w:rPr>
                <w:sz w:val="24"/>
                <w:szCs w:val="24"/>
                <w:color w:val="auto"/>
              </w:rPr>
            </w:pPr>
          </w:p>
        </w:tc>
        <w:tc>
          <w:tcPr>
            <w:tcW w:w="480" w:type="dxa"/>
            <w:vAlign w:val="bottom"/>
            <w:gridSpan w:val="4"/>
          </w:tcPr>
          <w:p>
            <w:pPr>
              <w:spacing w:after="0"/>
              <w:rPr>
                <w:sz w:val="24"/>
                <w:szCs w:val="24"/>
                <w:color w:val="auto"/>
              </w:rPr>
            </w:pP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60" w:type="dxa"/>
            <w:vAlign w:val="bottom"/>
            <w:gridSpan w:val="1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80" w:type="dxa"/>
            <w:vAlign w:val="bottom"/>
            <w:tcBorders>
              <w:bottom w:val="single" w:sz="8" w:color="0000FF"/>
            </w:tcBorders>
          </w:tcPr>
          <w:p>
            <w:pPr>
              <w:spacing w:after="0"/>
              <w:rPr>
                <w:sz w:val="24"/>
                <w:szCs w:val="24"/>
                <w:color w:val="auto"/>
              </w:rPr>
            </w:pPr>
          </w:p>
        </w:tc>
        <w:tc>
          <w:tcPr>
            <w:tcW w:w="540" w:type="dxa"/>
            <w:vAlign w:val="bottom"/>
            <w:gridSpan w:val="5"/>
          </w:tcPr>
          <w:p>
            <w:pPr>
              <w:spacing w:after="0"/>
              <w:rPr>
                <w:sz w:val="24"/>
                <w:szCs w:val="24"/>
                <w:color w:val="auto"/>
              </w:rPr>
            </w:pP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20" w:type="dxa"/>
            <w:vAlign w:val="bottom"/>
            <w:gridSpan w:val="6"/>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620" w:type="dxa"/>
            <w:vAlign w:val="bottom"/>
            <w:gridSpan w:val="6"/>
          </w:tcPr>
          <w:p>
            <w:pPr>
              <w:spacing w:after="0"/>
              <w:rPr>
                <w:sz w:val="24"/>
                <w:szCs w:val="24"/>
                <w:color w:val="auto"/>
              </w:rPr>
            </w:pP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620" w:type="dxa"/>
            <w:vAlign w:val="bottom"/>
            <w:gridSpan w:val="6"/>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620" w:type="dxa"/>
            <w:vAlign w:val="bottom"/>
            <w:gridSpan w:val="6"/>
          </w:tcPr>
          <w:p>
            <w:pPr>
              <w:spacing w:after="0"/>
              <w:rPr>
                <w:sz w:val="24"/>
                <w:szCs w:val="24"/>
                <w:color w:val="auto"/>
              </w:rPr>
            </w:pP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7"/>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480" w:type="dxa"/>
            <w:vAlign w:val="bottom"/>
            <w:gridSpan w:val="4"/>
          </w:tcPr>
          <w:p>
            <w:pPr>
              <w:spacing w:after="0"/>
              <w:rPr>
                <w:sz w:val="24"/>
                <w:szCs w:val="24"/>
                <w:color w:val="auto"/>
              </w:rPr>
            </w:pP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0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540" w:type="dxa"/>
            <w:vAlign w:val="bottom"/>
            <w:gridSpan w:val="5"/>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80" w:type="dxa"/>
            <w:vAlign w:val="bottom"/>
          </w:tcPr>
          <w:p>
            <w:pPr>
              <w:spacing w:after="0"/>
              <w:rPr>
                <w:sz w:val="24"/>
                <w:szCs w:val="24"/>
                <w:color w:val="auto"/>
              </w:rPr>
            </w:pPr>
          </w:p>
        </w:tc>
        <w:tc>
          <w:tcPr>
            <w:tcW w:w="540" w:type="dxa"/>
            <w:vAlign w:val="bottom"/>
            <w:gridSpan w:val="5"/>
          </w:tcPr>
          <w:p>
            <w:pPr>
              <w:spacing w:after="0"/>
              <w:rPr>
                <w:sz w:val="24"/>
                <w:szCs w:val="24"/>
                <w:color w:val="auto"/>
              </w:rPr>
            </w:pP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7"/>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480" w:type="dxa"/>
            <w:vAlign w:val="bottom"/>
            <w:gridSpan w:val="4"/>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7"/>
        </w:trPr>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480" w:type="dxa"/>
            <w:vAlign w:val="bottom"/>
            <w:gridSpan w:val="4"/>
          </w:tcPr>
          <w:p>
            <w:pPr>
              <w:spacing w:after="0"/>
              <w:rPr>
                <w:sz w:val="24"/>
                <w:szCs w:val="24"/>
                <w:color w:val="auto"/>
              </w:rPr>
            </w:pP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4"/>
                <w:szCs w:val="24"/>
                <w:color w:val="auto"/>
              </w:rPr>
            </w:pPr>
          </w:p>
        </w:tc>
        <w:tc>
          <w:tcPr>
            <w:tcW w:w="750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3"/>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480" w:type="dxa"/>
            <w:vAlign w:val="bottom"/>
            <w:gridSpan w:val="4"/>
          </w:tcPr>
          <w:p>
            <w:pPr>
              <w:spacing w:after="0"/>
              <w:rPr>
                <w:sz w:val="22"/>
                <w:szCs w:val="22"/>
                <w:color w:val="auto"/>
              </w:rPr>
            </w:pPr>
          </w:p>
        </w:tc>
        <w:tc>
          <w:tcPr>
            <w:tcW w:w="4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60" w:type="dxa"/>
            <w:vAlign w:val="bottom"/>
            <w:gridSpan w:val="6"/>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560"/>
        </w:trPr>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10.</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7"/>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540" w:type="dxa"/>
            <w:vAlign w:val="bottom"/>
            <w:gridSpan w:val="5"/>
          </w:tcPr>
          <w:p>
            <w:pPr>
              <w:spacing w:after="0"/>
              <w:rPr>
                <w:sz w:val="24"/>
                <w:szCs w:val="24"/>
                <w:color w:val="auto"/>
              </w:rPr>
            </w:pPr>
          </w:p>
        </w:tc>
        <w:tc>
          <w:tcPr>
            <w:tcW w:w="41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6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420" w:type="dxa"/>
            <w:vAlign w:val="bottom"/>
            <w:gridSpan w:val="2"/>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7"/>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420" w:type="dxa"/>
            <w:vAlign w:val="bottom"/>
            <w:gridSpan w:val="2"/>
          </w:tcPr>
          <w:p>
            <w:pPr>
              <w:spacing w:after="0"/>
              <w:rPr>
                <w:sz w:val="24"/>
                <w:szCs w:val="24"/>
                <w:color w:val="auto"/>
              </w:rPr>
            </w:pP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14.</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420" w:type="dxa"/>
            <w:vAlign w:val="bottom"/>
            <w:gridSpan w:val="2"/>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7"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8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 “Risk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85"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payroll and spend management software solutions that deliver a comprehensive platform for the modern workforce. Our platform offers an intuitive, easy-to-use product suite that helps businesses streamline and automate HR, payroll and spend management processes, attract and retain talent, and build culture and connection with their employees. Excluding clients acquired through acquisitions, as of June 30, 2025, we provided our software-as-a-service, or SaaS, solutions to approximately 41,650 clients across the U.S., which on average had over 150 employees.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Effective management of human capital and business-related spend is a core function in all organizations and requires a significant commitment of resources. </w:t>
      </w:r>
      <w:r>
        <w:rPr>
          <w:rFonts w:ascii="Times New Roman" w:cs="Times New Roman" w:eastAsia="Times New Roman" w:hAnsi="Times New Roman"/>
          <w:sz w:val="18"/>
          <w:szCs w:val="18"/>
          <w:color w:val="333333"/>
        </w:rPr>
        <w:t>Organizations are faced with an ever-changing employment landscape, the complexity of increasingly geographically dispersed employees,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managing hybrid workplaces. At the same time, employees’ expectations are rising, and organizations need to prioritize communication, connection, and collaboration among their employees to differentiate how they attract and retain talent and build a culture of loyalty. </w:t>
      </w:r>
      <w:r>
        <w:rPr>
          <w:rFonts w:ascii="Times New Roman" w:cs="Times New Roman" w:eastAsia="Times New Roman" w:hAnsi="Times New Roman"/>
          <w:sz w:val="18"/>
          <w:szCs w:val="18"/>
          <w:color w:val="000000"/>
        </w:rPr>
        <w:t>Many companies also are operating</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without the infrastructure, expertise or personnel to implement or support large and complex systems in today’s dynamic environment. Existing solutions offered by third-party service providers can have limited capabilities and configurability while other enterprise-focused software vendors can be prohibitively expensive and time-consuming to implement and manage. We believe that modern organizations are better served by SaaS solutions designed to meet their unique needs, delivering fast time to value, and providing their employees with the most engaging experience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software solutions provide the following key benefits to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171450</wp:posOffset>
            </wp:positionV>
            <wp:extent cx="4603115" cy="3120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0311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580" w:hanging="328"/>
        <w:spacing w:after="0" w:line="28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Single Platform with Flexible Data </w:t>
      </w:r>
      <w:r>
        <w:rPr>
          <w:rFonts w:ascii="Times New Roman" w:cs="Times New Roman" w:eastAsia="Times New Roman" w:hAnsi="Times New Roman"/>
          <w:sz w:val="18"/>
          <w:szCs w:val="18"/>
          <w:color w:val="auto"/>
        </w:rPr>
        <w:t>– The foundation of our platform is a single employee system of record and end-to-end capabilities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the employee lifecycle, ensuring efficiency and compliance from recruitment to retirement.</w:t>
      </w:r>
    </w:p>
    <w:p>
      <w:pPr>
        <w:spacing w:after="0" w:line="154"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1"/>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 xml:space="preserve">Employee Experience </w:t>
      </w:r>
      <w:r>
        <w:rPr>
          <w:rFonts w:ascii="Times New Roman" w:cs="Times New Roman" w:eastAsia="Times New Roman" w:hAnsi="Times New Roman"/>
          <w:sz w:val="18"/>
          <w:szCs w:val="18"/>
          <w:color w:val="auto"/>
        </w:rPr>
        <w:t>– We embed employee-focused features like native video, collaboration, recognition and rewards, chat, automated surveys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more throughout the platform that enable employers to engage with and retain top talent. Our platform provides tools to communicate, connect to organizations and peers, and focus on career development and growth, which drives engagement, fosters connection across the organization and prioritizes flexibility and well-being for the employees.</w:t>
      </w:r>
    </w:p>
    <w:p>
      <w:pPr>
        <w:spacing w:after="0" w:line="176" w:lineRule="exact"/>
        <w:rPr>
          <w:rFonts w:ascii="Times New Roman" w:cs="Times New Roman" w:eastAsia="Times New Roman" w:hAnsi="Times New Roman"/>
          <w:sz w:val="18"/>
          <w:szCs w:val="18"/>
          <w:color w:val="333333"/>
        </w:rPr>
      </w:pPr>
    </w:p>
    <w:p>
      <w:pPr>
        <w:ind w:left="660" w:right="100" w:hanging="328"/>
        <w:spacing w:after="0" w:line="26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Insights, Recommendations &amp; AI </w:t>
      </w:r>
      <w:r>
        <w:rPr>
          <w:rFonts w:ascii="Times New Roman" w:cs="Times New Roman" w:eastAsia="Times New Roman" w:hAnsi="Times New Roman"/>
          <w:sz w:val="18"/>
          <w:szCs w:val="18"/>
          <w:color w:val="auto"/>
        </w:rPr>
        <w:t>– Our clients have access to their data for reporting and compliance needs, but we also provide actionable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insights powered by artificial intelligence (“AI”) based on best practices across our client base. AI is woven intentionally throughout the platform to deliver value with intelligent automation, tailored insights, and embedded experiences that provide real-time guidance to administrators and employees.</w:t>
      </w:r>
    </w:p>
    <w:p>
      <w:pPr>
        <w:spacing w:after="0" w:line="176" w:lineRule="exact"/>
        <w:rPr>
          <w:rFonts w:ascii="Times New Roman" w:cs="Times New Roman" w:eastAsia="Times New Roman" w:hAnsi="Times New Roman"/>
          <w:sz w:val="18"/>
          <w:szCs w:val="18"/>
          <w:color w:val="auto"/>
        </w:rPr>
      </w:pPr>
    </w:p>
    <w:p>
      <w:pPr>
        <w:ind w:left="660" w:right="660" w:hanging="328"/>
        <w:spacing w:after="0" w:line="28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Customer Service </w:t>
      </w:r>
      <w:r>
        <w:rPr>
          <w:rFonts w:ascii="Times New Roman" w:cs="Times New Roman" w:eastAsia="Times New Roman" w:hAnsi="Times New Roman"/>
          <w:sz w:val="18"/>
          <w:szCs w:val="18"/>
          <w:color w:val="auto"/>
        </w:rPr>
        <w:t>– We supplement our comprehensive software solutions with an integrated implementation and client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all of which are designed to meet the needs of our clients and prospects.</w:t>
      </w:r>
    </w:p>
    <w:p>
      <w:pPr>
        <w:spacing w:after="0" w:line="154" w:lineRule="exact"/>
        <w:rPr>
          <w:rFonts w:ascii="Times New Roman" w:cs="Times New Roman" w:eastAsia="Times New Roman" w:hAnsi="Times New Roman"/>
          <w:sz w:val="18"/>
          <w:szCs w:val="18"/>
          <w:color w:val="auto"/>
        </w:rPr>
      </w:pPr>
    </w:p>
    <w:p>
      <w:pPr>
        <w:ind w:left="660" w:hanging="328"/>
        <w:spacing w:after="0" w:line="26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Seamless Integration with Extensive Ecosystem of Partners </w:t>
      </w:r>
      <w:r>
        <w:rPr>
          <w:rFonts w:ascii="Times New Roman" w:cs="Times New Roman" w:eastAsia="Times New Roman" w:hAnsi="Times New Roman"/>
          <w:sz w:val="18"/>
          <w:szCs w:val="18"/>
          <w:color w:val="auto"/>
        </w:rPr>
        <w:t>– Our software solutions offer our clients automated data integration with hundreds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third-party partner systems in our Integration Marketplace,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w:t>
      </w:r>
    </w:p>
    <w:p>
      <w:pPr>
        <w:spacing w:after="0" w:line="16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We market and sell our products through our direct sales force. We generate sales leads through a variety of focused marketing initiatives and from our extensive referral network of 401(k) advisors, benefits administrators, insurance brokers, third-party administrators, HR consultants and accountants. We derive revenue from a client based on the solutions purchased by the client, the number of client employees and the amount, type and timing of services provided with respect to those client employees. Our annual revenue retention rate was greater than 92% in each of the fiscal years 2023, 2024 and 2025. Our total revenues increased from $1,174.6 million in fiscal 2023 to $1,402.5 million in fiscal 2024, representing a 19% year-over-year increase, and to $1,595.2 million in fiscal 2025, representing a 14% year-over-year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We believe our recurring revenue model and high annual revenue retention rates provide significant visibility into our future operating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strengthen and extend our position as a leading provider of cloud-based HCM, payroll and spend management software solutions.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include the following:</w:t>
      </w:r>
    </w:p>
    <w:p>
      <w:pPr>
        <w:spacing w:after="0" w:line="205" w:lineRule="exact"/>
        <w:rPr>
          <w:sz w:val="20"/>
          <w:szCs w:val="20"/>
          <w:color w:val="auto"/>
        </w:rPr>
      </w:pPr>
    </w:p>
    <w:p>
      <w:pPr>
        <w:ind w:left="660" w:right="40" w:hanging="328"/>
        <w:spacing w:after="0" w:line="281"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Extend Technological Leadership</w:t>
      </w:r>
      <w:r>
        <w:rPr>
          <w:rFonts w:ascii="Times New Roman" w:cs="Times New Roman" w:eastAsia="Times New Roman" w:hAnsi="Times New Roman"/>
          <w:sz w:val="17"/>
          <w:szCs w:val="17"/>
          <w:color w:val="auto"/>
        </w:rPr>
        <w:t>. We believe that our cloud-based software solutions, combined with our unified database architecture, enhance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experience and usability of our products, providing what we believe to be a competitive advantage over alternative solutions. Our modern, intuitive user interface utilizes features found in many popular consumer application experiences, enabling users to use our solutions with limited training. We plan to continue our technology innovation, as we have done with our mobile applications, social features and analytics capabilities.</w:t>
      </w:r>
    </w:p>
    <w:p>
      <w:pPr>
        <w:spacing w:after="0" w:line="164" w:lineRule="exact"/>
        <w:rPr>
          <w:rFonts w:ascii="Times New Roman" w:cs="Times New Roman" w:eastAsia="Times New Roman" w:hAnsi="Times New Roman"/>
          <w:sz w:val="17"/>
          <w:szCs w:val="17"/>
          <w:color w:val="auto"/>
        </w:rPr>
      </w:pPr>
    </w:p>
    <w:p>
      <w:pPr>
        <w:ind w:left="660" w:hanging="328"/>
        <w:spacing w:after="0" w:line="25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 Our Client Base</w:t>
      </w:r>
      <w:r>
        <w:rPr>
          <w:rFonts w:ascii="Times New Roman" w:cs="Times New Roman" w:eastAsia="Times New Roman" w:hAnsi="Times New Roman"/>
          <w:sz w:val="18"/>
          <w:szCs w:val="18"/>
          <w:color w:val="auto"/>
        </w:rPr>
        <w:t>. We believe that our current client base represents only a small portion of the organizations that could benefit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Our clients typically have between 10 to 5,000 employees. While we provide our software solutions to approximately 41,650 clients across the U.S. (excluding clients acquired through acquisitions) as of June 30, 2025, there are approximately 1.3 million businesses with 10 to 5,000 employees in the U.S., employing approximately 73 million people, according to the U.S. Census Bureau in 2022. We believe our realized target addressable market is approximately $22.0 billion as clients, on average, purchase 50% or more of our suite of solutions. As we continue to expand our product offerings, we believe that we have an opportunity to increase the amounts clients spend on our solutions per employee and to expand our addressable market. As we expand our client base and number of client employees, we will also grow our sales organization.</w:t>
      </w:r>
    </w:p>
    <w:p>
      <w:pPr>
        <w:spacing w:after="0" w:line="182" w:lineRule="exact"/>
        <w:rPr>
          <w:rFonts w:ascii="Times New Roman" w:cs="Times New Roman" w:eastAsia="Times New Roman" w:hAnsi="Times New Roman"/>
          <w:sz w:val="18"/>
          <w:szCs w:val="18"/>
          <w:color w:val="auto"/>
        </w:rPr>
      </w:pPr>
    </w:p>
    <w:p>
      <w:pPr>
        <w:ind w:left="660" w:right="160" w:hanging="328"/>
        <w:spacing w:after="0" w:line="267"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Our Product Offerings</w:t>
      </w:r>
      <w:r>
        <w:rPr>
          <w:rFonts w:ascii="Times New Roman" w:cs="Times New Roman" w:eastAsia="Times New Roman" w:hAnsi="Times New Roman"/>
          <w:sz w:val="18"/>
          <w:szCs w:val="18"/>
          <w:color w:val="auto"/>
        </w:rPr>
        <w:t>. We believe a significant part of our leadership position is the result of our investment and innovation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offerings. We plan to continue to invest in product development efforts that will allow us to offer a broader selection of products to new and existing clients.</w:t>
      </w:r>
    </w:p>
    <w:p>
      <w:pPr>
        <w:spacing w:after="0" w:line="173" w:lineRule="exact"/>
        <w:rPr>
          <w:rFonts w:ascii="Times New Roman" w:cs="Times New Roman" w:eastAsia="Times New Roman" w:hAnsi="Times New Roman"/>
          <w:sz w:val="18"/>
          <w:szCs w:val="18"/>
          <w:i w:val="1"/>
          <w:iCs w:val="1"/>
          <w:color w:val="auto"/>
        </w:rPr>
      </w:pPr>
    </w:p>
    <w:p>
      <w:pPr>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Develop Our Referral Network</w:t>
      </w:r>
      <w:r>
        <w:rPr>
          <w:rFonts w:ascii="Times New Roman" w:cs="Times New Roman" w:eastAsia="Times New Roman" w:hAnsi="Times New Roman"/>
          <w:sz w:val="18"/>
          <w:szCs w:val="18"/>
          <w:color w:val="auto"/>
        </w:rPr>
        <w:t>. We have developed a strong network of referral participants, such as 401(k) advisors,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administrators, insurance brokers, third-party administrators, HR consultants and accountants that recommend our solutions and provide referrals. We believe that our platform’s automated data integration with hundreds of related third-party partner systems is valuable to our referral participants, as they are able to access payroll, HR and finance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HCM, payroll and spend management software solutions deliver a unified platform for the modern workplace. Our platform offers an intuitive, easy-to-use product suite that helps businesses streamline and automate HR, payroll and spend management processes, attract and retain talent, and build culture and connection with their employees. Our product suite includes the following categories: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Payroll</w:t>
      </w:r>
    </w:p>
    <w:p>
      <w:pPr>
        <w:spacing w:after="0" w:line="225" w:lineRule="exact"/>
        <w:rPr>
          <w:sz w:val="20"/>
          <w:szCs w:val="20"/>
          <w:color w:val="auto"/>
        </w:rPr>
      </w:pPr>
    </w:p>
    <w:p>
      <w:pPr>
        <w:ind w:left="660" w:right="100"/>
        <w:spacing w:after="0" w:line="257" w:lineRule="auto"/>
        <w:rPr>
          <w:sz w:val="20"/>
          <w:szCs w:val="20"/>
          <w:color w:val="auto"/>
        </w:rPr>
      </w:pPr>
      <w:r>
        <w:rPr>
          <w:rFonts w:ascii="Times New Roman" w:cs="Times New Roman" w:eastAsia="Times New Roman" w:hAnsi="Times New Roman"/>
          <w:sz w:val="18"/>
          <w:szCs w:val="18"/>
          <w:i w:val="1"/>
          <w:iCs w:val="1"/>
          <w:color w:val="auto"/>
        </w:rPr>
        <w:t>Payroll and Tax Service</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Payroll and Tax Services solution is designed to simplify payroll, automate processes and manage complex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requirements within one system. Our payroll solution leverages data from our Time &amp; Labor and Human Resource solutions to accurately calculate wages, deductions and withholdings, without the need for manual reentry. Clients work with our experts to configure general ledger integrations, accruals and complex reports to enable data-driven decision making. Our integration capabilities also automatically transfer 401(k) information, retirement plans and benefit files to third-party providers. Through our Tax Services solutions, we accurately prepare and file the necessary tax withholdings and filing documents for local, state and federal jurisdictions.</w:t>
      </w:r>
    </w:p>
    <w:p>
      <w:pPr>
        <w:spacing w:after="0" w:line="184" w:lineRule="exact"/>
        <w:rPr>
          <w:sz w:val="20"/>
          <w:szCs w:val="20"/>
          <w:color w:val="auto"/>
        </w:rPr>
      </w:pPr>
    </w:p>
    <w:p>
      <w:pPr>
        <w:jc w:val="both"/>
        <w:ind w:left="66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Global Payroll – </w:t>
      </w:r>
      <w:r>
        <w:rPr>
          <w:rFonts w:ascii="Times New Roman" w:cs="Times New Roman" w:eastAsia="Times New Roman" w:hAnsi="Times New Roman"/>
          <w:sz w:val="18"/>
          <w:szCs w:val="18"/>
          <w:color w:val="auto"/>
        </w:rPr>
        <w:t>Our cloud-based global payroll solution enables U.S.-based companies to manage payroll for employees outside the U.S. in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complex local and country-specific requirements across over 100 countries. It also provides consolidated reporting capabilities to efficiently manage a global employee base with real-time access to payroll data.</w:t>
      </w:r>
    </w:p>
    <w:p>
      <w:pPr>
        <w:spacing w:after="0" w:line="173"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On Demand Payment </w:t>
      </w:r>
      <w:r>
        <w:rPr>
          <w:rFonts w:ascii="Times New Roman" w:cs="Times New Roman" w:eastAsia="Times New Roman" w:hAnsi="Times New Roman"/>
          <w:sz w:val="18"/>
          <w:szCs w:val="18"/>
          <w:color w:val="auto"/>
        </w:rPr>
        <w:t>– On Demand Payment provides employees with visibility into their earned wages in between pay cycles based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hours worked and offers financial flexibility to employees through access to a portion of their earned wages before their scheduled payday without impacting the client’s standard payroll process.</w:t>
      </w:r>
    </w:p>
    <w:p>
      <w:pPr>
        <w:spacing w:after="0" w:line="173" w:lineRule="exact"/>
        <w:rPr>
          <w:sz w:val="20"/>
          <w:szCs w:val="20"/>
          <w:color w:val="auto"/>
        </w:rPr>
      </w:pPr>
    </w:p>
    <w:p>
      <w:pPr>
        <w:ind w:left="660"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Garnishments </w:t>
      </w:r>
      <w:r>
        <w:rPr>
          <w:rFonts w:ascii="Times New Roman" w:cs="Times New Roman" w:eastAsia="Times New Roman" w:hAnsi="Times New Roman"/>
          <w:sz w:val="18"/>
          <w:szCs w:val="18"/>
          <w:color w:val="auto"/>
        </w:rPr>
        <w:t>– Our Garnishments solution provides the calculation, setup and maintenance of historical deduction records and performs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calculation validation against state and federal legislation to mitigate compliance risk and prevent costly penalties and errors.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Human Resources</w:t>
      </w:r>
    </w:p>
    <w:p>
      <w:pPr>
        <w:spacing w:after="0" w:line="227" w:lineRule="exact"/>
        <w:rPr>
          <w:sz w:val="20"/>
          <w:szCs w:val="20"/>
          <w:color w:val="auto"/>
        </w:rPr>
      </w:pPr>
    </w:p>
    <w:p>
      <w:pPr>
        <w:ind w:left="66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Human Resources </w:t>
      </w:r>
      <w:r>
        <w:rPr>
          <w:rFonts w:ascii="Times New Roman" w:cs="Times New Roman" w:eastAsia="Times New Roman" w:hAnsi="Times New Roman"/>
          <w:sz w:val="18"/>
          <w:szCs w:val="18"/>
          <w:color w:val="auto"/>
        </w:rPr>
        <w:t>– Our Human Resources solutions streamline processes using modern, mobile-enabled tools that help save time by automating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tasks and providing data-driven reporting. Clients can track headcount and status for positions, manage position and manager changes, manage compliance tracking and reporting and employee data and documents in one central location.</w:t>
      </w:r>
    </w:p>
    <w:p>
      <w:pPr>
        <w:spacing w:after="0" w:line="173"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Self-Service </w:t>
      </w:r>
      <w:r>
        <w:rPr>
          <w:rFonts w:ascii="Times New Roman" w:cs="Times New Roman" w:eastAsia="Times New Roman" w:hAnsi="Times New Roman"/>
          <w:sz w:val="18"/>
          <w:szCs w:val="18"/>
          <w:color w:val="auto"/>
        </w:rPr>
        <w:t>– Our Employee Self-Service module provides employees with access to their information 24/7, which allows them to 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checks, request time off, clock in and out, update personal data and collaborate with teammates. Employees can also enroll in benefits, view coverage, access training or view course completion status on-the-go via our mobile app. An AI Assistant answers Paylocity-centric questions, as well as client-specific ones based on information in their employee handbooks.</w:t>
      </w:r>
    </w:p>
    <w:p>
      <w:pPr>
        <w:spacing w:after="0" w:line="180"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Workflows &amp; Documents </w:t>
      </w:r>
      <w:r>
        <w:rPr>
          <w:rFonts w:ascii="Times New Roman" w:cs="Times New Roman" w:eastAsia="Times New Roman" w:hAnsi="Times New Roman"/>
          <w:sz w:val="18"/>
          <w:szCs w:val="18"/>
          <w:color w:val="auto"/>
        </w:rPr>
        <w:t>– Workflows, the process automation engine embedded throughout the Paylocity platform, uses triggers and if/then logic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allow clients to automate manual processes, improving efficiency and data accuracy. Paylocity offers both out-of-the-box workflow templates and allows clients to create their own based on business needs. Documents serves as a central location to securely store personal employee files such as offer letters and performance reviews to help clients stay compliant and organized by replacing manual processes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and paper files. HR professionals can search electronic documents and easily upload, store and download documents while managing access with our role-based permission settings.</w:t>
      </w:r>
    </w:p>
    <w:p>
      <w:pPr>
        <w:spacing w:after="0" w:line="160" w:lineRule="exact"/>
        <w:rPr>
          <w:sz w:val="20"/>
          <w:szCs w:val="20"/>
          <w:color w:val="auto"/>
        </w:rPr>
      </w:pPr>
    </w:p>
    <w:p>
      <w:pPr>
        <w:ind w:left="660" w:righ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HR Compliance Dashboard </w:t>
      </w:r>
      <w:r>
        <w:rPr>
          <w:rFonts w:ascii="Times New Roman" w:cs="Times New Roman" w:eastAsia="Times New Roman" w:hAnsi="Times New Roman"/>
          <w:sz w:val="18"/>
          <w:szCs w:val="18"/>
          <w:color w:val="auto"/>
        </w:rPr>
        <w:t>– With our HR Compliance Dashboard, clients save time and money by staying up to date with new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related to topics such as employment verification, Equal Employment Opportunity and compensation.</w:t>
      </w:r>
    </w:p>
    <w:p>
      <w:pPr>
        <w:spacing w:after="0" w:line="158" w:lineRule="exact"/>
        <w:rPr>
          <w:sz w:val="20"/>
          <w:szCs w:val="20"/>
          <w:color w:val="auto"/>
        </w:rPr>
      </w:pPr>
    </w:p>
    <w:p>
      <w:pPr>
        <w:ind w:left="66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HR Edge </w:t>
      </w:r>
      <w:r>
        <w:rPr>
          <w:rFonts w:ascii="Times New Roman" w:cs="Times New Roman" w:eastAsia="Times New Roman" w:hAnsi="Times New Roman"/>
          <w:sz w:val="18"/>
          <w:szCs w:val="18"/>
          <w:color w:val="auto"/>
        </w:rPr>
        <w:t>– HR Edge supports human resource leaders’ navigation through complex compliance requirements, social issues and HR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can also access a comprehensive library of detailed articles, guides and other resources to make informed decisions on compliance topics such as healthcare reform, wages and hours regulations, employee leave, state laws, discrimination and more.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Time &amp; Labor</w:t>
      </w:r>
    </w:p>
    <w:p>
      <w:pPr>
        <w:spacing w:after="0" w:line="227"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Time and Attendance </w:t>
      </w:r>
      <w:r>
        <w:rPr>
          <w:rFonts w:ascii="Times New Roman" w:cs="Times New Roman" w:eastAsia="Times New Roman" w:hAnsi="Times New Roman"/>
          <w:sz w:val="18"/>
          <w:szCs w:val="18"/>
          <w:color w:val="auto"/>
        </w:rPr>
        <w:t>– Our Time and Attendance solution accurately tracks time and attendance data, eliminating the need for manual tracking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accruals and reducing administrative tasks. Employees and supervisors can request and manage time off, edit timecards and manage schedule changes. A customizable supervisor dashboard provides at-a-glance visibility to missed punches, pending time off requests, attendance exceptions and more.</w:t>
      </w:r>
    </w:p>
    <w:p>
      <w:pPr>
        <w:spacing w:after="0" w:line="207" w:lineRule="exact"/>
        <w:rPr>
          <w:sz w:val="20"/>
          <w:szCs w:val="20"/>
          <w:color w:val="auto"/>
        </w:rPr>
      </w:pPr>
    </w:p>
    <w:p>
      <w:pPr>
        <w:ind w:left="660" w:right="1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Scheduling </w:t>
      </w:r>
      <w:r>
        <w:rPr>
          <w:rFonts w:ascii="Times New Roman" w:cs="Times New Roman" w:eastAsia="Times New Roman" w:hAnsi="Times New Roman"/>
          <w:sz w:val="18"/>
          <w:szCs w:val="18"/>
          <w:color w:val="auto"/>
        </w:rPr>
        <w:t>– Clients can simplify scheduling by leveraging AI-driven shift recommendations and budgeting/scheduling advice,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templates, and building policies based on duration; time between shifts; and skills/certifications. Shift swapping and open shift claiming offer flexibility to employees, ensuring optimal coverage and controlled labor costs. Managers and employees can easily manage their schedules from our mobile app to ensure the appropriate shift coverage.</w:t>
      </w:r>
    </w:p>
    <w:p>
      <w:pPr>
        <w:spacing w:after="0" w:line="174" w:lineRule="exact"/>
        <w:rPr>
          <w:sz w:val="20"/>
          <w:szCs w:val="20"/>
          <w:color w:val="auto"/>
        </w:rPr>
      </w:pPr>
    </w:p>
    <w:p>
      <w:pPr>
        <w:ind w:left="660" w:right="1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Time Collection </w:t>
      </w:r>
      <w:r>
        <w:rPr>
          <w:rFonts w:ascii="Times New Roman" w:cs="Times New Roman" w:eastAsia="Times New Roman" w:hAnsi="Times New Roman"/>
          <w:sz w:val="17"/>
          <w:szCs w:val="17"/>
          <w:color w:val="auto"/>
        </w:rPr>
        <w:t>– Our wide variety of time collection devices include kiosks, state-of-the-art time clocks, mobile and web applications, and even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smartwatches to meet unique needs of different companies while enabling employees to clock in wherever business is conducted. Advanced features include specifying geographic parameters for mobile punch-in, answering attestation prompts and other health and safety checks.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w:t>
      </w:r>
    </w:p>
    <w:p>
      <w:pPr>
        <w:spacing w:after="0" w:line="227" w:lineRule="exact"/>
        <w:rPr>
          <w:sz w:val="20"/>
          <w:szCs w:val="20"/>
          <w:color w:val="auto"/>
        </w:rPr>
      </w:pPr>
    </w:p>
    <w:p>
      <w:pPr>
        <w:ind w:left="660" w:right="1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Recruiting </w:t>
      </w:r>
      <w:r>
        <w:rPr>
          <w:rFonts w:ascii="Times New Roman" w:cs="Times New Roman" w:eastAsia="Times New Roman" w:hAnsi="Times New Roman"/>
          <w:sz w:val="18"/>
          <w:szCs w:val="18"/>
          <w:color w:val="auto"/>
        </w:rPr>
        <w:t>– Our Recruiting tools help clients find the right candidates by offering intuitive tools to streamline talent acquisition processes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creation to candidate acceptance. HR professionals can reach more candidates by automatically posting to online job portals and enabling candidates to apply via QR code or text message. To promote an inclusive culture, clients can activate masking of certain candidate details to reduce bias. Additionally, our solution provides clients with the ability to auto-fill and simplify background checks, maintain and track personal and confidential data, and have real-time access to candidate information to enable timely staffing decisions. Scheduling is simple with Outlook and Google Calendar integrations and self-scheduling functionality for candidates, and recruiters can communicate with modern candidates in the ways they expect, including one-way video interviews and email and text messaging from right within our platform.</w:t>
      </w:r>
    </w:p>
    <w:p>
      <w:pPr>
        <w:spacing w:after="0" w:line="183" w:lineRule="exact"/>
        <w:rPr>
          <w:sz w:val="20"/>
          <w:szCs w:val="20"/>
          <w:color w:val="auto"/>
        </w:rPr>
      </w:pPr>
    </w:p>
    <w:p>
      <w:pPr>
        <w:ind w:left="660" w:right="12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Onboarding </w:t>
      </w:r>
      <w:r>
        <w:rPr>
          <w:rFonts w:ascii="Times New Roman" w:cs="Times New Roman" w:eastAsia="Times New Roman" w:hAnsi="Times New Roman"/>
          <w:sz w:val="17"/>
          <w:szCs w:val="17"/>
          <w:color w:val="auto"/>
        </w:rPr>
        <w:t>– Our Onboarding tools enable new employees to complete all pre-hire tasks through digital data collection to gather important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personal and confidential information and documentation right through our platform. Clients can streamline processes such as handbook acknowledgment, tax withholding forms, I-9 document verification, E-Verify and many others. Additionally, new hires feel an instant connection to their team and employer with welcome notes from leaders, introductory videos, company culture information and company policies.</w:t>
      </w:r>
    </w:p>
    <w:p>
      <w:pPr>
        <w:spacing w:after="0" w:line="164"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 Pay </w:t>
      </w:r>
      <w:r>
        <w:rPr>
          <w:rFonts w:ascii="Times New Roman" w:cs="Times New Roman" w:eastAsia="Times New Roman" w:hAnsi="Times New Roman"/>
          <w:sz w:val="18"/>
          <w:szCs w:val="18"/>
          <w:color w:val="auto"/>
        </w:rPr>
        <w:t>– Market Pay provides real time insights for HR, leaders and managers making it easy for them to understand their local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trends, and make data-driven decisions about employee compensation so they can pay employees fairly, outpace competitors to attract and retain top talent, and remain compliant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Learning </w:t>
      </w:r>
      <w:r>
        <w:rPr>
          <w:rFonts w:ascii="Times New Roman" w:cs="Times New Roman" w:eastAsia="Times New Roman" w:hAnsi="Times New Roman"/>
          <w:sz w:val="18"/>
          <w:szCs w:val="18"/>
          <w:color w:val="auto"/>
        </w:rPr>
        <w:t>– Our Learning tools allow clients to easily assign courses tailored to training their employees on new skills, policies,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topics with a variety of course delivery methods including on-demand and webinars, all of which are available via our mobile app. Our clients can create a variety of content for their employees including via a Sharable Content Object Reference Model (SCORM), embedded video and various document types. Custom content is supplemented by a library of hundreds of out-of-the-box trainings provided by Paylocity in areas like anti-harassment, workplace safety, diversity in recruiting and many more. Clients can also empower their employees to create trainings so that internal subject matter experts can share their expertise with colleagues. Our Learning tools also offer numerous diversity, equity, inclusion and accessibility courses to help ensure employees are educated to support a diverse workforce.</w:t>
      </w:r>
    </w:p>
    <w:p>
      <w:pPr>
        <w:spacing w:after="0" w:line="183"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Performance </w:t>
      </w:r>
      <w:r>
        <w:rPr>
          <w:rFonts w:ascii="Times New Roman" w:cs="Times New Roman" w:eastAsia="Times New Roman" w:hAnsi="Times New Roman"/>
          <w:sz w:val="18"/>
          <w:szCs w:val="18"/>
          <w:color w:val="auto"/>
        </w:rPr>
        <w:t>– Our Performance tools enable transparent, two-way communication, allowing teams to have ongoing performance conversations.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ability to manage employee review cycles at the center of the performance management solution, employees can also manage goals and track their career development. Our tools help facilitate ongoing, goals-driven conversations using Journals, giving employees a record of their tasks, goals and accomplishments. Additionally, our clients can prepare succession planning assessments across their employee population by using our 9-box tool that provides context to employees’ performance and the ability to visualize the distribution of their workforce.</w:t>
      </w:r>
    </w:p>
    <w:p>
      <w:pPr>
        <w:spacing w:after="0" w:line="183"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 Our Compensation tools help clients align between organizational goals, budgets and participant eligibility in an efficient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reduces manual effort and paper-based budgeting activities. Our customized dashboards provide visibility to individual performance and compensation history at custom permission levels and the full value of an employee’s compensation and benefits. Clients can create employee-facing Total Rewards Statements in bulk to demonstrate the full compensation an employee receives, including not just pay, but also benefits, time off, and more.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227" w:lineRule="exact"/>
        <w:rPr>
          <w:sz w:val="20"/>
          <w:szCs w:val="20"/>
          <w:color w:val="auto"/>
        </w:rPr>
      </w:pPr>
    </w:p>
    <w:p>
      <w:pPr>
        <w:ind w:left="660"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Benefit Enrollment &amp; Updates </w:t>
      </w:r>
      <w:r>
        <w:rPr>
          <w:rFonts w:ascii="Times New Roman" w:cs="Times New Roman" w:eastAsia="Times New Roman" w:hAnsi="Times New Roman"/>
          <w:sz w:val="18"/>
          <w:szCs w:val="18"/>
          <w:color w:val="auto"/>
        </w:rPr>
        <w:t>– Clients can plan and administer competitive benefits packages in one place while offering a smooth, mobile-friendly enrollment and management experience for employees with our tool. Benefit administrators can add enrollment rules, manage benefit offerings for different employee groups, customize user plan limits, and view plan documentation, among other features. Employees can experience a guided enrollment experience with AI-powered Benefit Decision Support and can manage their own elections and account balances in desktop or via the mobile app. Clients can also use embedded experiences like notifications and training to help employees stay apprised of important dates and understand the benefit options available to them.</w:t>
      </w:r>
    </w:p>
    <w:p>
      <w:pPr>
        <w:spacing w:after="0" w:line="182"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Third-Party Administrative (TPA) Solutions </w:t>
      </w:r>
      <w:r>
        <w:rPr>
          <w:rFonts w:ascii="Times New Roman" w:cs="Times New Roman" w:eastAsia="Times New Roman" w:hAnsi="Times New Roman"/>
          <w:sz w:val="18"/>
          <w:szCs w:val="18"/>
          <w:color w:val="auto"/>
        </w:rPr>
        <w:t>– Our TPA solutions are designed to modernize the administration of HSA, FSA,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Arrangement (HRA), Transportation Management Account (TMA) and Premium Only Plan (POP) benefits by providing users with a single, unified access point for payroll, HR, and benefits administration. Our TPA solutions include mobile and web access, allowing users to view transaction details and account balances while having the ability to submit claims from our integrated employee portal. These solutions also ease the administration of COBRA coverage and retiree billing.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Experiences</w:t>
      </w:r>
    </w:p>
    <w:p>
      <w:pPr>
        <w:spacing w:after="0" w:line="227" w:lineRule="exact"/>
        <w:rPr>
          <w:sz w:val="20"/>
          <w:szCs w:val="20"/>
          <w:color w:val="auto"/>
        </w:rPr>
      </w:pPr>
    </w:p>
    <w:p>
      <w:pPr>
        <w:ind w:left="660"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Community </w:t>
      </w:r>
      <w:r>
        <w:rPr>
          <w:rFonts w:ascii="Times New Roman" w:cs="Times New Roman" w:eastAsia="Times New Roman" w:hAnsi="Times New Roman"/>
          <w:sz w:val="18"/>
          <w:szCs w:val="18"/>
          <w:color w:val="auto"/>
        </w:rPr>
        <w:t>– Community is an integrated part of our platform that streamlines communication and fosters a culture of engagement not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broadcast emails, antiquated intranets or break room bulletin boards. It empowers clients to engage all employees—even those that are remote, on-the-go or do not have corporate email, which remains critical in the current era of hybrid work. With Community, clients can optimize “broadcast” communications with a company feed that streamlines announcements into a single location. Announcements can be managed, sent and tracked with an intuitive dashboard. Clients can support their employees at scale with Ask an Expert groups where employees can pose questions to designated group experts who manage questions from a dashboard. Community also offers premium capabilities such as one-to-one and one-to many chat functionality to improve real-time communication; the ability to upload, create, edit, and share files; the automatic creation of team groups for supervisors and direct reports; updated user profiles allowing employees to list interests, team members, education, skills or hobbies and enhanced directory and search capability to easily find, follow and engage with co-workers.</w:t>
      </w:r>
    </w:p>
    <w:p>
      <w:pPr>
        <w:spacing w:after="0" w:line="188" w:lineRule="exact"/>
        <w:rPr>
          <w:sz w:val="20"/>
          <w:szCs w:val="20"/>
          <w:color w:val="auto"/>
        </w:rPr>
      </w:pPr>
    </w:p>
    <w:p>
      <w:pPr>
        <w:ind w:left="66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Video </w:t>
      </w:r>
      <w:r>
        <w:rPr>
          <w:rFonts w:ascii="Times New Roman" w:cs="Times New Roman" w:eastAsia="Times New Roman" w:hAnsi="Times New Roman"/>
          <w:sz w:val="18"/>
          <w:szCs w:val="18"/>
          <w:color w:val="auto"/>
        </w:rPr>
        <w:t>– Our Video tools provide clients the ability to record, upload and embed videos across our HCM platform to increase collaboration, morale,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and productivity. Clients can embed videos seamlessly into tasks that are critical to their business such as leadership announcements, job postings, onboarding, performance journals, surveys and more.</w:t>
      </w:r>
    </w:p>
    <w:p>
      <w:pPr>
        <w:spacing w:after="0" w:line="173" w:lineRule="exact"/>
        <w:rPr>
          <w:sz w:val="20"/>
          <w:szCs w:val="20"/>
          <w:color w:val="auto"/>
        </w:rPr>
      </w:pPr>
    </w:p>
    <w:p>
      <w:pPr>
        <w:ind w:left="660" w:right="10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Employee Voice </w:t>
      </w:r>
      <w:r>
        <w:rPr>
          <w:rFonts w:ascii="Times New Roman" w:cs="Times New Roman" w:eastAsia="Times New Roman" w:hAnsi="Times New Roman"/>
          <w:sz w:val="17"/>
          <w:szCs w:val="17"/>
          <w:color w:val="auto"/>
        </w:rPr>
        <w:t>– Employee Voice helps clients automatically and continuously collect feedback that is indicative of employee engagement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retention. AI-generated sentiment summaries synthesize feedback alongside dashboards and heatmaps that make it simple to understand feedback at scale. It also includes the tools to share relevant insights with leadership and managers and create action plans to drive accountability.</w:t>
      </w:r>
    </w:p>
    <w:p>
      <w:pPr>
        <w:spacing w:after="0" w:line="163" w:lineRule="exact"/>
        <w:rPr>
          <w:sz w:val="20"/>
          <w:szCs w:val="20"/>
          <w:color w:val="auto"/>
        </w:rPr>
      </w:pPr>
    </w:p>
    <w:p>
      <w:pPr>
        <w:ind w:left="660"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Recognition &amp; Rewards </w:t>
      </w:r>
      <w:r>
        <w:rPr>
          <w:rFonts w:ascii="Times New Roman" w:cs="Times New Roman" w:eastAsia="Times New Roman" w:hAnsi="Times New Roman"/>
          <w:sz w:val="18"/>
          <w:szCs w:val="18"/>
          <w:color w:val="auto"/>
        </w:rPr>
        <w:t>– Recognition &amp; Rewards allows clients to drive engagement and retention via a frictionless experience embedded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our platform. Managers and peer employees can provide direct recognition and reward for outstanding performance and impact with monetary awards and digital gift cards, seamlessly processed through our integrated payroll and tax platform. Administrators retain full control and visibility into how rewards are funded and distributed, ensuring alignment with company culture, objectives, budgets and policies.</w:t>
      </w:r>
    </w:p>
    <w:p>
      <w:pPr>
        <w:spacing w:after="0" w:line="180"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Modern Workforce Index </w:t>
      </w:r>
      <w:r>
        <w:rPr>
          <w:rFonts w:ascii="Times New Roman" w:cs="Times New Roman" w:eastAsia="Times New Roman" w:hAnsi="Times New Roman"/>
          <w:sz w:val="18"/>
          <w:szCs w:val="18"/>
          <w:color w:val="auto"/>
        </w:rPr>
        <w:t>– Leveraging data from more than 41,650 clients, our patent-pending Modern Workforce Index (MWI) puts sophisticated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 into an HR intelligence dashboard that gives clients insight into employee sentiment, performance metrics, and engagement. With MWI, clients can identify gaps and receive insightful, actionable recommendations on improving their organization’s health by increasing employee productivity and reducing turnover.</w:t>
      </w:r>
    </w:p>
    <w:p>
      <w:pPr>
        <w:spacing w:after="0" w:line="180" w:lineRule="exact"/>
        <w:rPr>
          <w:sz w:val="20"/>
          <w:szCs w:val="20"/>
          <w:color w:val="auto"/>
        </w:rPr>
      </w:pPr>
    </w:p>
    <w:p>
      <w:pPr>
        <w:ind w:left="66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Insights </w:t>
      </w:r>
      <w:r>
        <w:rPr>
          <w:rFonts w:ascii="Times New Roman" w:cs="Times New Roman" w:eastAsia="Times New Roman" w:hAnsi="Times New Roman"/>
          <w:sz w:val="18"/>
          <w:szCs w:val="18"/>
          <w:color w:val="auto"/>
        </w:rPr>
        <w:t>– With our Data Insights solution, our clients can evaluate the health of their organizations with actionable insights in areas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headcount, turnover, labor costs and composition of their employee populations so they can customize, fund and deploy strategies to support diverse employees and identify needs of underrepresented groups.</w:t>
      </w:r>
    </w:p>
    <w:p>
      <w:pPr>
        <w:spacing w:after="0" w:line="173"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 Clients can build and customize reports within our platform. We also offer hundreds of standard reports that clients can use as is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 to suit their needs. New reports are added regularly in response to regulatory changes, compliance updates and client feedback.</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Paylocity for Finance</w:t>
      </w:r>
    </w:p>
    <w:p>
      <w:pPr>
        <w:spacing w:after="0" w:line="241" w:lineRule="exact"/>
        <w:rPr>
          <w:sz w:val="20"/>
          <w:szCs w:val="20"/>
          <w:color w:val="auto"/>
        </w:rPr>
      </w:pPr>
    </w:p>
    <w:p>
      <w:pPr>
        <w:ind w:left="660" w:right="300"/>
        <w:spacing w:after="0"/>
        <w:rPr>
          <w:sz w:val="20"/>
          <w:szCs w:val="20"/>
          <w:color w:val="auto"/>
        </w:rPr>
      </w:pPr>
      <w:r>
        <w:rPr>
          <w:rFonts w:ascii="Times New Roman" w:cs="Times New Roman" w:eastAsia="Times New Roman" w:hAnsi="Times New Roman"/>
          <w:sz w:val="18"/>
          <w:szCs w:val="18"/>
          <w:i w:val="1"/>
          <w:iCs w:val="1"/>
          <w:color w:val="auto"/>
        </w:rPr>
        <w:t xml:space="preserve">Headcount Planning </w:t>
      </w:r>
      <w:r>
        <w:rPr>
          <w:rFonts w:ascii="Times New Roman" w:cs="Times New Roman" w:eastAsia="Times New Roman" w:hAnsi="Times New Roman"/>
          <w:sz w:val="18"/>
          <w:szCs w:val="18"/>
          <w:color w:val="auto"/>
        </w:rPr>
        <w:t>– Headcount Planning centralizes staffing plans, approvals and forecasts into a streamlined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HR, and hiring managers can collaborate in real time using customizable workflows, visibility controls, and dynamic organizational charts to track and update headcount plans as business needs evolve. With integrated analytics and automated notifications, clients can monitor budget versus forecast, drill down into specific teams or roles, open approved roles, and stay ahead of staffing needs.</w:t>
      </w:r>
    </w:p>
    <w:p>
      <w:pPr>
        <w:spacing w:after="0" w:line="225" w:lineRule="exact"/>
        <w:rPr>
          <w:sz w:val="20"/>
          <w:szCs w:val="20"/>
          <w:color w:val="auto"/>
        </w:rPr>
      </w:pPr>
    </w:p>
    <w:p>
      <w:pPr>
        <w:ind w:left="660"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Management – </w:t>
      </w:r>
      <w:r>
        <w:rPr>
          <w:rFonts w:ascii="Times New Roman" w:cs="Times New Roman" w:eastAsia="Times New Roman" w:hAnsi="Times New Roman"/>
          <w:sz w:val="18"/>
          <w:szCs w:val="18"/>
          <w:color w:val="auto"/>
        </w:rPr>
        <w:t>Expense Management provides AI-powered expense reports with real-time policy enforcement, categorization,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5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Accounts Payable Automation </w:t>
      </w:r>
      <w:r>
        <w:rPr>
          <w:rFonts w:ascii="Times New Roman" w:cs="Times New Roman" w:eastAsia="Times New Roman" w:hAnsi="Times New Roman"/>
          <w:sz w:val="18"/>
          <w:szCs w:val="18"/>
          <w:color w:val="auto"/>
        </w:rPr>
        <w:t>– AI-powered AP Automation automates every step of the AP process, from vendor onboarding and invoice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to bill coding, approvals, payments, syncing to the ERP, and reconciliation.</w:t>
      </w:r>
    </w:p>
    <w:p>
      <w:pPr>
        <w:spacing w:after="0" w:line="199" w:lineRule="exact"/>
        <w:rPr>
          <w:sz w:val="20"/>
          <w:szCs w:val="20"/>
          <w:color w:val="auto"/>
        </w:rPr>
      </w:pPr>
    </w:p>
    <w:p>
      <w:pPr>
        <w:ind w:left="660"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Corporate Cards </w:t>
      </w:r>
      <w:r>
        <w:rPr>
          <w:rFonts w:ascii="Times New Roman" w:cs="Times New Roman" w:eastAsia="Times New Roman" w:hAnsi="Times New Roman"/>
          <w:sz w:val="18"/>
          <w:szCs w:val="18"/>
          <w:color w:val="auto"/>
        </w:rPr>
        <w:t>– Corporate Cards enables clients to issue virtual or physical cards with built-in controls and real-time tracking, while integrating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existing credit card programs to provide centralized visibility and control of all card spend.</w:t>
      </w:r>
    </w:p>
    <w:p>
      <w:pPr>
        <w:spacing w:after="0" w:line="186" w:lineRule="exact"/>
        <w:rPr>
          <w:sz w:val="20"/>
          <w:szCs w:val="20"/>
          <w:color w:val="auto"/>
        </w:rPr>
      </w:pPr>
    </w:p>
    <w:p>
      <w:pPr>
        <w:ind w:left="660"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Guided Procurement </w:t>
      </w:r>
      <w:r>
        <w:rPr>
          <w:rFonts w:ascii="Times New Roman" w:cs="Times New Roman" w:eastAsia="Times New Roman" w:hAnsi="Times New Roman"/>
          <w:sz w:val="18"/>
          <w:szCs w:val="18"/>
          <w:color w:val="auto"/>
        </w:rPr>
        <w:t>– Guided Procurement centralizes purchase requests with automated workflows to ensure compliance, efficiency,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across finance, procurement, HR, and business stakeholders such as IT and Legal.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Support Teams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supplement our comprehensive software platform with an integrated implementation and client service organization with deep subject matter expertise. Our core operation consists of various specialists, including implementation teams, account managers, payroll processing and tax service teams. Delivering a positive experience and a high level of support is an essential element of our ability to sell our solutions and retain clients.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and Training Services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clients are typically either migrating to our platform from a competitive solution or are adopting their first online HCM, payroll or spend management solution. These organizations often have limited internal resources and rely on us to implement their solutions. We typically implement our product suite within one to eight weeks, depending on the size and complexity of the client.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 configurable, easy-to-use products.</w:t>
      </w:r>
    </w:p>
    <w:p>
      <w:pPr>
        <w:spacing w:after="0" w:line="187"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We offer clients the opportunity to utilize on-demand or in-class training designed to provide them with general knowledge on our solutions. We also host an annual conference for our clients to allow them to learn about new products and features and to provide feedback and learn best practices.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 Service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client service model is designed to serve and support the needs of our clients and to build loyalty by developing strong relationships with them. We strive to achieve high revenue retention, in part, by delivering high-quality service. Our revenue retention was greater than 92% in each of fiscal 2023, 2024 and 2025. Each client is assigned an account management team that serves as the central point of contact for any questions or support needs. We believe this approach enhances client service by providing them with knowledgeable resources who understand their businesses,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provides industry content and Paylocity product and service information.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and Regulatory Services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software contains a rules engine designed to make accurate federal, state, and local tax calculations that is continually updated to support all pertinent legislative changes across U.S. jurisdictions with the support of our tax compliance professionals. Our tax service teams provide a variety of solutions to clients, including processing payroll tax deposits, preparing and filing quarterly and annual employment tax returns and amendments and resolving client employment tax notices. Our tax filing and compliance departments perform multiple audits to allow clients to remit timely and accurate tax payments. In addition, a series of audit routines are run to ensure that quarterly tax filings are accurate and submitted on a timely basis.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Excluding clients acquired through acquisitions, as of June 30, 2025, we provided our HCM, payroll and spend management software solutions to approximately 41,650 clients, across the U.S. The rate at which we add clients is variable period-to-period and is also seasonal, as many clients switch solutions during the first calendar quarter of the year. Clients include for-profit and non-profit organizations across industries including business services, financial services, healthcare, manufacturing, restaurants, retail, technology and others. For each of the three years ended June 30, 2023, 2024 and 2025, no client accounted for more than 1% of our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76"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sales cycle begins with a sales lead generated by the sales representative, through our third-party referral network, a client referral, our telemarketing team, our external website, marketing lead generation strategies or other territory-based activities. We support our sales force with a marketing program that includes seminars and webinars, email marketing, social media marketing, broker events and web marketing.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Referral Network</w:t>
      </w:r>
    </w:p>
    <w:p>
      <w:pPr>
        <w:spacing w:after="0" w:line="22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We have developed a strong network of referral participants, such as 401(k) advisors, benefits administrators, insurance brokers, third-party administrators, HR consultants and accountants that recommend our solutions and provide referrals. Our referral network has become an increasingly important component of our sales process, and in fiscal 2025, more than 25% of our new client revenue originated by referrals from participants in our referral network.</w:t>
      </w:r>
    </w:p>
    <w:p>
      <w:pPr>
        <w:spacing w:after="0" w:line="180"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believe participants in our referral network refer potential clients to us because of the strength of our products and services, the value we provide our referral partners through our broker portal, the fact that we do not provide services that compete with our referral networks, and because we offer third parties the ability to integrate their systems with our platform. Unlike other providers who also provide retirement plans, health insurance and other products and services competitive with the offerings of the participants in our referral network, we focus only on our core business of providing HCM, payroll and spend management solutions. In some cases, we have formalized relationships in which we are a recommended vendor of these participants. In other cases, the relationships are informal. We typically do not compensate these participants for referrals.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Marketplace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an HCM, payroll and spend management provider differentiates partners’ product offerings, strengthening their competitive positioning in their own markets.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offer our solutions on a cloud-based platform that leverages a unified architecture and a common code base that we organically developed.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Clients do not need to install our software in their data centers and can access our solutions through any mobile device or web browser with Internet access.</w:t>
      </w:r>
    </w:p>
    <w:p>
      <w:pPr>
        <w:spacing w:after="0" w:line="205" w:lineRule="exact"/>
        <w:rPr>
          <w:sz w:val="20"/>
          <w:szCs w:val="20"/>
          <w:color w:val="auto"/>
        </w:rPr>
      </w:pPr>
    </w:p>
    <w:p>
      <w:pPr>
        <w:ind w:left="1300" w:right="20" w:hanging="320"/>
        <w:spacing w:after="0" w:line="315" w:lineRule="auto"/>
        <w:tabs>
          <w:tab w:leader="none" w:pos="12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Multi-Tenant Architecture. </w:t>
      </w:r>
      <w:r>
        <w:rPr>
          <w:rFonts w:ascii="Times New Roman" w:cs="Times New Roman" w:eastAsia="Times New Roman" w:hAnsi="Times New Roman"/>
          <w:sz w:val="17"/>
          <w:szCs w:val="17"/>
          <w:color w:val="auto"/>
        </w:rPr>
        <w:t>Our software solutions were designed with a multi-tenant architecture. This architecture gives us an advantage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many disparate traditional systems, which are less flexible and require longer and more costly development and upgrade cycles.</w:t>
      </w:r>
    </w:p>
    <w:p>
      <w:pPr>
        <w:spacing w:after="0" w:line="134" w:lineRule="exact"/>
        <w:rPr>
          <w:rFonts w:ascii="Times New Roman" w:cs="Times New Roman" w:eastAsia="Times New Roman" w:hAnsi="Times New Roman"/>
          <w:sz w:val="17"/>
          <w:szCs w:val="17"/>
          <w:color w:val="auto"/>
        </w:rPr>
      </w:pPr>
    </w:p>
    <w:p>
      <w:pPr>
        <w:ind w:left="1300" w:hanging="320"/>
        <w:spacing w:after="0" w:line="281" w:lineRule="auto"/>
        <w:tabs>
          <w:tab w:leader="none" w:pos="12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Focused. </w:t>
      </w:r>
      <w:r>
        <w:rPr>
          <w:rFonts w:ascii="Times New Roman" w:cs="Times New Roman" w:eastAsia="Times New Roman" w:hAnsi="Times New Roman"/>
          <w:sz w:val="17"/>
          <w:szCs w:val="17"/>
          <w:color w:val="auto"/>
        </w:rPr>
        <w:t>We employ mobile-centric principles in our solution design and development. We believe that the increasing mobility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heightens the importance of access to our solutions through mobile devices, including smart phones and tablets. Our mobile experience provides our clients and their employees with access to our solutions through nearly any device having Internet access. We bring the flexibility of a secure, cloud-based solution to users without the need to access a traditional desktop or laptop computer.</w:t>
      </w:r>
    </w:p>
    <w:p>
      <w:pPr>
        <w:spacing w:after="0" w:line="164" w:lineRule="exact"/>
        <w:rPr>
          <w:rFonts w:ascii="Times New Roman" w:cs="Times New Roman" w:eastAsia="Times New Roman" w:hAnsi="Times New Roman"/>
          <w:sz w:val="17"/>
          <w:szCs w:val="17"/>
          <w:color w:val="auto"/>
        </w:rPr>
      </w:pPr>
    </w:p>
    <w:p>
      <w:pPr>
        <w:ind w:left="1300" w:hanging="320"/>
        <w:spacing w:after="0" w:line="25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We maintain comprehensive security programs designed to protect the security and integrity of client and employee data,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185"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We use multiple cloud hosting and third-party data center providers to host our solutions, including data centers in Franklin Park, Illinois and Kenosha, Wisconsin (for backup and disaster recovery). We supply the hardware infrastructure and are responsible for the ongoing maintenance of our equipment at all data center 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640" w:firstLine="648"/>
        <w:spacing w:after="0" w:line="266" w:lineRule="auto"/>
        <w:rPr>
          <w:sz w:val="20"/>
          <w:szCs w:val="20"/>
          <w:color w:val="auto"/>
        </w:rPr>
      </w:pPr>
      <w:r>
        <w:rPr>
          <w:rFonts w:ascii="Times New Roman" w:cs="Times New Roman" w:eastAsia="Times New Roman" w:hAnsi="Times New Roman"/>
          <w:sz w:val="18"/>
          <w:szCs w:val="18"/>
          <w:color w:val="auto"/>
        </w:rPr>
        <w:t>The market for HCM and payroll solutions is both fragmented and highly competitive. Our competitors vary for each of our solutions and primarily include payroll and HR service and software providers, such as Automatic Data Processing, Inc., Dayforce, Inc., Paychex, Inc., Paycom Software, Inc., Ultimate Kronos Group and other local and regional providers.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principal factors on which we compete in our market include the following:</w:t>
      </w:r>
    </w:p>
    <w:p>
      <w:pPr>
        <w:spacing w:after="0" w:line="225"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Solutions built to connect with today’s modern workforce;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product suite on a single platform;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product functionality;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Configurability and ease of use of our solutions;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mobile, intuitive and consumer-oriented user experience;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of a cloud-based technology platform;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innovate and respond to client needs rapidly;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in HCM and payroll;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implementation and client service;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implementation;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web-based payroll processing;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wide variety of complementary third-party service providers.</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compete favorably on these factors and our ability to remain competitive will largely depend on the success of our continued investment in sales and marketing, research and development and implementation and client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invest heavily in research and development to continuously introduce new modules, technologies, features and functionality. We are organized in small product-centric teams that utilize an agile development methodology. We focus our efforts on developing new modules and core technologies and on further enhancing the usability, functionality, reliability, performance and flexibility of existing modules.</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including research and development costs that were capitalized, were $219.6 million, $253.9 million and $281.7 million for the years ended June 30,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the most essential means to establishing and maintaining our technology leadership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jc w:val="both"/>
        <w:ind w:right="180" w:firstLine="648"/>
        <w:spacing w:after="0" w:line="257" w:lineRule="auto"/>
        <w:rPr>
          <w:sz w:val="20"/>
          <w:szCs w:val="20"/>
          <w:color w:val="auto"/>
        </w:rPr>
      </w:pPr>
      <w:r>
        <w:rPr>
          <w:rFonts w:ascii="Times New Roman" w:cs="Times New Roman" w:eastAsia="Times New Roman" w:hAnsi="Times New Roman"/>
          <w:sz w:val="18"/>
          <w:szCs w:val="18"/>
          <w:color w:val="auto"/>
        </w:rPr>
        <w:t>As a provider of HCM, payroll and spend management software solutions, our platform contains a significant amount of sensitive data related to clients, employees of our clients, business partners and our employees. Data privacy represents a major risk for organizations globally, including those in the United States. The global regulatory landscape for data privacy is rapidly evolving and is expected to continue doing so for the foreseeable future.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Many national, state and local government bodies have adopted or are considering adopting laws and regulations related to the collection, use and disclosure of personal information. In the United States, these include rules and regulations promulgated under the authority of the Federal Trade Commission, the Health Insurance Portability and Accountability Act of 1996 (“HIPAA”), state breach notification laws, and state privacy laws, such as the California Consumer Privacy Act of 2018 (“CCPA”) and the Illinois Biometric Information Privacy Act (“BIPA”). Because we and some of our clients have international operations and employees, the European Union General Data Protection Regulation (“GDPR”) and other international data privacy laws also impact certain aspects of our processing of client and employee information.</w:t>
      </w:r>
    </w:p>
    <w:p>
      <w:pPr>
        <w:spacing w:after="0" w:line="19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Many of our solutions are designed to help clients in complying with applicable U.S. federal, state and local laws and regulations. Consequently, our products and services may be subject to increasing and evolving regulatory requirements, including those related to tax, benefit and other laws. As these requirements proliferate, we may be required to modify our products and services to maintain compliance. These regulatory changes could reduce or eliminate the need for some of our products and services, hinder our development of new products and services, or adversely affect the functionality and acceptance of our solutions. This could in turn impose additional costs to comply, modify, or further develop our products and services. Additionally, it could also increase the costs or time needed to introduce new products and services or even prevent their introduction altogether. For example, the adoption of new money transmitter or money services business statutes in jurisdictions, or changes in regulators’ interpretation of statutes, could require us to register, obtain licenses, or limit our business activities until we secure the appropriate licenses.</w:t>
      </w:r>
    </w:p>
    <w:p>
      <w:pPr>
        <w:spacing w:after="0" w:line="19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ability to comply with and address these evolving requirements and regulations applicable to our business depends on several factors, including the functionality and design of our solutions and how our clients and their employees use them. We have implemented established frameworks and policies and procedures to protect the accuracy, privacy and security of the information we handle for our employees and on behalf of our clients and their employees. Additionally, we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voluntarily undergo periodic audits and examinations and maintain certain certifications to demonstrate our commitment to regulatory compliance.</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does not provide an exhaustive list of the laws and regulations governing or impacting our business. See the discussion contained in the “Risk Factors” section in Part I, Item 1A of this Annual Report on Form 10-K for information regarding changes in laws and regulations that could have a materially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a leading provider of cloud-based HCM, payroll and spend management software solutions, we are committed to delivering the most modern suite of solutions that drive employee engagement and a more connected culture for both our clients and our employees. Our senior executive team, together with our board of directors, drives our human capital strategy, which includes key initiatives related to our employees and company culture.</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our workforce consisted of approximately 6,700 employees that were primarily located in the United States and employed on a full-time basis.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Culture &amp; Engagement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At Paylocity, we strive to be an organization where every employee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Forbes America’s Most Trusted Companies 2025, Newsweek America’s Greatest Workplace for Diversity 2025, Fortune Best Workplaces in Technology 2025, Time Best Midsize Companies 2025, Built In Best Places to Work 2025 and was also Great Place To Work certified on multiple occasions.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also support a number of employee resource groups (“ERGs”) including PCTY Equality, PCTY OneWorld, PCTY Sheroes, PCTY Sustainability, and PCTY Mental Health. Each of these groups is organized to give employees the chance to build community and connections, voice their ideas and perspectives, personally develop and grow, and shape our culture to make a difference at work and in our local communities.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Learning &amp; Development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creating industry leading talent development and leadership programs that support the professional growth of our employees. We were named a 2025 BEST Awards organization by the Association for Talent Development. We offer professional development courses to all employees including topics like preparing for an interview, building a career path, as well as leadership topics like delegation and leading a hybrid team. Through our internally developed Learning tool with Video, we enable employees to share knowledge through self-recorded sessions, which complement our library consisting of hundreds of internal courses.</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continue to invest in our employees by providing development opportunities through various training programs such as our new professional development program that prepares our operations team members for the next level of their career by providing role-specific training and skills needed to progress and our sales training program that equips our sales force to succeed in an increasingly competitive landscape. We also offer leadership programs that give newly hired or first-time people leaders foundational leadership skills, including how to coach employee performance, document performance conversation, handle situations involving HR employment law and other leadership skills crucial to their specific function. These development programs, combined with our strong culture, increasingly results in our employees stepping into larger roles within the organization.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&amp; Compensation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focus diligently on attracting top candidates that can help us achieve our short and long-term goals as an organization. Our philosophy of “talent anywhere” focuses on identifying the right individuals for our business, regardless of where they are located geographically. For Paylocity, the right talent is someone who embodies our values, has an innate curiosity to learn and grow with our business, and has a diverse perspective on how best to accomplish our goals.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Our compensation approach is centered around a philosophy that allows us to compete for and retain the right talent to grow our organization, while being consistent and equitable. Our total rewards program includes competitive pay, a restricted stock program, an employee stock purchase program, market competitive retirement benefits, paid time off and many other benefits. We offer employees the ability to receive a portion of earned wages before the end of the payroll cycle through our On-Demand Payment product as well as financial planning resources and refinancing options with top institutions. We partner with best-in-class organizations to ensure that we utilize the most current data to serve as a foundation of our compensation strategy.</w:t>
      </w:r>
    </w:p>
    <w:p>
      <w:pPr>
        <w:spacing w:after="0" w:line="16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are also committed to supporting the health and well-being of our employees and offer a multitude of resources to assist in these efforts. In addition to traditional benefit offerings, we provide all employees with innovative perks and benefits, such as paid parental leave, adoption assistance, employer-paid short term disability, health advocacy services, paid time off to volunteer, tuition reimbursement, mental health support, fertility treatment, family planning services and many others.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PCTY Gives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Giving back to our communities takes many forms at Paylocity. Through PCTY Gives, we mobilize our technology, people and resources across the country through in-kind donations, our Elevate Your Passions (“EYP”) Grant Program, paid time-off to volunteer, signature program funding, corporate sponsored volunteerism and many other initiatives. To support our employees and their communities, we donate to charities nominated by our employees through the EYP program. In addition to local charities, Paylocity partners with national organizations such as Girls Who Code, American Red Cross, and National Alliance on Mental Illness. To support the children and dependents of Paylocity employees, the Peter J. McGrail Scholarship program, named after our late CFO, provides higher education tuition assistance for selected participants.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SEC maintains an Internet site, www.sec.gov, that includes filings of and information about issuers that file electronically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growth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continue to fluctuate due to a variety of factors, many of which are outside of our control.</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quarterly operating results, including our revenues, operating income, and cash flow, have fluctuated and may continue to fluctuate in the future due to a variety of factors, many of which are outside of our control. Additionally, our number of new clients typically increases more during our third fiscal quarter ending March 31 than during the rest of our fiscal year, primarily because many new clients prefer to start using our human capital management, or HCM, and payroll solutions at the beginning of a calendar year. Client funds and year-end activities are also traditionally higher during our third fiscal quarter. As a result, our total revenue and expenses have historically grown disproportionately during our third fiscal quarter as compared to other quarters. Accordingly, quarter-to-quarter comparisons of our operations are not necessarily meaningful and such comparisons should not be relied upon as indications of future performance.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addition to other risk factors listed within this “Risk Factors” section of this Annual Report on Form 10-K, some other important factors that may cause fluctuations in our quarterly operating results include the following:</w:t>
      </w:r>
    </w:p>
    <w:p>
      <w:pPr>
        <w:spacing w:after="0" w:line="162"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clients’ employees;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or maintain market acceptance;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procurement policies;</w:t>
      </w:r>
    </w:p>
    <w:p>
      <w:pPr>
        <w:spacing w:after="0" w:line="225" w:lineRule="exact"/>
        <w:rPr>
          <w:rFonts w:ascii="Times New Roman" w:cs="Times New Roman" w:eastAsia="Times New Roman" w:hAnsi="Times New Roman"/>
          <w:sz w:val="18"/>
          <w:szCs w:val="18"/>
          <w:color w:val="auto"/>
        </w:rPr>
      </w:pPr>
    </w:p>
    <w:p>
      <w:pPr>
        <w:ind w:left="1300" w:right="640" w:hanging="320"/>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investment in research and development activities and whether such investments are capitalized or expensed as incurred;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public health issues, natural disasters or other catastrophic events;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changes in interest rates, inflationary pressures, and uncertainty around tariffs and trade policies;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settlement costs.</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Moreover, a significant portion of our operating expenses are related to compensation and other items which are relatively fixed in the short-term, and we plan expenditures based in part on our expectations regarding future needs and opportunities. Changes in our business or revenue shortfalls could decrease our gross and operating margins and could negatively impact our operating results from period to period.</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advancements, including but not limited to artificial intelligence (“AI”) and machine learning,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or development of entirely new technologies to replace existing offerings could limit the demand for our existing or future solutions and undermine our current market position. New technologies that involve AI or machine learning or that are created using AI or machine learning may emerge that are able to deliver solutions at lower prices, more efficiently or more conveniently than our solutions, which could adversely impact our ability to compete. Additionally, if new technologies used in our products fail to operate as expected, our business may be negatively impacted. For example, the non-deterministic nature of generative AI outputs may compromise the reliability of our products which may lead to customer dissatisfaction and damage to our reputation.</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in substantial part on our continuing ability to provide products and services that organizations will find superior to our competitors’ offerings and will continue to use. We intend to continue to invest significant resources in research and development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revenue and operating results may suffer.</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have experienced revenue and client base growth and intend to pursue continued growth as part of our business strategy. However, the growth in our number of clients puts significant demands on our business, requires increased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We must also expand and develop our network of third-party service providers, including 401(k) advisors, benefits administrators, insurance brokers, third-party administrators, HR consultants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accountants, which represent a significant source of referrals of potential clients for our products and implementation services. Failure to effectively manage our growth could adversely impact our business and results of operations.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if we do not compete effectively, our operating results could be adversely affected.</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market for HCM and payroll solutions is fragmented, highly competitive and rapidly changing. Our competitors vary for each of our solutions and primarily include payroll and HR service and software providers, such as Automatic Data Processing, Inc., Dayforce, Inc., Paychex, Inc., Paycom Software, Inc., Ultimate Kronos Group and other local and regional providers.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Several of our competitors are larger and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which may include price concessions, delayed payment terms, or other terms and conditions that are more enticing to potential clients. As a result, our competitors may be able to develop products and services better received by our markets or may be able to respond more quickly and effectively than we can to new or changing opportunities, technologies such as AI or machine learning, regulations, or client requirements.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factors, current or potential clients might accept competitive offerings in lieu of purchasing our offerings. We expect competition to continue for these reasons, and such competition could negatively impact our sales, profitability or market share.</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5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the number of users, transactions and data that our operations infrastructure supports. We seek to maintain sufficient excess capacity in our data centers and other operations infrastructure to meet the needs of our clients. We also seek to maintain excess capacity to support new client deployments and the expansion of existing client deployments. In addition, we need to properly manage our technological operations infrastructure in order to support version control, changes in hardware and software parameters and the evolution of our modules. We have in the past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quickly identify the cause or causes of these performance problems. If we do not accurately predict our infrastructure requirements, our existing clients may experience service outages that may subject us to financial penalties, financial liabilities and client losses and adversely affect our reputation.</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We may experience future interruptions and delays in services and availability from time to time. Any interruption may affect the availability, accuracy, or timeliness in our services and could damage our reputation, cause our clients to terminate their use of our software, require us to indemnify our clients against certain losses due to our own errors and prevent us from gaining additional business from current or future clients.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event of a catastrophic event with respect to one or more of our systems, we may experience an extended period of system unavailability, which could negatively impact our relationship with clients.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operate without interruption, both we and our clients must guard against:</w:t>
      </w:r>
    </w:p>
    <w:p>
      <w:pPr>
        <w:spacing w:after="0" w:line="22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pandemics and other force majeure events outside our control;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225"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worms, malware, ransomware, denial-of-service attacks and similar disruptive problems;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use multiple cloud hosting and third-party data center providers to host our solutions, including data centers in Franklin Park, Illinois and Kenosha, Wisconsin (for backup and disaster recovery). We also may decide to employ additional offsite data centers in the future to accommodate growth. Problems faced by our data center locations (such as a hardware or other supply chain disruption),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In addition, our data center providers may be unable to keep up with our growing needs for capacity, may implement changes in service levels, may not renew these agreements on commercially reasonable terms, or may be acquired. We may be required to transfer our servers and other infrastructure to new data center facilities, and we may incur costs and experience service interruption in doing so. Interruptions in our services might reduce our revenues, subject us to potential liability or other expenses and adversely affect our reputation.</w:t>
      </w:r>
    </w:p>
    <w:p>
      <w:pPr>
        <w:spacing w:after="0" w:line="184"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7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payroll processing business involves the movement of significant funds from the account of a client to its employees and relevant taxing authorities.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client’s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funds to cover such obligations. Depending on the magnitude of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disruptions in the operations of third-party service providers.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depend on relationships with certain third-party service providers to operate our business. We rely on third-party couriers such as the United Parcel Service, or UPS, to ship printed checks to our clients, and any disruptions in their operations that impact their ability to successfully perform their tasks may negatively impact our business. We also engage international business partners to perform certain services in countries in which we currently do not have operations and as a result may subject us to regulatory, economic and political risks that are different from those in the United States.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currently have agreements with various major U.S. banks to execute ACH and wire transfers to support our client payroll, benefit, payroll tax and spend management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a material number of these banks terminate their relationships with us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or restrict the dollar amounts of funds that they will process on behalf of our clients, their doing so may impede our ability to process funds and could have an adverse impact on our business. We have contingency plans in place in case of any failures of banks to process transfers that may impact our operations. However, a failure of one of our banking partners or a systemic shutdown of the banking industry could result in the loss of client funds or prevent us from accessing and processing funds on our clients’ behalf, which could have an adverse impact on our business and liquidity.</w:t>
      </w:r>
    </w:p>
    <w:p>
      <w:pPr>
        <w:spacing w:after="0" w:line="180"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In addition, we utilize certain third-party software in some of our products. Although we believe that there are alternatives for the functionality provided by the third-party software, any significant interruption in the availability of such third-party software, or defects and errors in the third-party software, could have an adverse impact on our business unless and until we can replace the functionality provided by these products at a similar cost.</w:t>
      </w:r>
    </w:p>
    <w:p>
      <w:pPr>
        <w:spacing w:after="0" w:line="172"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our senior management team and other key employees, and the loss of these persons or an inability to attract and retain highly skilled employees, including product development, sales, implementation, client service and other technical persons, could adversely affect our business.</w:t>
      </w:r>
    </w:p>
    <w:p>
      <w:pPr>
        <w:spacing w:after="0" w:line="13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We also rely on our leadership team in the areas of product development, sales, implementation, client service, and general and administrative functions. From time to time, there may be changes in our executive management team resulting from the hiring or departure of executives, which could disrupt our business. While we have employment agreements with our executive officers,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to grow our business and be successful, we must continue to develop products that are technologically 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We must also identify, recruit and train qualified sales, client service and implementation personnel in the use of our software. The amount of time it takes for our sales representatives, client service and implementation personnel to be fully trained and to become productive varies widely. Hiring for skilled employees across the United States and globally is highly competitive.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direct sales force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filing of tax returns and other regulatory reports are frequent, we may discover defects and errors in our software and service processes in the normal course of business compared against these requirements and practices. Defects and errors could also cause the information that we collect to be incomplete or contain inaccuracies that our clients, their employees and taxing and other regulatory authorities regard as significant.</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The costs incurred in correcting any defects or errors or in responding to resulting claims or liability might be substantial and could adversely affect our operating results. Our clients might assert claims against us in the future alleging that they suffered damages due to a defect, error, or other failure of our product or service processes. Any product liability claim or errors or omissions claim could subject us to significant legal defense costs and adverse publicity regardless of the merits or eventual outcome of such a claim.</w:t>
      </w:r>
    </w:p>
    <w:p>
      <w:pPr>
        <w:spacing w:after="0" w:line="18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Our agreements with our clients typically contain provisions intended to limit our exposure to such claims, but such provisions may not be effective in limiting our exposure. Contractual limitations we use may not be enforceable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may not provide us with adequate protection against product liability claims in certain jurisdictions. A successful claim for product or service liability brought against us could result in substantial cost to us and divert management’s attention from our operations. We also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disrupt our operations and adversely affect our operating results.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integrate the acquired personnel, operations and technologies successfully, or effectively manage the combined business following the acquisition, in which case we may not realize the expected benefits of such acquisitions. Factors that may negatively impact our operating results, business and financial position, without limitation include the following:</w:t>
      </w:r>
    </w:p>
    <w:p>
      <w:pPr>
        <w:spacing w:after="0" w:line="176"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operations, or services in a profitable manner;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300" w:right="38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clients of the acquired business onto our modules and contract terms, including disparities in the revenues, licensing, support or professional services model of the acquired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 or the incurrence of debt.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Cybersecurity and Intellectual Property Rights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unable to prevent a breach or unauthorized access to our information systems, our proprietary and other information, our client data or funds, we may be subject to numerous adverse financial and other consequences, including that our solutions may be perceived as not being secure, clients may reduce the use of or stop using our solutions, and that we may incur significant liabilities to our clients and others.</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solutions that we provide to clients involve the processing, storage and transmission of our clients’ proprietary and confidential information regarding their employees, consultants, independent contractors, other service providers and other groups or individuals. This information includes, among other things,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the Health Insurance Portability and Accountability Act of 1996 (“HIPAA”). In addition, we collect and maintain similar information regarding our own employees, consultants, independent contractors, other service providers and other groups or individuals. Our business also involves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storage and transmission of funds from the accounts of our clients to other persons, including taxing and regulatory authorities and others.</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also rely on the security and availability of our information systems and solutions and those of third parties in the operation of our business. This includes, among other things, human capital solutions, financial solutions, customer relationship management solutions, software development solutions and tools, cybersecurity solutions and tools, and data center processing.</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cybersecurity attacks and incidents in the past, though we do not believe that any of them have been material to our business. Although we maintain security measures and controls that we continually monitor and invest in, there can be no assurance that our measures or controls will be effective in all instances or that we will not experience cybersecurity attacks or incidents in the future. Our systems and solutions and the third-party systems on which we rely are susceptible to such attacks and incidents as unauthorized access, supply-chain attacks, exfiltration or destruction of data, disruptions of service, phishing attempts and other forms of social engineering, malware, ransomware and other forms of cyber extortion, computer viruses or other malicious code and similar events. These threats may come from cybercriminals, cyberterrorists and hacktivists, nation-state and nation-state-supported actors (including advanced persistent threat intrusions) and computer hackers. They also may result from the malicious or accidental acts of insiders. Any unauthorized access to, or security breaches of, our systems or solutions or those of our clients or third-party partners and suppliers could result in numerous adverse consequences, including the unauthorized disclosure of proprietary and confidential information we or they obtain in the ordinary course of business, identity theft and financial theft. We also could be subjected to periods in which our systems and solutions or the third-party systems on which we rely are negatively impacted, degraded or unavailable, potentially for extended periods of time. If any of these events were to occur, we could be subject to client loss, reputational harm, litigation, government enforcement actions, indemnity obligations and other liabilities, and our business, revenues, profitability and financial condition could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-768985</wp:posOffset>
            </wp:positionV>
            <wp:extent cx="28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Because the tactics and techniques used by threat actors to obtain unauthorized access or sabotage systems change frequently and, in some cases, are not recognized until they are launched or even later, we may be unable to anticipate these techniques or to implement adequate preventative measures in advance, and security breaches may remain undetected for an extended period of time. We also have incorporated and will continue to incorporate AI and machine learning features into our solutions and various processes across our business, which may increase vulnerability to cybersecurity risks. Additionally, AI and machine learning may be used for certain cybersecurity attacks, improving or expanding the existing capabilities of threat actors in manners we cannot predict at this time, resulting in greater risks of security incidents and breaches. Cybersecurity attacks and incidents could have a material adverse effect on our business, operations or financial condition, so as cyber threats continue to evolve, we are focused on ensuring that our operating environments safeguard and protect personal and business information, which requires us to devote significant resources to prevent and mitigate cybersecurity incidents and protect our systems, solutions and data.</w:t>
      </w:r>
    </w:p>
    <w:p>
      <w:pPr>
        <w:spacing w:after="0" w:line="18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Additionally, while we monitor and reassess our third-party relationships over time, we have no control over those third parties’ cybersecurity programs and controls, infrastructure, physical facilities or personnel. If our security measures, or the security measures of our third-party partners and suppliers, are breached, or if our third-party partners and suppliers experience supply-chain attacks, system errors or outages, our business could be substantially harmed, and we could incur significant liabilities. The costs of investigating, mitigating, and reporting such an incident to affected individuals (if required) can be substantial. In addition, if a security breach occurs with respect to an industry peer, our clients and potential clients may lose trust in the security of our platform. Any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 Furthermore, the continuing and evolving threat of cyberattacks has resulted in increased regulatory focus and we may be required to invest significant additional resources to comply with evolving cybersecurity regulations.</w:t>
      </w:r>
    </w:p>
    <w:p>
      <w:pPr>
        <w:spacing w:after="0" w:line="188"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There can be no assurance that the limitations of liability in our contracts would be enforceable or adequate or would otherwise protect us from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Our proprietary technologies are not covered by any patent or patent application. Instead,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intellectual property could be wrongfully acquired as a result of a cyberattack or other wrongful conduct by employees or third parties. In order to protect our intellectual property rights, we may be required to spend significant resources, including cybersecurity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damage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In connection with any such claim or litigation, we may also be obligated to indemnify our clients or business partners or pay substantial settlement costs, including royalty payments,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and solutions may expose us to additional risks and harm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8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While we monitor the use of open source software in our solutions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5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products and services may become subject to increasing and/or changing regulatory requirements, including changes in tax, benefits, wage and hour, employment, intellectual property, privacy laws and other international and domestic laws, and as these requirements proliferate, we may be required to change or adapt our products and services to comply. Changing regulatory requirements might reduce or eliminate the need for some of our products and services, block us from developing new products and services or have an adverse effect on the functionality and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impact how we conduct some aspects of our business or invest client funds, which could adversely impact interest income from investing client funds. Should any state or federal regulators determine that we have operated as an unlicensed money services business or money transmitter, we could be subject to civil and criminal fines, penalties, costs, legal fees, reputational damage or other negative consequences. Any of these regulatory implementations or changes could have an adverse effect on our business, operating results or financial condition.</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Some of our products incorporate new technologies such as AI and machine learning. The ability to provide products powered by new and evolving technologies must be approached in a principled manner to navigate the complexities associated with the current or future regulatory requirements as well as social and ethical considerations. Additionally, failure by others in our industry, or actions taken by our clients, employees, or other end users (including misuse of these technologies) could negatively affect the adoption of our solutions and restrict our ability to continue to leverage novel technologies in innovative ways and subject us to reputational harm, regulatory action, or legal liability, which may harm our financial condition and operating results.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we continue to pursue such new technologies, our failure to adequately address legal risks relating to the use of AI and machine learning in our applications could result in litigation regarding, among other things, intellectual property, privacy, employment, civil rights and other claims that could result in liability. The use of AI and machine learning may also result in new or increased governmental or regulatory scrutiny as regulatory and legislative authorities in the United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States, the European Union and other jurisdictions have enacted or proposed legislation that imposes or would impose restrictions on the development of generative AI and machine learning. Any actual or alleged noncompliance with applicable laws and regulations, or failure to meet client expectations with respect to the use of AI and machine learning, could result in negative publicity or harm to our reputation and subject us to investigations, claims or other remedies, and expose us to significant fines, penalties and other damages.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data privacy laws and regulations may have a material adverse effect on reputation, financial condition, and/or operations.</w:t>
      </w:r>
    </w:p>
    <w:p>
      <w:pPr>
        <w:spacing w:after="0" w:line="229" w:lineRule="exact"/>
        <w:rPr>
          <w:sz w:val="20"/>
          <w:szCs w:val="20"/>
          <w:color w:val="auto"/>
        </w:rPr>
      </w:pPr>
    </w:p>
    <w:p>
      <w:pPr>
        <w:ind w:right="280" w:firstLine="648"/>
        <w:spacing w:after="0" w:line="277" w:lineRule="auto"/>
        <w:rPr>
          <w:sz w:val="20"/>
          <w:szCs w:val="20"/>
          <w:color w:val="auto"/>
        </w:rPr>
      </w:pPr>
      <w:r>
        <w:rPr>
          <w:rFonts w:ascii="Times New Roman" w:cs="Times New Roman" w:eastAsia="Times New Roman" w:hAnsi="Times New Roman"/>
          <w:sz w:val="17"/>
          <w:szCs w:val="17"/>
          <w:color w:val="auto"/>
        </w:rPr>
        <w:t>Our processing of personal information for our employees and on behalf of our clients is subject to federal, state and international data privacy laws. These laws, which vary across jurisdictions, generally govern the collection, storage, transfer, and other processing of personal information. They require that individuals be provided notice of privacy practices before or at the point of collection, and grant them certain rights over their personal information, including access, deletion and correction. Additionally, they regulate how personal information may be used or disclosed for secondary purposes such as marketing, and in some cases, require notification to affected individuals, clients, and/or regulators in the event of a data breach.</w:t>
      </w:r>
    </w:p>
    <w:p>
      <w:pPr>
        <w:spacing w:after="0" w:line="16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Among the most comprehensive data privacy laws that apply to various aspects of our business are HIPAA (which applies to our benefit administration solution, BeneFLEX, and our self-insured group health plan), the European Union’s General Data Protection Regulation ("GDPR"), and U.S. state privacy laws such as the California Consumer Privacy Act (“CCPA”). Other countries and U.S. states are increasingly adopting similarly comprehensive laws that impose new data privacy and protection requirements and restrictions on covered organizations. Importantly, these laws can impose significant penalties and fines for non-compliance, such as a fine of up to 4% of an organization’s worldwide revenue for the preceding year under the GDPR.</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worldwide regulatory focus on data privacy has intensified in recent years, in part triggered by the GDPR. This shift has driven rapid changes around the processing of personal information, necessitating that we continually adapt our solutions and business practices to support our clients’ compliance efforts. As this focus on data privacy continues, so too do the potential risks associated with how our business processes personal information. Compounding this complexity, many areas of existing data privacy laws remain subject to interpretation, which creates an added risk that advocacy groups and governments in countries where we or our clients operate may adopt adverse interpretations. Such interpretations could impose significant obligations on our business or restrict our ability to offer certain products and services in jurisdictions where we currently operate.</w:t>
      </w:r>
    </w:p>
    <w:p>
      <w:pPr>
        <w:spacing w:after="0" w:line="18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Enforcement actions and investigations by regulatory authorities related to security incidents and data privacy violations continue to increase. A finding of noncompliance from any such investigation or enforcement action could lead to increased costs, significant regulatory penalties, legal liability and burdensome governmental oversight, including restrictions on our operations. Furthermore, heightened consumer and market concerns about data privacy abuses by other companies are changing expectations for enhanced data privacy and security. As a result, a perception of noncompliance could damage our reputation with our current and potential clients, employees and stockholders.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tax laws or regulations could be enacted, or existing laws could be applied to us or our clients, which could increase the costs of our services and adversely impact our business.</w:t>
      </w:r>
    </w:p>
    <w:p>
      <w:pPr>
        <w:spacing w:after="0" w:line="15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federal, state, and local tax laws to services provided electronically often involve complex issues and significant judgment. New or changes to existing income, sales, use or other tax laws, statutes, rules, regulations or ordinances could be enacted at any time, possibly with retroactive effect, and could be applied solely or disproportionately to services provided over the Internet. These enactments could adversely affect our business, results of operations and financial condition due to the inherent cost increase.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Moreover,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to determine how to comply with that state’s rules and regulations. We cannot, however, assure you that we will not be subject to sales and use taxes or related penalties for past sales in states where we currently believe no such taxes are required. If one or more taxing authorities determines that taxes should have, but have not, been paid with respect to our services, we might be liable for past taxes and the associated interest and penalty charges, in addition to taxes going forward, which will adversely affect our business, sales activity, results of operations and financial condition.</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claims may be brought by our clients in connection with commercial disputes, employment claims made by our current or former employees, or lawsuits related to breaches of personal information. Litigation might result in substantial costs and may divert management’s attention and resources, which could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credit agreement contains covenants that may constrain the operation of our business, and our failure to comply with these covenants could have a material adverse effect on our financial condition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revolving credit agreement contains restrictive covenants including restrictions regarding the incurrence of liens and indebtedness, substantial changes in the general nature of our business and our subsidiaries (taken as a whole), certain merger transactions, certain sales of assets and other matters, all subject to certain exceptions. Failure to comply with these covenants would limit our ability to borrow under the revolving credit agreement, and amounts outstanding, if any, could become immediately due and payable. Any such failure could have a negative impact on our business and financial condition.</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our corporate investments or client funds could have adverse impacts on our business, results of operations, financial condition and liquidity.</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subject to wide fluctuations.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experienced, and may continue to experience, wide fluctuations and increased volatility. Factors that may impact our performance and market price include those discussed elsewhere in this “Risk Factors” section of this Annual Report on Form 10-K and others such as:</w:t>
      </w:r>
    </w:p>
    <w:p>
      <w:pPr>
        <w:spacing w:after="0" w:line="176"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225"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 under our share repurchase program or the decision to terminate or suspend any repurchases;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directors, executive officers and affiliates;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and</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conditions in the United States and global economies or financial markets (including acts of God, war, incidents of terrorism, inflationary pressures, impact of tariffs and changes in trade policies or other destabilizing events and the resulting responses to them).</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software or technology-related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repurchase program may increase the volatility of the market price of our stock and adversely affect our liquidity. Further, we may not realize the anticipated long-term stockholder value of our share repurchase program.</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2024, we announced that our board of directors approved a share repurchase program, authorizing the purchase of up to $500 million of our issued and outstanding common stock. In August 2025, we announced that our board of directors approved an additional $500 million to the share repurchase program. The authorization does not obligate us to repurchase any specific dollar amount or number of shares, there is no expiration date for the authorization, and the repurchase program may be modified, suspended or terminated at any time and for any reason. Any future announcement of a termination or suspension of the program, or our decision not to utilize the full authorized repurchase amount under the program, may reduce investor confidence and/or result in a decrease in the market price of our shares.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existence of the repurchase program could cause our stock price to trade higher than it otherwise would and could potentially reduce the market liquidity for our stock. The repurchase program may not enhance long-term stockholder value because the market price of our common stock may decline below the levels at which we repurchased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Additionally, short-term stock price fluctuations could reduce the number or amount of shares we may ultimately repurchase pursuant to the program.</w:t>
      </w:r>
    </w:p>
    <w:p>
      <w:pPr>
        <w:spacing w:after="0" w:line="162" w:lineRule="exact"/>
        <w:rPr>
          <w:sz w:val="20"/>
          <w:szCs w:val="20"/>
          <w:color w:val="auto"/>
        </w:rPr>
      </w:pPr>
    </w:p>
    <w:p>
      <w:pPr>
        <w:ind w:right="680" w:firstLine="648"/>
        <w:spacing w:after="0" w:line="261" w:lineRule="auto"/>
        <w:rPr>
          <w:sz w:val="20"/>
          <w:szCs w:val="20"/>
          <w:color w:val="auto"/>
        </w:rPr>
      </w:pPr>
      <w:r>
        <w:rPr>
          <w:rFonts w:ascii="Times New Roman" w:cs="Times New Roman" w:eastAsia="Times New Roman" w:hAnsi="Times New Roman"/>
          <w:sz w:val="18"/>
          <w:szCs w:val="18"/>
          <w:color w:val="auto"/>
        </w:rPr>
        <w:t>Repurchasing our common stock will reduce the amount of cash we have available to fund working capital, repayment of debt, capital expenditures, strategic acquisitions or business opportunities, and other general corporate purposes. The actual timing, number and value of shares repurchased will depend on various factors, including the market price of our common stock, trading volume, general market conditions and other corporate and economic considerations.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would dilute the ownership of our existing stockholders and could depress the market price of our common stock.</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authorizes the issuance of up to 155,000,000 shares of common stock and 5,000,000 shares of preferred stock with such rights, preferences, privileges and restrictions as determined by the board of directors. We may issue all or any portion of the capital stock which has been authorized but not issued subject to applicable rules and regulations, which may not require any action or approval by our stockholders. Also, in the future, we may issue additional securities in connection with investments and acquisitions. The amount of our common stock issued in connection with an investment or acquisition could constitute a material portion of our then outstanding stock. Due to these factors, issuances of a substantial number of shares of our common stock into the public market could occur at any time, which would dilute the ownership proportion of current stockholders and could cause the price of our common stock to decline.</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third amended and restated certificate of incorporation and third amended and restated bylaws may discourage, delay or prevent a change in our management or control over us that stockholders may consider favorable. Our third amended and restated certificate of incorporation and bylaws:</w:t>
      </w:r>
    </w:p>
    <w:p>
      <w:pPr>
        <w:spacing w:after="0" w:line="183" w:lineRule="exact"/>
        <w:rPr>
          <w:sz w:val="20"/>
          <w:szCs w:val="20"/>
          <w:color w:val="auto"/>
        </w:rPr>
      </w:pPr>
    </w:p>
    <w:p>
      <w:pPr>
        <w:ind w:left="1300" w:right="28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convertible preferred stock that could be issued by our board of directors to thwart a takeover attempt;</w:t>
      </w:r>
    </w:p>
    <w:p>
      <w:pPr>
        <w:spacing w:after="0" w:line="161"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including newly created directorships, may be filled only by a majority vote of directors then in office rather than by stockholders;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calling special meetings;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5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third amended and restated bylaws designate the state and federal courts located within the state of Delaware as the sole and exclusive forums for claims arising derivatively, pursuant to the Delaware General Corporation Law 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market conditions could adversely affect our business, results of operations and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the overall demand for our software solutions, and on the economic health of our current and prospective clients. As a result, we and our clients are subject to risks arising from adverse changes in economic and market conditions such as lower employment levels, increasing interest rates, inflation, tariffs, changes in trade policies, volatility in capital markets, and instability of the banking environment, among other factors. During an economic slowdown or downturn, clients may reduce their number of employees and delay or reduce their spending on payroll and other HCM solutions or renegotiate their contracts with us. This could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which is part of our overall risk management function, comprises processes for assessing, identifying and managing material risks from cybersecurity threats, including the following:</w:t>
      </w:r>
    </w:p>
    <w:p>
      <w:pPr>
        <w:spacing w:after="0" w:line="1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Information Security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maintain information security policies that are formally reviewed and approved by senior management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updated for new developments. These policies map to standard industry frameworks such as the National Institute of Standards and Technology (NIST), Committee of Sponsoring Organizations (COSO), and International Organization for Standardization (ISO) 27001 to establish structured governance, policies, standards, and controls.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Information Security Certifications and Audits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We maintain certification for compliance with ISO 27001:2022 as assessed by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auditor. We also engage an independent accounting firm to perform assessments of our procedures and controls as part of our annual Systems and Organization Controls (SOC) 1 and SOC 2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-424815</wp:posOffset>
            </wp:positionV>
            <wp:extent cx="2540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5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Security Awareness and Training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onboarding process, each new employee is required to complete security training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Our employees also are required to complete annual security and privacy training to maintain our focus on protecting our information and that of our clients and their employees. This mandatory training educates our employees on safe handling of sensitive information, appropriate responses to a suspected data security breach, and awareness of security responsibilities. We strive to promote a healthy security awareness culture throughout the organization through supplemental education, training courses, videos, internal and external publications, and supporting activities. We also invest in our Information Security professionals with continued information security training and certifications.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Data and Web Security Safeguards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implemented the following information security solutions and practices:</w:t>
      </w:r>
    </w:p>
    <w:p>
      <w:pPr>
        <w:spacing w:after="0" w:line="119"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intrusion prevention systems designed to detect and block malicious traffic,</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 application firewalls designed to protect our application from attacks,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firewalls,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information and event management,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and entity behavior analytics,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detection and response designed to protect our workstation and server population,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loss prevention software at multiple layers of our IT environment,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penetration testing conducted by both our internal teams and external providers,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multi-layered vulnerability management program designed to identify technical bugs within our product and infrastructure.</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encrypt sensitive client information both during transmission and at rest using industry standard protocols. We also have a mature application security program that promotes security champions within the developer community to instill strong, secure coding practices for reducing vulnerabilities and delivering a secure web application.</w:t>
      </w:r>
    </w:p>
    <w:p>
      <w:pPr>
        <w:spacing w:after="0" w:line="17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Incident Response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We maintain an incident response plan designed to provide a high-level framework that can be implemented in any cyber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incident. The plan addresses identification of the incident, notifications to appropriate individuals, organization of response activities by role, and escalation procedures based on the severity of the incident. We also have action plans to support business remediation and recovery efforts in the event of an incident.</w:t>
      </w:r>
    </w:p>
    <w:p>
      <w:pPr>
        <w:spacing w:after="0" w:line="17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Business Resilience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apply controls from best practices such as, but not limited to, The Business Continuity Institute (BCI), Disaster Recovery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Institute International (DRII), and International Organization for Standardization (ISO) 22301 for developing and maintaining threat-agnostic plans with strategies to continue client services and critical business operations in the event of a disruption to critical dependencies. The business resilience planning process includes business impact analyses, risk assessments, and continuity strategies. Our business resilience team conducts regular exercises to validate and continuously improve the plans and strategies, including conducting tabletop exercises with teams from across the organization.</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Third-Party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monitor and reassess our third-party relationships on an ongoing basis depending on risk level or in the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change of products and services provided to us. We also require third-party vendors, suppliers and service providers to undergo a cybersecurity risk assessment to be able to enter into a contract with us. The third-party risk assessments, conducted by our information security and enterprise risk management teams with input from key business stakeholders, involve understanding the products and services we obtain from the third party, what sensitive company and client data it will be able to access and an evaluation of the vendor’s security program and documentation. We also require that certain information security-related contract terms be incorporated into agreements with third parties that will have access to sensitive information before entering into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-967740</wp:posOffset>
            </wp:positionV>
            <wp:extent cx="531495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4950" cy="128905"/>
                    </a:xfrm>
                    <a:prstGeom prst="rect">
                      <a:avLst/>
                    </a:prstGeom>
                    <a:noFill/>
                  </pic:spPr>
                </pic:pic>
              </a:graphicData>
            </a:graphic>
          </wp:anchor>
        </w:drawing>
      </w:r>
    </w:p>
    <w:p>
      <w:pPr>
        <w:spacing w:after="0" w:line="16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Although we have experienced cybersecurity incidents in the past, none of these incidents to date have materially affected our business strategy, results of operations or financial condition. Despite our efforts, there can be no assurance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that our risk management program will be effective in preventing cybersecurity incidents that could adversely affect our business strategy, results of operations or financial condition. For more information regarding risks from cybersecurity threats, please refer to the Risk Factors entitled “If our security measures are breached or unauthorized access to client data or funds is otherwise obtained, our solutions may be perceived as not being secure, clients may reduce the use of or stop using our solutions and we may incur significant liabilities.” and “Any failure to protect our intellectual property rights could impair our ability to protect our proprietary technology and our brand.” in Part I, Item 1A, Risk Factors.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delegated oversight of risk assessment and risk management activities, including oversight over cybersecurity risks, to the audit committee. The audit committee meets at least quarterly with our Vice President and Chief Information Security Officer (“CISO”), who oversees our overall information security risk management program. The CISO’s updates to the audit committee include recent developments related to the threat landscape, current IT-related risks, and corresponding controls or projects designed to mitigate those risks.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CISO reports to our Chief Financial Officer and leads our cybersecurity risk management efforts and our dedicated information security team. Our CISO has over 20 years of information security experience, including over four years as a director in the information security management practice of a big four accounting firm. He holds multiple information security certifications and has a B.S. in Network Security. Our CISO leads our Information Security Steering Committee (“ISSC”), comprised of key executives and operating personnel from across the company, that oversees ongoing day-to-day management of our risks to information systems. The ISSC tracks risks and security initiatives, reviews the results of annual cybersecurity risk assessments, reviews the results of internal and third-party information security audits and assessments, identifies significant risks that threaten the achievement of security commitments and identifies controls to mitigate such risks. The CISO, along with other members of the ISSC and information security teams, remains apprised of developing cybersecurity trends through communications with the intelligence and law enforcement communities, vendors and industry engagement so that our cybersecurity risk management and governance controls and processes address new and evolving cybersecurity threats.</w:t>
      </w:r>
    </w:p>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our corporate headquarters occupied approximately 272,000 square feet in Schaumburg, Illinois under leases with final expiration in October 2032. We also utilize office spaces consisting of approximately 70,000 square feet in Lake Mary, Florida, approximately 64,000 square feet in Meridian, Idaho and approximately 20,000 square feet in Pittsford, New York as other major operations centers. We lease other smaller facilities, primarily across the U.S., that serve as data centers, sales offices and distribution centers.</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13 of the Notes to the Consolidated Financial Statements included in Part II, Item 8: “Financial Statements and Supplementary Data” of this Annual Report on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From time to time, we are and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“PCTY”.</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July 30, 2025, the last reported sale price of our common stock on the NASDAQ Global Select Market was $186.41 per share, and there were 6 holders of record of our common stock. The actual number of holders of common stock is greater than the number of record holders and includes stockholders who are beneficial owners, but whose shares are held in street name by brokers and nominees.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since becoming a publicly traded company. Neither Delaware law nor our third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total cumulative stockholder return on our common stock with the total cumulative return of the S&amp;P 500 Index and the S&amp;P Software &amp; Services Select Industry Index during the period commencing on June 30, 2020 and ending on June 30, 2025.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531495</wp:posOffset>
            </wp:positionV>
            <wp:extent cx="5254625" cy="3429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546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describes the Company’s purchases of common stock during the three months ended June 30, 2025:</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r>
      <w:tr>
        <w:trPr>
          <w:trHeight w:val="238"/>
        </w:trPr>
        <w:tc>
          <w:tcPr>
            <w:tcW w:w="2820" w:type="dxa"/>
            <w:vAlign w:val="bottom"/>
          </w:tcPr>
          <w:p>
            <w:pPr>
              <w:spacing w:after="0"/>
              <w:rPr>
                <w:sz w:val="20"/>
                <w:szCs w:val="20"/>
                <w:color w:val="auto"/>
              </w:rPr>
            </w:pPr>
          </w:p>
        </w:tc>
        <w:tc>
          <w:tcPr>
            <w:tcW w:w="2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 (1)</w:t>
            </w:r>
          </w:p>
        </w:tc>
      </w:tr>
      <w:tr>
        <w:trPr>
          <w:trHeight w:val="27"/>
        </w:trPr>
        <w:tc>
          <w:tcPr>
            <w:tcW w:w="28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178.21</w:t>
            </w: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0" w:right="40" w:hanging="50"/>
        <w:spacing w:after="0" w:line="282" w:lineRule="auto"/>
        <w:rPr>
          <w:sz w:val="20"/>
          <w:szCs w:val="20"/>
          <w:color w:val="auto"/>
        </w:rPr>
      </w:pPr>
      <w:r>
        <w:rPr>
          <w:rFonts w:ascii="Times New Roman" w:cs="Times New Roman" w:eastAsia="Times New Roman" w:hAnsi="Times New Roman"/>
          <w:sz w:val="17"/>
          <w:szCs w:val="17"/>
          <w:b w:val="1"/>
          <w:bCs w:val="1"/>
          <w:color w:val="auto"/>
        </w:rPr>
        <w:t>Total Number of Shares Purchased as Part of Publicly Announced Plans or Programs (2)</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314,564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26035</wp:posOffset>
            </wp:positionV>
            <wp:extent cx="12858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314,564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26035</wp:posOffset>
            </wp:positionV>
            <wp:extent cx="12858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51435</wp:posOffset>
            </wp:positionV>
            <wp:extent cx="12858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1" w:firstLine="230"/>
        <w:spacing w:after="0" w:line="282" w:lineRule="auto"/>
        <w:rPr>
          <w:sz w:val="20"/>
          <w:szCs w:val="20"/>
          <w:color w:val="auto"/>
        </w:rPr>
      </w:pPr>
      <w:r>
        <w:rPr>
          <w:rFonts w:ascii="Times New Roman" w:cs="Times New Roman" w:eastAsia="Times New Roman" w:hAnsi="Times New Roman"/>
          <w:sz w:val="17"/>
          <w:szCs w:val="17"/>
          <w:b w:val="1"/>
          <w:bCs w:val="1"/>
          <w:color w:val="auto"/>
        </w:rPr>
        <w:t>Approximate Dollar Value of Shares that May Yet Be Purchased Under the Plans or Programs (2)</w:t>
      </w:r>
    </w:p>
    <w:p>
      <w:pPr>
        <w:spacing w:after="0" w:line="30" w:lineRule="exact"/>
        <w:rPr>
          <w:sz w:val="20"/>
          <w:szCs w:val="20"/>
          <w:color w:val="auto"/>
        </w:rPr>
      </w:pPr>
    </w:p>
    <w:p>
      <w:pPr>
        <w:ind w:left="1081" w:hanging="1081"/>
        <w:spacing w:after="0"/>
        <w:tabs>
          <w:tab w:leader="none" w:pos="10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200,362,397</w:t>
      </w:r>
    </w:p>
    <w:p>
      <w:pPr>
        <w:spacing w:after="0" w:line="63" w:lineRule="exact"/>
        <w:rPr>
          <w:rFonts w:ascii="Times New Roman" w:cs="Times New Roman" w:eastAsia="Times New Roman" w:hAnsi="Times New Roman"/>
          <w:sz w:val="18"/>
          <w:szCs w:val="18"/>
          <w:color w:val="auto"/>
        </w:rPr>
      </w:pPr>
    </w:p>
    <w:p>
      <w:pPr>
        <w:ind w:left="18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8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564" w:lineRule="exact"/>
        <w:rPr>
          <w:sz w:val="20"/>
          <w:szCs w:val="20"/>
          <w:color w:val="auto"/>
        </w:rPr>
      </w:pPr>
    </w:p>
    <w:p>
      <w:pPr>
        <w:sectPr>
          <w:pgSz w:w="11900" w:h="16838" w:orient="portrait"/>
          <w:cols w:equalWidth="0" w:num="3">
            <w:col w:w="6980" w:space="220"/>
            <w:col w:w="1880" w:space="139"/>
            <w:col w:w="1981"/>
          </w:cols>
          <w:pgMar w:left="320" w:top="121" w:right="379" w:bottom="1440" w:gutter="0" w:footer="0" w:header="0"/>
          <w:type w:val="continuous"/>
        </w:sectPr>
      </w:pPr>
    </w:p>
    <w:p>
      <w:pPr>
        <w:spacing w:after="0" w:line="79"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excludes excise taxes payable on shares repurchased.</w:t>
      </w:r>
    </w:p>
    <w:p>
      <w:pPr>
        <w:spacing w:after="0" w:line="225" w:lineRule="exact"/>
        <w:rPr>
          <w:rFonts w:ascii="Times New Roman" w:cs="Times New Roman" w:eastAsia="Times New Roman" w:hAnsi="Times New Roman"/>
          <w:sz w:val="18"/>
          <w:szCs w:val="18"/>
          <w:color w:val="auto"/>
        </w:rPr>
      </w:pPr>
    </w:p>
    <w:p>
      <w:pPr>
        <w:ind w:right="480" w:firstLine="8"/>
        <w:spacing w:after="0" w:line="261" w:lineRule="auto"/>
        <w:tabs>
          <w:tab w:leader="none" w:pos="3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 For further information, see Note 15. Stockholders' Equity of the Notes to Consolidated Financial Statements included in Part II, Item 8: “Financial Statements and Supplementary Data” of this Annual Report on Form 10-K.</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right="100"/>
        <w:spacing w:after="0" w:line="290" w:lineRule="auto"/>
        <w:rPr>
          <w:sz w:val="20"/>
          <w:szCs w:val="20"/>
          <w:color w:val="auto"/>
        </w:rPr>
      </w:pPr>
      <w:r>
        <w:rPr>
          <w:rFonts w:ascii="Times New Roman" w:cs="Times New Roman" w:eastAsia="Times New Roman" w:hAnsi="Times New Roman"/>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55" w:lineRule="exact"/>
        <w:rPr>
          <w:sz w:val="20"/>
          <w:szCs w:val="20"/>
          <w:color w:val="auto"/>
        </w:rPr>
      </w:pPr>
    </w:p>
    <w:p>
      <w:pPr>
        <w:ind w:right="20"/>
        <w:spacing w:after="0" w:line="261" w:lineRule="auto"/>
        <w:rPr>
          <w:rFonts w:ascii="Times New Roman" w:cs="Times New Roman" w:eastAsia="Times New Roman" w:hAnsi="Times New Roman"/>
          <w:sz w:val="18"/>
          <w:szCs w:val="18"/>
          <w:i w:val="1"/>
          <w:iCs w:val="1"/>
          <w:u w:val="single" w:color="auto"/>
          <w:color w:val="0000FF"/>
        </w:rPr>
      </w:pPr>
      <w:r>
        <w:rPr>
          <w:rFonts w:ascii="Times New Roman" w:cs="Times New Roman" w:eastAsia="Times New Roman" w:hAnsi="Times New Roman"/>
          <w:sz w:val="18"/>
          <w:szCs w:val="18"/>
          <w:i w:val="1"/>
          <w:iCs w:val="1"/>
          <w:color w:val="auto"/>
        </w:rPr>
        <w:t>The following discussion of our financial condition and results of operations covers fiscal 2025 and 2024 items and year-over-year comparisons between fiscal 2025 and 2024. Discussion of fiscal 2023 items and year-over-year comparisons between fiscal 2024 and 2023 that are not included in this Form 10-</w:t>
      </w:r>
      <w:hyperlink r:id="rId56">
        <w:r>
          <w:rPr>
            <w:rFonts w:ascii="Times New Roman" w:cs="Times New Roman" w:eastAsia="Times New Roman" w:hAnsi="Times New Roman"/>
            <w:sz w:val="18"/>
            <w:szCs w:val="18"/>
            <w:i w:val="1"/>
            <w:iCs w:val="1"/>
            <w:color w:val="auto"/>
          </w:rPr>
          <w:t xml:space="preserve">K can be found in “Management’s Discussion and Analysis of Financial Condition and Results of Operations” in Part II, Item 7 of our </w:t>
        </w:r>
        <w:r>
          <w:rPr>
            <w:rFonts w:ascii="Times New Roman" w:cs="Times New Roman" w:eastAsia="Times New Roman" w:hAnsi="Times New Roman"/>
            <w:sz w:val="18"/>
            <w:szCs w:val="18"/>
            <w:i w:val="1"/>
            <w:iCs w:val="1"/>
            <w:u w:val="single" w:color="auto"/>
            <w:color w:val="0000FF"/>
          </w:rPr>
          <w:t>Annual Report on</w:t>
        </w:r>
      </w:hyperlink>
      <w:r>
        <w:rPr>
          <w:rFonts w:ascii="Times New Roman" w:cs="Times New Roman" w:eastAsia="Times New Roman" w:hAnsi="Times New Roman"/>
          <w:sz w:val="18"/>
          <w:szCs w:val="18"/>
          <w:i w:val="1"/>
          <w:iCs w:val="1"/>
          <w:color w:val="auto"/>
        </w:rPr>
        <w:t xml:space="preserve"> </w:t>
      </w:r>
      <w:hyperlink r:id="rId56">
        <w:r>
          <w:rPr>
            <w:rFonts w:ascii="Times New Roman" w:cs="Times New Roman" w:eastAsia="Times New Roman" w:hAnsi="Times New Roman"/>
            <w:sz w:val="18"/>
            <w:szCs w:val="18"/>
            <w:i w:val="1"/>
            <w:iCs w:val="1"/>
            <w:u w:val="single" w:color="auto"/>
            <w:color w:val="0000FF"/>
          </w:rPr>
          <w:t>Form 10-K for the fiscal year ended June 30, 2024 that was filed with the SEC on August 2, 2024.</w:t>
        </w:r>
      </w:hyperlink>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payroll and spend management software solutions that deliver a comprehensive platform for the modern workforce. Our platform offers an intuitive, easy-to-use product suite that helps businesses streamline and automate HR, payroll and spend management processes, attract and retain talent, and build culture and connection with their employees. We are expanding the spend management capabilities of our platform beyond expense management to include accounts payable automation, corporate cards, and procurement capabilities through the acquisition of Airbase Inc. in October 2024. This integrated platform will enable HR and finance leaders to manage all their spend, including payroll, on a single platform.</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and business-related spend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$1,174.6 million in fiscal 2023 to $1,402.5 million in fiscal 2024, representing a 19% year-over-year increase. Total revenues increased from $1,402.5 million in fiscal 2024 to $1,595.2 million in fiscal 2025, representing a 14% year-over-year increase. During fiscal 2025, total revenue growth was driven by the strong performance of our sales team and continued annual revenue retention in excess of 92%. 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 Count Growth</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Excluding clients acquired through acquisitions, we have increased the number of clients using our software solutions from approximately 36,200 as of June 30, 2023 to approximately 41,650 as of June 30, 2025, representing a compound annual growth rate of approximately 7%. The table below sets forth the total number of clients using our software solutions for the periods indicated, excluding clients acquired through acquisitions, rounded to the nearest fifty.</w:t>
      </w:r>
    </w:p>
    <w:p>
      <w:pPr>
        <w:spacing w:after="0" w:line="22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41910</wp:posOffset>
            </wp:positionV>
            <wp:extent cx="29489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500" w:type="dxa"/>
            <w:vAlign w:val="bottom"/>
            <w:gridSpan w:val="2"/>
            <w:shd w:val="clear" w:color="auto" w:fill="CCEEFF"/>
          </w:tcPr>
          <w:p>
            <w:pPr>
              <w:jc w:val="right"/>
              <w:ind w:right="6540"/>
              <w:spacing w:after="0"/>
              <w:rPr>
                <w:sz w:val="20"/>
                <w:szCs w:val="20"/>
                <w:color w:val="auto"/>
              </w:rPr>
            </w:pPr>
            <w:r>
              <w:rPr>
                <w:rFonts w:ascii="Times New Roman" w:cs="Times New Roman" w:eastAsia="Times New Roman" w:hAnsi="Times New Roman"/>
                <w:sz w:val="18"/>
                <w:szCs w:val="18"/>
                <w:color w:val="auto"/>
              </w:rPr>
              <w:t>Client Count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36,200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39,050</w:t>
            </w:r>
          </w:p>
        </w:tc>
        <w:tc>
          <w:tcPr>
            <w:tcW w:w="100" w:type="dxa"/>
            <w:vAlign w:val="bottom"/>
            <w:shd w:val="clear" w:color="auto" w:fill="CCEEFF"/>
          </w:tcPr>
          <w:p>
            <w:pPr>
              <w:spacing w:after="0"/>
              <w:rPr>
                <w:sz w:val="21"/>
                <w:szCs w:val="21"/>
                <w:color w:val="auto"/>
              </w:rPr>
            </w:pPr>
          </w:p>
        </w:tc>
        <w:tc>
          <w:tcPr>
            <w:tcW w:w="14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41,650</w:t>
            </w:r>
          </w:p>
        </w:tc>
      </w:tr>
    </w:tbl>
    <w:p>
      <w:pPr>
        <w:spacing w:after="0" w:line="2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Revenue Retention Rate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Adjusted Gross Profit and Adjusted EBITDA to evaluate our operating results. Our calculations of Adjusted Gross Profit and Adjusted EBITDA eliminate the impact of items we do not consider indicative of our ongoing operating performance. Adjusted Gross Profit and Adjusted EBITDA are not measurements of financial performance under generally accepted accounting principles in the United States, or GAAP, and these metrics may not be comparable to similarly titled measures of other companies.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and certain acquired intangibles, stock-based compensation expense and employer payroll taxes related to stock releases and option exercises and other items as described below. We define Adjusted EBITDA as net income before interest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income tax expense (benefit), depreciation and amortization expense, stock-based compensation expense and employer payroll taxes related to stock releases and option exercises and other items as described below.</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Gross Profit and Adjusted EBITDA have limitations as analytical tools. Some of these limitations include the following:</w:t>
      </w:r>
    </w:p>
    <w:p>
      <w:pPr>
        <w:spacing w:after="0" w:line="22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ongoing or future requirements for capital expenditures;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income tax expense or the cash requirement to pay our taxes;</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61"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Gross Profit and Adjusted EBITDA differently than we do, limiting their usefulness as a comparative measure.</w:t>
      </w:r>
    </w:p>
    <w:p>
      <w:pPr>
        <w:spacing w:after="0" w:line="16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Additionally, stock-based compensation will continue to be an element of our overall compensation strategy, although we exclude it from Adjusted Gross Profit and Adjusted EBITDA as an expense when evaluating our ongoing operating performance for a particular period.</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Because of these limitations, you should not consider Adjusted Gross Profit as an alternative to gross profit or Adjusted EBITDA as an alternative to net income, in each case as determined in accordance with GAAP. We compensate for these limitations by relying primarily on our GAAP results, and we use Adjusted Gross Profit and Adjusted EBITDA only as supplemental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Directly comparable GAAP measures to Adjusted Gross Profit and Adjusted EBITDA are gross profit and net income, respectively. We reconcile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Gross Profit and Adjusted EBITDA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807,559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960,786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1,096,998</w:t>
            </w:r>
          </w:p>
        </w:tc>
        <w:tc>
          <w:tcPr>
            <w:tcW w:w="0" w:type="dxa"/>
            <w:vAlign w:val="bottom"/>
          </w:tcPr>
          <w:p>
            <w:pPr>
              <w:spacing w:after="0"/>
              <w:rPr>
                <w:sz w:val="1"/>
                <w:szCs w:val="1"/>
                <w:color w:val="auto"/>
              </w:rPr>
            </w:pPr>
          </w:p>
        </w:tc>
      </w:tr>
      <w:tr>
        <w:trPr>
          <w:trHeight w:val="277"/>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59,948</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16,168</w:t>
            </w:r>
          </w:p>
        </w:tc>
        <w:tc>
          <w:tcPr>
            <w:tcW w:w="0" w:type="dxa"/>
            <w:vAlign w:val="bottom"/>
          </w:tcPr>
          <w:p>
            <w:pPr>
              <w:spacing w:after="0"/>
              <w:rPr>
                <w:sz w:val="1"/>
                <w:szCs w:val="1"/>
                <w:color w:val="auto"/>
              </w:rPr>
            </w:pPr>
          </w:p>
        </w:tc>
      </w:tr>
      <w:tr>
        <w:trPr>
          <w:trHeight w:val="231"/>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w:t>
            </w:r>
          </w:p>
        </w:tc>
        <w:tc>
          <w:tcPr>
            <w:tcW w:w="340" w:type="dxa"/>
            <w:vAlign w:val="bottom"/>
            <w:shd w:val="clear" w:color="auto" w:fill="D2EDFE"/>
          </w:tcPr>
          <w:p>
            <w:pPr>
              <w:spacing w:after="0"/>
              <w:rPr>
                <w:sz w:val="20"/>
                <w:szCs w:val="20"/>
                <w:color w:val="auto"/>
              </w:rPr>
            </w:pPr>
          </w:p>
        </w:tc>
        <w:tc>
          <w:tcPr>
            <w:tcW w:w="1140" w:type="dxa"/>
            <w:vAlign w:val="bottom"/>
            <w:shd w:val="clear" w:color="auto" w:fill="D2EDFE"/>
          </w:tcPr>
          <w:p>
            <w:pPr>
              <w:spacing w:after="0"/>
              <w:rPr>
                <w:sz w:val="20"/>
                <w:szCs w:val="20"/>
                <w:color w:val="auto"/>
              </w:rPr>
            </w:pPr>
          </w:p>
        </w:tc>
        <w:tc>
          <w:tcPr>
            <w:tcW w:w="100" w:type="dxa"/>
            <w:vAlign w:val="bottom"/>
            <w:shd w:val="clear" w:color="auto" w:fill="D2EDFE"/>
          </w:tcPr>
          <w:p>
            <w:pPr>
              <w:spacing w:after="0"/>
              <w:rPr>
                <w:sz w:val="20"/>
                <w:szCs w:val="20"/>
                <w:color w:val="auto"/>
              </w:rPr>
            </w:pPr>
          </w:p>
        </w:tc>
        <w:tc>
          <w:tcPr>
            <w:tcW w:w="100" w:type="dxa"/>
            <w:vAlign w:val="bottom"/>
            <w:shd w:val="clear" w:color="auto" w:fill="D2EDFE"/>
          </w:tcPr>
          <w:p>
            <w:pPr>
              <w:spacing w:after="0"/>
              <w:rPr>
                <w:sz w:val="20"/>
                <w:szCs w:val="20"/>
                <w:color w:val="auto"/>
              </w:rPr>
            </w:pPr>
          </w:p>
        </w:tc>
        <w:tc>
          <w:tcPr>
            <w:tcW w:w="1380" w:type="dxa"/>
            <w:vAlign w:val="bottom"/>
            <w:shd w:val="clear" w:color="auto" w:fill="D2EDFE"/>
          </w:tcPr>
          <w:p>
            <w:pPr>
              <w:spacing w:after="0"/>
              <w:rPr>
                <w:sz w:val="20"/>
                <w:szCs w:val="20"/>
                <w:color w:val="auto"/>
              </w:rPr>
            </w:pPr>
          </w:p>
        </w:tc>
        <w:tc>
          <w:tcPr>
            <w:tcW w:w="100" w:type="dxa"/>
            <w:vAlign w:val="bottom"/>
            <w:shd w:val="clear" w:color="auto" w:fill="D2EDFE"/>
          </w:tcPr>
          <w:p>
            <w:pPr>
              <w:spacing w:after="0"/>
              <w:rPr>
                <w:sz w:val="20"/>
                <w:szCs w:val="20"/>
                <w:color w:val="auto"/>
              </w:rPr>
            </w:pPr>
          </w:p>
        </w:tc>
        <w:tc>
          <w:tcPr>
            <w:tcW w:w="340" w:type="dxa"/>
            <w:vAlign w:val="bottom"/>
            <w:shd w:val="clear" w:color="auto" w:fill="D2EDFE"/>
          </w:tcPr>
          <w:p>
            <w:pPr>
              <w:spacing w:after="0"/>
              <w:rPr>
                <w:sz w:val="20"/>
                <w:szCs w:val="20"/>
                <w:color w:val="auto"/>
              </w:rPr>
            </w:pPr>
          </w:p>
        </w:tc>
        <w:tc>
          <w:tcPr>
            <w:tcW w:w="1140" w:type="dxa"/>
            <w:vAlign w:val="bottom"/>
            <w:shd w:val="clear" w:color="auto" w:fill="D2EDF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and option exercises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19,314</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D2EDFE"/>
            </w:tcBorders>
          </w:tcPr>
          <w:p>
            <w:pPr>
              <w:ind w:left="200"/>
              <w:spacing w:after="0"/>
              <w:rPr>
                <w:sz w:val="20"/>
                <w:szCs w:val="20"/>
                <w:color w:val="auto"/>
              </w:rPr>
            </w:pPr>
            <w:r>
              <w:rPr>
                <w:rFonts w:ascii="Times New Roman" w:cs="Times New Roman" w:eastAsia="Times New Roman" w:hAnsi="Times New Roman"/>
                <w:sz w:val="18"/>
                <w:szCs w:val="18"/>
                <w:color w:val="auto"/>
              </w:rPr>
              <w:t>Other items (1)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D2EDFE"/>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D2EDFE"/>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D2EDFE"/>
            </w:tcBorders>
            <w:shd w:val="clear" w:color="auto" w:fill="D2EDFE"/>
          </w:tcPr>
          <w:p>
            <w:pPr>
              <w:ind w:left="200"/>
              <w:spacing w:after="0"/>
              <w:rPr>
                <w:sz w:val="20"/>
                <w:szCs w:val="20"/>
                <w:color w:val="auto"/>
              </w:rPr>
            </w:pPr>
            <w:r>
              <w:rPr>
                <w:rFonts w:ascii="Times New Roman" w:cs="Times New Roman" w:eastAsia="Times New Roman" w:hAnsi="Times New Roman"/>
                <w:sz w:val="18"/>
                <w:szCs w:val="18"/>
                <w:color w:val="auto"/>
              </w:rPr>
              <w:t>Adjusted Gross Profit</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864,878</w:t>
            </w:r>
          </w:p>
        </w:tc>
        <w:tc>
          <w:tcPr>
            <w:tcW w:w="100" w:type="dxa"/>
            <w:vAlign w:val="bottom"/>
            <w:tcBorders>
              <w:bottom w:val="single" w:sz="8" w:color="D2EDFE"/>
            </w:tcBorders>
            <w:shd w:val="clear" w:color="auto" w:fill="D2EDFE"/>
          </w:tcPr>
          <w:p>
            <w:pPr>
              <w:spacing w:after="0"/>
              <w:rPr>
                <w:sz w:val="24"/>
                <w:szCs w:val="24"/>
                <w:color w:val="auto"/>
              </w:rPr>
            </w:pPr>
          </w:p>
        </w:tc>
        <w:tc>
          <w:tcPr>
            <w:tcW w:w="1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1,034,758</w:t>
            </w:r>
          </w:p>
        </w:tc>
        <w:tc>
          <w:tcPr>
            <w:tcW w:w="100" w:type="dxa"/>
            <w:vAlign w:val="bottom"/>
            <w:tcBorders>
              <w:bottom w:val="single" w:sz="8" w:color="D2EDFE"/>
            </w:tcBorders>
            <w:shd w:val="clear" w:color="auto" w:fill="D2EDFE"/>
          </w:tcPr>
          <w:p>
            <w:pPr>
              <w:spacing w:after="0"/>
              <w:rPr>
                <w:sz w:val="24"/>
                <w:szCs w:val="24"/>
                <w:color w:val="auto"/>
              </w:rPr>
            </w:pP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1,193,793</w:t>
            </w:r>
          </w:p>
        </w:tc>
        <w:tc>
          <w:tcPr>
            <w:tcW w:w="0" w:type="dxa"/>
            <w:vAlign w:val="bottom"/>
          </w:tcPr>
          <w:p>
            <w:pPr>
              <w:spacing w:after="0"/>
              <w:rPr>
                <w:sz w:val="1"/>
                <w:szCs w:val="1"/>
                <w:color w:val="auto"/>
              </w:rPr>
            </w:pPr>
          </w:p>
        </w:tc>
      </w:tr>
      <w:tr>
        <w:trPr>
          <w:trHeight w:val="20"/>
        </w:trPr>
        <w:tc>
          <w:tcPr>
            <w:tcW w:w="6600" w:type="dxa"/>
            <w:vAlign w:val="bottom"/>
            <w:tcBorders>
              <w:top w:val="single" w:sz="8" w:color="D2EDFE"/>
              <w:bottom w:val="single" w:sz="8" w:color="D2EDFE"/>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00" w:type="dxa"/>
            <w:vAlign w:val="bottom"/>
            <w:tcBorders>
              <w:top w:val="single" w:sz="8" w:color="D2EDFE"/>
              <w:bottom w:val="single" w:sz="8" w:color="auto"/>
            </w:tcBorders>
          </w:tcPr>
          <w:p>
            <w:pPr>
              <w:spacing w:after="0" w:line="20" w:lineRule="exact"/>
              <w:rPr>
                <w:sz w:val="1"/>
                <w:szCs w:val="1"/>
                <w:color w:val="auto"/>
              </w:rPr>
            </w:pPr>
          </w:p>
        </w:tc>
        <w:tc>
          <w:tcPr>
            <w:tcW w:w="138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99,636</w:t>
            </w:r>
          </w:p>
        </w:tc>
      </w:tr>
      <w:tr>
        <w:trPr>
          <w:trHeight w:val="243"/>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421,752</w:t>
            </w:r>
          </w:p>
        </w:tc>
      </w:tr>
      <w:tr>
        <w:trPr>
          <w:trHeight w:val="23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150,063</w:t>
            </w: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option exercises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582,997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8"/>
        <w:spacing w:after="0" w:line="282" w:lineRule="auto"/>
        <w:tabs>
          <w:tab w:leader="none" w:pos="3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acquisition-related costs and severance cost adjustments related to certain roles that have been eliminated. We exclude one-off severance costs that we incur as part of the normal course of our business operations.</w:t>
      </w:r>
    </w:p>
    <w:p>
      <w:pPr>
        <w:spacing w:after="0" w:line="53" w:lineRule="exact"/>
        <w:rPr>
          <w:rFonts w:ascii="Times New Roman" w:cs="Times New Roman" w:eastAsia="Times New Roman" w:hAnsi="Times New Roman"/>
          <w:sz w:val="18"/>
          <w:szCs w:val="18"/>
          <w:color w:val="auto"/>
        </w:rPr>
      </w:pPr>
    </w:p>
    <w:p>
      <w:pPr>
        <w:ind w:right="600" w:firstLine="8"/>
        <w:spacing w:after="0" w:line="282" w:lineRule="auto"/>
        <w:tabs>
          <w:tab w:leader="none" w:pos="3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nonrecurring transaction-related costs, lease exit activity and severance costs related to certain roles that have been eliminated. We exclude one-off severance costs that we incur as part of the normal course of our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recurring and other revenue from ongoing subscriptions to our cloud-based software solutions, which are recurring in nature.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software solutions. Implementations of our solutions typically require one to eight weeks, depending on the size and complexity of each client, at which point the new client’s payroll is first processed using our solution. Our average client size has continued to be over 150 employees.</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Recurring and other revenue accounted for approximately 93%, 91% and 92% of our total revenues during the years ended June 30, 2023, 2024 and 2025, respectively.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from clients in advance of performing payroll, payroll tax filing and spend management services on behalf of those clients. Until these funds are remitted to the respective payees,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acquired intangibles and bank fees associated with client fund transfers. Costs related to recurring support are generally expensed as incurred. Implementation costs related to our proprietary products are capitalized and generally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$31.4 million, $45.2 million and $59.9 million of capitalized internal-use software costs in fiscal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and generally amortize them over a period of 7 years.</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2023, 2024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75,853</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281,704</w:t>
            </w:r>
          </w:p>
        </w:tc>
      </w:tr>
    </w:tbl>
    <w:p>
      <w:pPr>
        <w:spacing w:after="0" w:line="2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interest expense related to our revolving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1,098,036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1,471,801</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123,420</w:t>
            </w:r>
          </w:p>
        </w:tc>
        <w:tc>
          <w:tcPr>
            <w:tcW w:w="0" w:type="dxa"/>
            <w:vAlign w:val="bottom"/>
          </w:tcPr>
          <w:p>
            <w:pPr>
              <w:spacing w:after="0"/>
              <w:rPr>
                <w:sz w:val="1"/>
                <w:szCs w:val="1"/>
                <w:color w:val="auto"/>
              </w:rPr>
            </w:pPr>
          </w:p>
        </w:tc>
      </w:tr>
      <w:tr>
        <w:trPr>
          <w:trHeight w:val="25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1,174,598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1,595,221</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367,039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498,223</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807,559</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960,786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1,096,998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296,716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374,216</w:t>
            </w:r>
          </w:p>
        </w:tc>
        <w:tc>
          <w:tcPr>
            <w:tcW w:w="0" w:type="dxa"/>
            <w:vAlign w:val="bottom"/>
          </w:tcPr>
          <w:p>
            <w:pPr>
              <w:spacing w:after="0"/>
              <w:rPr>
                <w:sz w:val="1"/>
                <w:szCs w:val="1"/>
                <w:color w:val="auto"/>
              </w:rPr>
            </w:pPr>
          </w:p>
        </w:tc>
      </w:tr>
      <w:tr>
        <w:trPr>
          <w:trHeight w:val="250"/>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205,851</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191,823</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212,907</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652,533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792,974</w:t>
            </w:r>
          </w:p>
        </w:tc>
        <w:tc>
          <w:tcPr>
            <w:tcW w:w="0" w:type="dxa"/>
            <w:vAlign w:val="bottom"/>
          </w:tcPr>
          <w:p>
            <w:pPr>
              <w:spacing w:after="0"/>
              <w:rPr>
                <w:sz w:val="1"/>
                <w:szCs w:val="1"/>
                <w:color w:val="auto"/>
              </w:rPr>
            </w:pPr>
          </w:p>
        </w:tc>
      </w:tr>
      <w:tr>
        <w:trPr>
          <w:trHeight w:val="25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304,024</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309,063</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81,936</w:t>
            </w:r>
          </w:p>
        </w:tc>
        <w:tc>
          <w:tcPr>
            <w:tcW w:w="0" w:type="dxa"/>
            <w:vAlign w:val="bottom"/>
          </w:tcPr>
          <w:p>
            <w:pPr>
              <w:spacing w:after="0"/>
              <w:rPr>
                <w:sz w:val="1"/>
                <w:szCs w:val="1"/>
                <w:color w:val="auto"/>
              </w:rPr>
            </w:pPr>
          </w:p>
        </w:tc>
      </w:tr>
      <w:tr>
        <w:trPr>
          <w:trHeight w:val="27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227,127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 for each of the periods indicated.</w:t>
      </w:r>
    </w:p>
    <w:p>
      <w:pPr>
        <w:spacing w:after="0" w:line="27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29489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gridSpan w:val="2"/>
          </w:tcPr>
          <w:p>
            <w:pPr>
              <w:ind w:left="7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63"/>
        </w:trPr>
        <w:tc>
          <w:tcPr>
            <w:tcW w:w="7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7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7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57"/>
        </w:trPr>
        <w:tc>
          <w:tcPr>
            <w:tcW w:w="7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6"/>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Ended June 30, 2024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 from 2024 to 2025</w:t>
            </w:r>
          </w:p>
        </w:tc>
      </w:tr>
      <w:tr>
        <w:trPr>
          <w:trHeight w:val="23"/>
        </w:trPr>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960" w:type="dxa"/>
            <w:vAlign w:val="bottom"/>
            <w:tcBorders>
              <w:bottom w:val="single" w:sz="8" w:color="D2EDF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9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1,098,036</w:t>
            </w:r>
          </w:p>
        </w:tc>
        <w:tc>
          <w:tcPr>
            <w:tcW w:w="38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1,281,680</w:t>
            </w:r>
          </w:p>
        </w:tc>
        <w:tc>
          <w:tcPr>
            <w:tcW w:w="100" w:type="dxa"/>
            <w:vAlign w:val="bottom"/>
            <w:shd w:val="clear" w:color="auto" w:fill="D2EDFE"/>
          </w:tcPr>
          <w:p>
            <w:pPr>
              <w:spacing w:after="0"/>
              <w:rPr>
                <w:sz w:val="21"/>
                <w:szCs w:val="21"/>
                <w:color w:val="auto"/>
              </w:rPr>
            </w:pPr>
          </w:p>
        </w:tc>
        <w:tc>
          <w:tcPr>
            <w:tcW w:w="300" w:type="dxa"/>
            <w:vAlign w:val="bottom"/>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1,471,801</w:t>
            </w:r>
          </w:p>
        </w:tc>
        <w:tc>
          <w:tcPr>
            <w:tcW w:w="100" w:type="dxa"/>
            <w:vAlign w:val="bottom"/>
            <w:shd w:val="clear" w:color="auto" w:fill="D2EDFE"/>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183,644</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3260" w:type="dxa"/>
            <w:vAlign w:val="bottom"/>
            <w:gridSpan w:val="2"/>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Interest income on funds held for clients $</w:t>
            </w: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76,562</w:t>
            </w:r>
          </w:p>
        </w:tc>
        <w:tc>
          <w:tcPr>
            <w:tcW w:w="38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120,835</w:t>
            </w:r>
          </w:p>
        </w:tc>
        <w:tc>
          <w:tcPr>
            <w:tcW w:w="100" w:type="dxa"/>
            <w:vAlign w:val="bottom"/>
            <w:shd w:val="clear" w:color="auto" w:fill="D2EDFE"/>
          </w:tcPr>
          <w:p>
            <w:pPr>
              <w:spacing w:after="0"/>
              <w:rPr>
                <w:sz w:val="22"/>
                <w:szCs w:val="22"/>
                <w:color w:val="auto"/>
              </w:rPr>
            </w:pPr>
          </w:p>
        </w:tc>
        <w:tc>
          <w:tcPr>
            <w:tcW w:w="300" w:type="dxa"/>
            <w:vAlign w:val="bottom"/>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123,420</w:t>
            </w:r>
          </w:p>
        </w:tc>
        <w:tc>
          <w:tcPr>
            <w:tcW w:w="100" w:type="dxa"/>
            <w:vAlign w:val="bottom"/>
            <w:shd w:val="clear" w:color="auto" w:fill="D2EDFE"/>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44,273</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D2EDFE"/>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Recurring and other revenue for the year ended June 30, 2025 increased by $190.1 million, or 15%, to $1,471.8 million from $1,281.7 million for the year ended June 30, 2024. Recurring and other revenue increased primarily as a result of incremental revenues from new and existing clients due to the strong performance by our sales team and continued annual revenue retention in excess of 92%. Excluding clients acquired through acquisitions, the number of clients using our software solutions at June 30, 2025 increased by 7% to approximately 41,650 from approximately 39,050 at June 30, 2024.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year ended June 30, 2025 increased by $2.6 million, or 2%, to $123.4 million from $120.8 million for the year ended June 30, 2024. Interest income on funds held for clients increased slightly, as the positive impact from higher average daily balances of funds held for new and existing clients was mostly offset by lower interest rates as compared to the prior fiscal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2024 to 2025</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367,039</w:t>
            </w:r>
          </w:p>
        </w:tc>
        <w:tc>
          <w:tcPr>
            <w:tcW w:w="36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441,729</w:t>
            </w:r>
          </w:p>
        </w:tc>
        <w:tc>
          <w:tcPr>
            <w:tcW w:w="100" w:type="dxa"/>
            <w:vAlign w:val="bottom"/>
            <w:shd w:val="clear" w:color="auto" w:fill="D2EDFE"/>
          </w:tcPr>
          <w:p>
            <w:pPr>
              <w:spacing w:after="0"/>
              <w:rPr>
                <w:sz w:val="21"/>
                <w:szCs w:val="21"/>
                <w:color w:val="auto"/>
              </w:rPr>
            </w:pP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498,223</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74,690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56,494</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7"/>
        </w:trPr>
        <w:tc>
          <w:tcPr>
            <w:tcW w:w="3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60" w:type="dxa"/>
            <w:vAlign w:val="bottom"/>
            <w:shd w:val="clear" w:color="auto" w:fill="D2EDFE"/>
          </w:tcPr>
          <w:p>
            <w:pPr>
              <w:spacing w:after="0"/>
              <w:rPr>
                <w:sz w:val="24"/>
                <w:szCs w:val="24"/>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D2EDFE"/>
          </w:tcPr>
          <w:p>
            <w:pPr>
              <w:spacing w:after="0"/>
              <w:rPr>
                <w:sz w:val="24"/>
                <w:szCs w:val="24"/>
                <w:color w:val="auto"/>
              </w:rPr>
            </w:pPr>
          </w:p>
        </w:tc>
        <w:tc>
          <w:tcPr>
            <w:tcW w:w="280" w:type="dxa"/>
            <w:vAlign w:val="bottom"/>
            <w:shd w:val="clear" w:color="auto" w:fill="D2EDFE"/>
          </w:tcPr>
          <w:p>
            <w:pPr>
              <w:spacing w:after="0"/>
              <w:rPr>
                <w:sz w:val="24"/>
                <w:szCs w:val="24"/>
                <w:color w:val="auto"/>
              </w:rPr>
            </w:pPr>
          </w:p>
        </w:tc>
        <w:tc>
          <w:tcPr>
            <w:tcW w:w="8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D2EDFE"/>
          </w:tcPr>
          <w:p>
            <w:pPr>
              <w:spacing w:after="0"/>
              <w:rPr>
                <w:sz w:val="24"/>
                <w:szCs w:val="24"/>
                <w:color w:val="auto"/>
              </w:rPr>
            </w:pPr>
          </w:p>
        </w:tc>
        <w:tc>
          <w:tcPr>
            <w:tcW w:w="260" w:type="dxa"/>
            <w:vAlign w:val="bottom"/>
            <w:shd w:val="clear" w:color="auto" w:fill="D2EDFE"/>
          </w:tcPr>
          <w:p>
            <w:pPr>
              <w:spacing w:after="0"/>
              <w:rPr>
                <w:sz w:val="24"/>
                <w:szCs w:val="24"/>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D2EDFE"/>
          </w:tcPr>
          <w:p>
            <w:pPr>
              <w:spacing w:after="0"/>
              <w:rPr>
                <w:sz w:val="24"/>
                <w:szCs w:val="24"/>
                <w:color w:val="auto"/>
              </w:rPr>
            </w:pPr>
          </w:p>
        </w:tc>
        <w:tc>
          <w:tcPr>
            <w:tcW w:w="180" w:type="dxa"/>
            <w:vAlign w:val="bottom"/>
            <w:shd w:val="clear" w:color="auto" w:fill="D2EDFE"/>
          </w:tcPr>
          <w:p>
            <w:pPr>
              <w:spacing w:after="0"/>
              <w:rPr>
                <w:sz w:val="24"/>
                <w:szCs w:val="24"/>
                <w:color w:val="auto"/>
              </w:rPr>
            </w:pPr>
          </w:p>
        </w:tc>
        <w:tc>
          <w:tcPr>
            <w:tcW w:w="840" w:type="dxa"/>
            <w:vAlign w:val="bottom"/>
            <w:shd w:val="clear" w:color="auto" w:fill="D2EDFE"/>
          </w:tcPr>
          <w:p>
            <w:pPr>
              <w:spacing w:after="0"/>
              <w:rPr>
                <w:sz w:val="24"/>
                <w:szCs w:val="24"/>
                <w:color w:val="auto"/>
              </w:rPr>
            </w:pPr>
          </w:p>
        </w:tc>
        <w:tc>
          <w:tcPr>
            <w:tcW w:w="100" w:type="dxa"/>
            <w:vAlign w:val="bottom"/>
            <w:shd w:val="clear" w:color="auto" w:fill="D2EDFE"/>
          </w:tcPr>
          <w:p>
            <w:pPr>
              <w:spacing w:after="0"/>
              <w:rPr>
                <w:sz w:val="24"/>
                <w:szCs w:val="24"/>
                <w:color w:val="auto"/>
              </w:rPr>
            </w:pPr>
          </w:p>
        </w:tc>
        <w:tc>
          <w:tcPr>
            <w:tcW w:w="1000" w:type="dxa"/>
            <w:vAlign w:val="bottom"/>
            <w:shd w:val="clear" w:color="auto" w:fill="D2EDFE"/>
          </w:tcPr>
          <w:p>
            <w:pPr>
              <w:spacing w:after="0"/>
              <w:rPr>
                <w:sz w:val="24"/>
                <w:szCs w:val="24"/>
                <w:color w:val="auto"/>
              </w:rPr>
            </w:pPr>
          </w:p>
        </w:tc>
        <w:tc>
          <w:tcPr>
            <w:tcW w:w="100" w:type="dxa"/>
            <w:vAlign w:val="bottom"/>
            <w:shd w:val="clear" w:color="auto" w:fill="D2EDFE"/>
          </w:tcPr>
          <w:p>
            <w:pPr>
              <w:spacing w:after="0"/>
              <w:rPr>
                <w:sz w:val="24"/>
                <w:szCs w:val="24"/>
                <w:color w:val="auto"/>
              </w:rPr>
            </w:pPr>
          </w:p>
        </w:tc>
        <w:tc>
          <w:tcPr>
            <w:tcW w:w="180" w:type="dxa"/>
            <w:vAlign w:val="bottom"/>
            <w:shd w:val="clear" w:color="auto" w:fill="D2EDFE"/>
          </w:tcPr>
          <w:p>
            <w:pPr>
              <w:spacing w:after="0"/>
              <w:rPr>
                <w:sz w:val="24"/>
                <w:szCs w:val="24"/>
                <w:color w:val="auto"/>
              </w:rPr>
            </w:pPr>
          </w:p>
        </w:tc>
        <w:tc>
          <w:tcPr>
            <w:tcW w:w="840" w:type="dxa"/>
            <w:vAlign w:val="bottom"/>
            <w:shd w:val="clear" w:color="auto" w:fill="D2EDFE"/>
          </w:tcPr>
          <w:p>
            <w:pPr>
              <w:spacing w:after="0"/>
              <w:rPr>
                <w:sz w:val="24"/>
                <w:szCs w:val="24"/>
                <w:color w:val="auto"/>
              </w:rPr>
            </w:pPr>
          </w:p>
        </w:tc>
        <w:tc>
          <w:tcPr>
            <w:tcW w:w="80" w:type="dxa"/>
            <w:vAlign w:val="bottom"/>
            <w:shd w:val="clear" w:color="auto" w:fill="D2EDFE"/>
          </w:tcPr>
          <w:p>
            <w:pPr>
              <w:spacing w:after="0"/>
              <w:rPr>
                <w:sz w:val="24"/>
                <w:szCs w:val="24"/>
                <w:color w:val="auto"/>
              </w:rPr>
            </w:pPr>
          </w:p>
        </w:tc>
        <w:tc>
          <w:tcPr>
            <w:tcW w:w="1020" w:type="dxa"/>
            <w:vAlign w:val="bottom"/>
            <w:shd w:val="clear" w:color="auto" w:fill="D2EDFE"/>
          </w:tcPr>
          <w:p>
            <w:pPr>
              <w:spacing w:after="0"/>
              <w:rPr>
                <w:sz w:val="24"/>
                <w:szCs w:val="24"/>
                <w:color w:val="auto"/>
              </w:rPr>
            </w:pPr>
          </w:p>
        </w:tc>
      </w:tr>
    </w:tbl>
    <w:p>
      <w:pPr>
        <w:spacing w:after="0" w:line="2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year ended June 30, 2025 increased by $56.5 million, or 13%, to $498.2 million from $441.7 million for the year ended June 30, 2024. Cost of revenues increased primarily as a result of the continued growth of our business, in particular, $22.1 million in additional employee-related costs, $14.7 million in increased internal-use software amortization, $12.6 million in additional processing and delivery related costs and $8.3 million in increased amortization of certain acquired intangible assets. Gross profit margin was 69% for both years ended June 30, 2024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2024 to 2025</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296,716</w:t>
            </w:r>
          </w:p>
        </w:tc>
        <w:tc>
          <w:tcPr>
            <w:tcW w:w="36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334,954</w:t>
            </w:r>
          </w:p>
        </w:tc>
        <w:tc>
          <w:tcPr>
            <w:tcW w:w="100" w:type="dxa"/>
            <w:vAlign w:val="bottom"/>
            <w:shd w:val="clear" w:color="auto" w:fill="D2EDFE"/>
          </w:tcPr>
          <w:p>
            <w:pPr>
              <w:spacing w:after="0"/>
              <w:rPr>
                <w:sz w:val="21"/>
                <w:szCs w:val="21"/>
                <w:color w:val="auto"/>
              </w:rPr>
            </w:pP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374,216</w:t>
            </w:r>
          </w:p>
        </w:tc>
        <w:tc>
          <w:tcPr>
            <w:tcW w:w="80" w:type="dxa"/>
            <w:vAlign w:val="bottom"/>
            <w:shd w:val="clear" w:color="auto" w:fill="D2EDFE"/>
          </w:tcPr>
          <w:p>
            <w:pPr>
              <w:spacing w:after="0"/>
              <w:rPr>
                <w:sz w:val="21"/>
                <w:szCs w:val="21"/>
                <w:color w:val="auto"/>
              </w:rPr>
            </w:pPr>
          </w:p>
        </w:tc>
        <w:tc>
          <w:tcPr>
            <w:tcW w:w="1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DFE"/>
          </w:tcPr>
          <w:p>
            <w:pPr>
              <w:ind w:left="300"/>
              <w:spacing w:after="0"/>
              <w:rPr>
                <w:sz w:val="20"/>
                <w:szCs w:val="20"/>
                <w:color w:val="auto"/>
              </w:rPr>
            </w:pPr>
            <w:r>
              <w:rPr>
                <w:rFonts w:ascii="Times New Roman" w:cs="Times New Roman" w:eastAsia="Times New Roman" w:hAnsi="Times New Roman"/>
                <w:sz w:val="18"/>
                <w:szCs w:val="18"/>
                <w:color w:val="auto"/>
              </w:rPr>
              <w:t>38,238</w:t>
            </w:r>
          </w:p>
        </w:tc>
        <w:tc>
          <w:tcPr>
            <w:tcW w:w="100" w:type="dxa"/>
            <w:vAlign w:val="bottom"/>
            <w:shd w:val="clear" w:color="auto" w:fill="D2EDFE"/>
          </w:tcPr>
          <w:p>
            <w:pPr>
              <w:spacing w:after="0"/>
              <w:rPr>
                <w:sz w:val="21"/>
                <w:szCs w:val="21"/>
                <w:color w:val="auto"/>
              </w:rPr>
            </w:pPr>
          </w:p>
        </w:tc>
        <w:tc>
          <w:tcPr>
            <w:tcW w:w="1280" w:type="dxa"/>
            <w:vAlign w:val="bottom"/>
            <w:gridSpan w:val="3"/>
            <w:shd w:val="clear" w:color="auto" w:fill="D2EDFE"/>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840" w:type="dxa"/>
            <w:vAlign w:val="bottom"/>
            <w:shd w:val="clear" w:color="auto" w:fill="D2EDFE"/>
          </w:tcPr>
          <w:p>
            <w:pPr>
              <w:ind w:left="300"/>
              <w:spacing w:after="0"/>
              <w:rPr>
                <w:sz w:val="20"/>
                <w:szCs w:val="20"/>
                <w:color w:val="auto"/>
              </w:rPr>
            </w:pPr>
            <w:r>
              <w:rPr>
                <w:rFonts w:ascii="Times New Roman" w:cs="Times New Roman" w:eastAsia="Times New Roman" w:hAnsi="Times New Roman"/>
                <w:sz w:val="18"/>
                <w:szCs w:val="18"/>
                <w:color w:val="auto"/>
              </w:rPr>
              <w:t>39,262</w:t>
            </w:r>
          </w:p>
        </w:tc>
        <w:tc>
          <w:tcPr>
            <w:tcW w:w="80" w:type="dxa"/>
            <w:vAlign w:val="bottom"/>
            <w:shd w:val="clear" w:color="auto" w:fill="D2EDFE"/>
          </w:tcPr>
          <w:p>
            <w:pPr>
              <w:spacing w:after="0"/>
              <w:rPr>
                <w:sz w:val="21"/>
                <w:szCs w:val="21"/>
                <w:color w:val="auto"/>
              </w:rPr>
            </w:pPr>
          </w:p>
        </w:tc>
        <w:tc>
          <w:tcPr>
            <w:tcW w:w="10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1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year ended June 30, 2025 increased by $39.3 million, or 12%, to $374.2 million from $335.0 million for the year ended June 30, 2024. The increase in sales and marketing expense was primarily due to $36.8 million of additional employee-related costs, including those incurred to expand our sales team.</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2024 to 2025</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80" w:type="dxa"/>
            <w:vAlign w:val="bottom"/>
            <w:shd w:val="clear" w:color="auto" w:fill="D2EDFE"/>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10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205,851</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14,339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27,518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1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year ended June 30, 2025 increased by $27.5 million, or 15%, to $205.9 million from $178.3 million for the year ended June 30, 2024. The increase in research and development expenses was primarily due to $25.7 million of additional employee-related costs related to additional development personnel.</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2024 to 2025</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191,823</w:t>
            </w:r>
          </w:p>
        </w:tc>
        <w:tc>
          <w:tcPr>
            <w:tcW w:w="80" w:type="dxa"/>
            <w:vAlign w:val="bottom"/>
            <w:shd w:val="clear" w:color="auto" w:fill="D2EDFE"/>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187,406</w:t>
            </w:r>
          </w:p>
        </w:tc>
        <w:tc>
          <w:tcPr>
            <w:tcW w:w="10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212,907</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25,501</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1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year ended June 30, 2025 increased by $25.5 million, or 14%, to $212.9 million from $187.4 million for the year ended June 30, 2024. The increase in general and administrative expenses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was primarily due to $14.3 million of additional employee-related costs and a $4.3 million gain related to lease exit activity during the year ended June 30, 2024.</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4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year ended June 30, 2025 decreased by $11.9 million as compared to the year ended June 30, 2024. The change in other income was primarily due to $12.3 million in additional interest expense related to borrowings under our revolving credit facility.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effective tax rates were 25.4% and 26.5% for the years ended June 30, 2024 and 2025, respectively. Our effective tax rates for the years ended June 30, 2024 and 2025 were higher than the federal statutory rate of 21% primarily due to state income taxes.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See Note 14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apply Accounting Standards Codification (“ASC”) 606, Revenue from Contracts with Customers (“Topic 606”), whereby we recognize revenue when we transfer control of goods or services to our customers in an amount that reflects the consideration to which we expect to be entitled to for those goods or services. We derive our revenue from contracts with clients substantially all from recurring service fees. Recurring fees are mostly derived from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performance obligations related to recurring services are generally satisfied monthly as services are provided, with fees charged and collected based on a per-employee-per-month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certain optional performance obligations that are satisfied at a point in time including the sales of time clocks and W-2 preparation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Implementation services and other consist mainly of nonrefundable implementation fees, which involve setting up the client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apply ASC 350-40, Intangibles—Goodwill and Other—Internal-Use Software,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Internal-use software is amortized on a straight-line basis, generally over a two- to three-year period while certain projects that support our main processing activities are amortized over ten years. We evaluate the useful lives of these assets on an annual basis and test for impairment whenever events or changes in circumstances occur that could impact the recoverability of these assets. There was no impairment to capitalized internal-use software during the years ended June 30, 2023, 2024 or 2025. We capitalized $55.6 million, $75.5 million and $75.9 million of internal-use software costs for the years ended June 30, 2023, 2024 and 2025, respectively, including stock-based compensation costs of $11.9 million, $14.4 million and $13.0 million for the years ended June 30, 2023, 2024 and 2025, respectively. We amortized $31.4 million, $45.2 million and $59.9 million of capitalized internal-use software costs for the years ended June 30, 2023, 2024 and 2025, respectively.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include the results of businesses acquired in our consolidated financial statements from the date of acquisition. We allocate the purchase price consideration associated with our acquisitions to the fair values of assets acquired and liabilities assumed at their respective acquisition dates, with the excess recorded to goodwill. The purchase price allocations require us to make significant judgments and estimates in determining such fair values, particularly related to the proprietary technology intangible asset. Such estimates used in valuation methodologies can include, but are not limited to,</w:t>
      </w:r>
    </w:p>
    <w:p>
      <w:pPr>
        <w:spacing w:after="0" w:line="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forecasted revenue growth rates, royalty rates, technology migration rates and required rate of return. These estimates are inherently uncertain and may be refined over the measurement period. Adjustments to the fair values of assets acquired and liabilities assumed may be recorded during the measurement period, which may be up to one year from the acquisition date, with the corresponding offset to goodwill.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June 30, 2025, our principal sources of liquidity were $398.1 million of cash and cash equivalents. We maintain a credit agreement which provides for a $550.0 million revolving credit facility which may be increased up to $825.0 million. No amounts were</w:t>
      </w:r>
    </w:p>
    <w:p>
      <w:pPr>
        <w:spacing w:after="0"/>
        <w:rPr>
          <w:sz w:val="20"/>
          <w:szCs w:val="20"/>
          <w:color w:val="auto"/>
        </w:rPr>
      </w:pPr>
      <w:r>
        <w:rPr>
          <w:rFonts w:ascii="Times New Roman" w:cs="Times New Roman" w:eastAsia="Times New Roman" w:hAnsi="Times New Roman"/>
          <w:sz w:val="18"/>
          <w:szCs w:val="18"/>
          <w:color w:val="auto"/>
        </w:rPr>
        <w:t>drawn on the revolving credit facility as of June 30, 2024. In September 2024, we borrowed $325.0 million under this credit facility to fund the October</w:t>
      </w:r>
    </w:p>
    <w:p>
      <w:pPr>
        <w:spacing w:after="0" w:line="5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2024 acquisition of Airbase Inc. We had $162.5 million in outstanding borrowings under this credit facility at June 30, 2025, as we repaid $162.5 million during the second half of fiscal 2025. Refer to Notes 7 and 12 of the Notes to the Consolidated Financial Statements included in Part II, Item 8: “Financial Statements and Supplementary Data” for additional details on the Airbase acquisition and credit agreement, respectively.</w:t>
      </w:r>
    </w:p>
    <w:p>
      <w:pPr>
        <w:spacing w:after="0" w:line="203"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In April 2024, our board of directors authorized the repurchase of up to $500 million of our common stock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fiscal 2024, we repurchased an aggregate of 1.1 million shares for approximately $150.0 million at an average cost per share of $142.82 under the Repurchase Program. During fiscal 2025, we repurchased 0.8 million shares for approximately $149.6 million at an average cost per share of $190.16 under the Repurchase Program. In July 2025, our board of directors authorized an additional $500 million of our common stock for repurchase under the Repurchase Program. Refer to Notes 15 and 20 of the Notes to the Consolidated Financial Statements included in Part II, Item 8: “Financial Statements and Supplementary Data” for additional detail on our Repurchase Program.</w:t>
      </w:r>
    </w:p>
    <w:p>
      <w:pPr>
        <w:spacing w:after="0" w:line="19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debt issuances, asset-backed debt securities,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certificates of deposit, U.S. treasury securities, U.S. government agency securities and other securities with credit quality ratings of A-1 or higher and as well as in money market funds. As of June 30, 2025, we did not have any corporate investments classified as available-for-sale securities.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investments in our platform, data centers and general infrastructure, some of which may be significant.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payroll and spend management processing activities involve the movement of significant funds from accounts of clients to their employees, relevant taxing authorities and vendors. Funds held for clients and client fund obligations will vary substantially from period to period mostly as a result of the timing of payroll and payroll tax obligations due. Though we debit a client’s account prior to any disbursement on its behalf, there is a delay between when our payments are due and when the incoming funds from the client to cover these amounts payable actually clear into our operating accounts. We currently have agreements with various major U.S. banks to execute ACH and wire transfers to support our services. We believe we have sufficient capacity under these ACH arrangements to handle all transaction volumes for the foreseeable future. We primarily collect fees for our HCM and payroll services via ACH transactions at the same time we debit the client’s account for payroll and payroll tax obligations and thus are able to reduce collectability and accounts receivable risks.</w:t>
      </w:r>
    </w:p>
    <w:p>
      <w:pPr>
        <w:spacing w:after="0" w:line="192"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D2EDFE"/>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282,723</w:t>
            </w:r>
          </w:p>
        </w:tc>
        <w:tc>
          <w:tcPr>
            <w:tcW w:w="100" w:type="dxa"/>
            <w:vAlign w:val="bottom"/>
            <w:shd w:val="clear" w:color="auto" w:fill="D2EDFE"/>
          </w:tcPr>
          <w:p>
            <w:pPr>
              <w:spacing w:after="0"/>
              <w:rPr>
                <w:sz w:val="21"/>
                <w:szCs w:val="21"/>
                <w:color w:val="auto"/>
              </w:rPr>
            </w:pPr>
          </w:p>
        </w:tc>
        <w:tc>
          <w:tcPr>
            <w:tcW w:w="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384,670</w:t>
            </w:r>
          </w:p>
        </w:tc>
        <w:tc>
          <w:tcPr>
            <w:tcW w:w="100" w:type="dxa"/>
            <w:vAlign w:val="bottom"/>
            <w:shd w:val="clear" w:color="auto" w:fill="D2EDFE"/>
          </w:tcPr>
          <w:p>
            <w:pPr>
              <w:spacing w:after="0"/>
              <w:rPr>
                <w:sz w:val="21"/>
                <w:szCs w:val="21"/>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418,226</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(598,895)</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(304,465)</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(260,997)</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160,067</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(45,004)</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(60,726)</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(62,402)</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shd w:val="clear" w:color="auto" w:fill="D2EDFE"/>
          </w:tcPr>
          <w:p>
            <w:pPr>
              <w:spacing w:after="0"/>
              <w:rPr>
                <w:sz w:val="22"/>
                <w:szCs w:val="22"/>
                <w:color w:val="auto"/>
              </w:rPr>
            </w:pPr>
          </w:p>
        </w:tc>
        <w:tc>
          <w:tcPr>
            <w:tcW w:w="124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(277,851)</w:t>
            </w:r>
          </w:p>
        </w:tc>
      </w:tr>
      <w:tr>
        <w:trPr>
          <w:trHeight w:val="250"/>
        </w:trPr>
        <w:tc>
          <w:tcPr>
            <w:tcW w:w="6600" w:type="dxa"/>
            <w:vAlign w:val="bottom"/>
            <w:tcBorders>
              <w:bottom w:val="single" w:sz="8" w:color="D2EDFE"/>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D2EDF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D2EDFE"/>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57"/>
        </w:trPr>
        <w:tc>
          <w:tcPr>
            <w:tcW w:w="6600" w:type="dxa"/>
            <w:vAlign w:val="bottom"/>
            <w:shd w:val="clear" w:color="auto" w:fill="D2EDFE"/>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(220,162)</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(101,891)</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(455,548)</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(1,362,421)</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325,056</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(297,923)</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shd w:val="clear" w:color="auto" w:fill="D2EDFE"/>
          </w:tcPr>
          <w:p>
            <w:pPr>
              <w:spacing w:after="0"/>
              <w:rPr>
                <w:sz w:val="22"/>
                <w:szCs w:val="22"/>
                <w:color w:val="auto"/>
              </w:rPr>
            </w:pPr>
          </w:p>
        </w:tc>
        <w:tc>
          <w:tcPr>
            <w:tcW w:w="124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DFE"/>
          </w:tcPr>
          <w:p>
            <w:pPr>
              <w:spacing w:after="0"/>
              <w:rPr>
                <w:sz w:val="22"/>
                <w:szCs w:val="22"/>
                <w:color w:val="auto"/>
              </w:rPr>
            </w:pPr>
          </w:p>
        </w:tc>
        <w:tc>
          <w:tcPr>
            <w:tcW w:w="148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(162,500)</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340" w:type="dxa"/>
            <w:vAlign w:val="bottom"/>
          </w:tcPr>
          <w:p>
            <w:pPr>
              <w:spacing w:after="0"/>
              <w:rPr>
                <w:sz w:val="21"/>
                <w:szCs w:val="21"/>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(149,638)</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19,143</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19,682</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(60,034)</w:t>
            </w:r>
          </w:p>
        </w:tc>
      </w:tr>
      <w:tr>
        <w:trPr>
          <w:trHeight w:val="257"/>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D2EDFE"/>
          </w:tcPr>
          <w:p>
            <w:pPr>
              <w:spacing w:after="0"/>
              <w:rPr>
                <w:sz w:val="22"/>
                <w:szCs w:val="22"/>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D2EDFE"/>
          </w:tcPr>
          <w:p>
            <w:pPr>
              <w:spacing w:after="0"/>
              <w:rPr>
                <w:sz w:val="22"/>
                <w:szCs w:val="22"/>
                <w:color w:val="auto"/>
              </w:rPr>
            </w:pPr>
          </w:p>
        </w:tc>
        <w:tc>
          <w:tcPr>
            <w:tcW w:w="100" w:type="dxa"/>
            <w:vAlign w:val="bottom"/>
            <w:tcBorders>
              <w:bottom w:val="single" w:sz="8" w:color="auto"/>
            </w:tcBorders>
            <w:shd w:val="clear" w:color="auto" w:fill="D2EDFE"/>
          </w:tcPr>
          <w:p>
            <w:pPr>
              <w:spacing w:after="0"/>
              <w:rPr>
                <w:sz w:val="22"/>
                <w:szCs w:val="22"/>
                <w:color w:val="auto"/>
              </w:rPr>
            </w:pPr>
          </w:p>
        </w:tc>
        <w:tc>
          <w:tcPr>
            <w:tcW w:w="13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D2EDFE"/>
          </w:tcPr>
          <w:p>
            <w:pPr>
              <w:spacing w:after="0"/>
              <w:rPr>
                <w:sz w:val="22"/>
                <w:szCs w:val="22"/>
                <w:color w:val="auto"/>
              </w:rPr>
            </w:pPr>
          </w:p>
        </w:tc>
        <w:tc>
          <w:tcPr>
            <w:tcW w:w="340" w:type="dxa"/>
            <w:vAlign w:val="bottom"/>
            <w:tcBorders>
              <w:bottom w:val="single" w:sz="8" w:color="auto"/>
            </w:tcBorders>
            <w:shd w:val="clear" w:color="auto" w:fill="D2EDFE"/>
          </w:tcPr>
          <w:p>
            <w:pPr>
              <w:spacing w:after="0"/>
              <w:rPr>
                <w:sz w:val="22"/>
                <w:szCs w:val="22"/>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50"/>
        </w:trPr>
        <w:tc>
          <w:tcPr>
            <w:tcW w:w="6600" w:type="dxa"/>
            <w:vAlign w:val="bottom"/>
            <w:tcBorders>
              <w:bottom w:val="single" w:sz="8" w:color="D2EDFE"/>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(1,434,702)</w:t>
            </w:r>
          </w:p>
        </w:tc>
        <w:tc>
          <w:tcPr>
            <w:tcW w:w="100" w:type="dxa"/>
            <w:vAlign w:val="bottom"/>
            <w:tcBorders>
              <w:bottom w:val="single" w:sz="8" w:color="D2EDF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141,578</w:t>
            </w:r>
          </w:p>
        </w:tc>
        <w:tc>
          <w:tcPr>
            <w:tcW w:w="100" w:type="dxa"/>
            <w:vAlign w:val="bottom"/>
            <w:tcBorders>
              <w:bottom w:val="single" w:sz="8" w:color="D2EDFE"/>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(325,821)</w:t>
            </w:r>
          </w:p>
        </w:tc>
      </w:tr>
      <w:tr>
        <w:trPr>
          <w:trHeight w:val="281"/>
        </w:trPr>
        <w:tc>
          <w:tcPr>
            <w:tcW w:w="6600" w:type="dxa"/>
            <w:vAlign w:val="bottom"/>
            <w:tcBorders>
              <w:bottom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(1,372,141)</w:t>
            </w:r>
          </w:p>
        </w:tc>
        <w:tc>
          <w:tcPr>
            <w:tcW w:w="100" w:type="dxa"/>
            <w:vAlign w:val="bottom"/>
            <w:tcBorders>
              <w:bottom w:val="single" w:sz="8" w:color="D2EDFE"/>
            </w:tcBorders>
            <w:shd w:val="clear" w:color="auto" w:fill="D2EDFE"/>
          </w:tcPr>
          <w:p>
            <w:pPr>
              <w:spacing w:after="0"/>
              <w:rPr>
                <w:sz w:val="24"/>
                <w:szCs w:val="24"/>
                <w:color w:val="auto"/>
              </w:rPr>
            </w:pPr>
          </w:p>
        </w:tc>
        <w:tc>
          <w:tcPr>
            <w:tcW w:w="1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424,357</w:t>
            </w:r>
          </w:p>
        </w:tc>
        <w:tc>
          <w:tcPr>
            <w:tcW w:w="100" w:type="dxa"/>
            <w:vAlign w:val="bottom"/>
            <w:tcBorders>
              <w:bottom w:val="single" w:sz="8" w:color="D2EDFE"/>
            </w:tcBorders>
            <w:shd w:val="clear" w:color="auto" w:fill="D2EDFE"/>
          </w:tcPr>
          <w:p>
            <w:pPr>
              <w:spacing w:after="0"/>
              <w:rPr>
                <w:sz w:val="24"/>
                <w:szCs w:val="24"/>
                <w:color w:val="auto"/>
              </w:rPr>
            </w:pP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(363,143)</w:t>
            </w:r>
          </w:p>
        </w:tc>
      </w:tr>
      <w:tr>
        <w:trPr>
          <w:trHeight w:val="20"/>
        </w:trPr>
        <w:tc>
          <w:tcPr>
            <w:tcW w:w="660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00" w:type="dxa"/>
            <w:vAlign w:val="bottom"/>
            <w:tcBorders>
              <w:top w:val="single" w:sz="8" w:color="D2EDFE"/>
              <w:bottom w:val="single" w:sz="8" w:color="auto"/>
            </w:tcBorders>
          </w:tcPr>
          <w:p>
            <w:pPr>
              <w:spacing w:after="0" w:line="20" w:lineRule="exact"/>
              <w:rPr>
                <w:sz w:val="1"/>
                <w:szCs w:val="1"/>
                <w:color w:val="auto"/>
              </w:rPr>
            </w:pPr>
          </w:p>
        </w:tc>
        <w:tc>
          <w:tcPr>
            <w:tcW w:w="138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$282.7 million, $384.7 million and $418.2 million for the years ended June 30, 2023, 2024 and 2025, respectively.</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change in net cash provided by operating activities from fiscal 2024 to fiscal 2025 was primarily due to improved operating results after adjusting for non-cash items including stock-based compensation expense, depreciation and amortization expense and deferred income tax expense during the year ended June 30, 2025 as compared to the year ended June 30, 2024.</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$220.2 million, $101.9 million and $455.5 million, for the years ended June 30, 2023, 2024 and 2025, respectively. Net cash used in investing activities is significantly impacted by the timing of purchases and sales and maturities of investments as we may invest a portion of our excess cash and cash equivalents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from fiscal 2024 to fiscal 2025 was primarily due to $265.8 million in additional amounts paid for acquisitions, net of cash acquired, associated with the fiscal 2025 acquisition of Airbase. It was also attributable to $134.4 million in less proceeds from sales and maturities of available-for-sale securities, partially offset by $43.5 million in less purchases of available-for-sale securities as compared to the year ended June 30,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(used in) financing activities was $(1,434.7) million, $141.6 million and $(325.8) million for the years ended June 30, 2023, 2024 and 2025, respectively. The change in net cash provided by (used in) financing activities from fiscal 2024 to fiscal 2025 was primarily due to the change in client fund obligations of $623.0 million due to the timing of client funds collected and related remittance of those funds to client employees, taxing and other regulatory authorities and vendors during the year ended June 30, 2025 as compared to the year ended June 30, 2024. The change in client fund obligations was offset by $162.5 million in net borrowings on our credit facility as we borrowed $325.0 million in September 2024 to acquire Airbase of which we repaid $162.5 million during the year ended June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$21.9 million, $18.0 million and $13.1 million for the years ended June 30, 2023, 2024 and 2025, respectively, exclusive of capitalized internal-use software costs of $45.0 million, $60.7 million, and $62.4 million for the same periods,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At June 30, 2025, our principal commitments consist of $162.5 million in borrowings on our revolving credit facility, which is contractually not due in the next twelve months, and related interest payments, as well as $64.6 million in operating lease obligations, of which $11.0 million is due in the next twelve months. Refer to Note 13 of the Notes to the Consolidated Financial Statements included in Part II, Item 8: “Financial Statements and Supplementary Data” for additional details on our lease activity. We also have $95.5 million in purchase obligations, of which $57.6 million is due in the next twelve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Refer to Note 2 of the Notes to the Consolidated Financial Statements included in Part II, Item 8: “Financial Statements and Supplementary Data” for a discussion of recently issued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Substantially all of our operations take place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of June 30, 2025, we had cash and cash equivalents of $398.1 million and funds held for clients of $2,704.1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money market funds, commercial paper, corporate debt issuances, asset-backed debt securities, U.S. treasury securities, and other securities.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credit impairment losses on our portfolio to date.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$12.0 million as of June 30, 2025. An immediate 100-basis point decrease in interest rates would have resulted in an increase in the market value of our available-for-sale securities by $12.0 million as of June 30, 2025. Fluctuations in the value of our available-for-sale securities caused by changes in interest rates are recorded in other comprehensive income and are only realized if we sell the underlying securities.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12 of the Notes to the Consolidated Financial Statements included in Part II, Item 8: “Financial Statements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Supplementary Data”</w:t>
      </w:r>
      <w:r>
        <w:rPr>
          <w:rFonts w:ascii="Times New Roman" w:cs="Times New Roman" w:eastAsia="Times New Roman" w:hAnsi="Times New Roman"/>
          <w:sz w:val="18"/>
          <w:szCs w:val="18"/>
          <w:color w:val="212529"/>
        </w:rPr>
        <w:t>, we entered into a first amendment to our credit agreement that provides for a revolving credit facility (“credit facility”) in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w:t>
      </w:r>
    </w:p>
    <w:p>
      <w:pPr>
        <w:spacing w:after="0" w:line="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212529"/>
        </w:rPr>
        <w:t xml:space="preserve">our then-applicable net total leverage ratio. 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12529"/>
        </w:rPr>
        <w:t xml:space="preserve">, we had </w:t>
      </w:r>
      <w:r>
        <w:rPr>
          <w:rFonts w:ascii="Times New Roman" w:cs="Times New Roman" w:eastAsia="Times New Roman" w:hAnsi="Times New Roman"/>
          <w:sz w:val="18"/>
          <w:szCs w:val="18"/>
          <w:color w:val="000000"/>
        </w:rPr>
        <w:t>$162.5</w:t>
      </w:r>
      <w:r>
        <w:rPr>
          <w:rFonts w:ascii="Times New Roman" w:cs="Times New Roman" w:eastAsia="Times New Roman" w:hAnsi="Times New Roman"/>
          <w:sz w:val="18"/>
          <w:szCs w:val="18"/>
          <w:color w:val="212529"/>
        </w:rPr>
        <w:t xml:space="preserve"> million in borrowings outstanding under our credit facility. Because interest rates applicable to the credit facility are variable, we are exposed to market risk from changes in the underlying index rates, which affects our interest expense. A hypothetical change of 100 basis points in interest rates would not have had a significant impact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starting on page F-1 of this Annual Report on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June 30, 2025, the end of the period covered by this Annual Report on Form 10-K. Based upon such evaluation, our Chief Executive Officer and Chief Financial Officer have concluded that our disclosure controls and procedures were effective as of such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 and Attestation Report of the Registered Public Accounting Firm</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June 30, 2025, based on the framework in Internal Control —Integrated Framework issued by the Committee of Sponsoring Organizations of the Treadway Commission (COSO) (2013 framework). Based on this evaluation under the Internal Control—Integrated Framework, our Chief Executive Officer and Chief Financial Officer have concluded that our internal control over financial reporting was effective as of June 30, 2025.</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acquired Airbase Inc. (“Airbase”) in October 2024. Management excluded Airbase from its assessment of the effectiveness of the Company’s internal control over financial reporting as of June 30, 2025. Airbase represented 9% of the Company’s Total assets and less than 2% of the Company’s Total revenues, as of and for the year ended June 30, 2025.</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which has audited our financial statements, has also audited the effectiveness of our internal control over financial reporting as of June 30, 2025, as stated in their report, which is included in Item 15(a)(1)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June 30,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22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10, will be included in our Proxy Statement relating to our 2026 annual meeting of stockholders to be filed with the SEC within 120 days after the end of our fiscal year ended June 30, 2025, and is incorporated herein by reference.</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11, will be included in our Proxy Statement relating to our 2026 annual meeting of stockholders to be filed with the SEC within 120 days after the end of our fiscal year ended June 30, 2025,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12, will be included in our Proxy Statement relating to our 2026 annual meeting of stockholders to be filed with the SEC within 120 days after the end of our fiscal year ended June 30, 2025, and is incorporated herein by reference.</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13, will be included in our Proxy Statement relating to our 2026 annual meeting of stockholders to be filed with the SEC within 120 days after the end of our fiscal year ended June 30, 2025,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Chicago, IL, Audit Firm ID: 185.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14, will be included in our Proxy Statement relating to our 2026 annual meeting of stockholders to be filed with the SEC within 120 days after the end of our fiscal year ended June 30, 2025,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60" w:type="dxa"/>
            <w:vAlign w:val="bottom"/>
          </w:tcPr>
          <w:p>
            <w:pPr>
              <w:spacing w:after="0"/>
              <w:rPr>
                <w:sz w:val="17"/>
                <w:szCs w:val="17"/>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60" w:type="dxa"/>
            <w:vAlign w:val="bottom"/>
          </w:tcPr>
          <w:p>
            <w:pPr>
              <w:spacing w:after="0"/>
              <w:rPr>
                <w:sz w:val="24"/>
                <w:szCs w:val="24"/>
                <w:color w:val="auto"/>
              </w:rPr>
            </w:pPr>
          </w:p>
        </w:tc>
      </w:tr>
      <w:tr>
        <w:trPr>
          <w:trHeight w:val="414"/>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460" w:type="dxa"/>
            <w:vAlign w:val="bottom"/>
          </w:tcPr>
          <w:p>
            <w:pPr>
              <w:spacing w:after="0"/>
              <w:rPr>
                <w:sz w:val="24"/>
                <w:szCs w:val="24"/>
                <w:color w:val="auto"/>
              </w:rPr>
            </w:pPr>
          </w:p>
        </w:tc>
      </w:tr>
      <w:tr>
        <w:trPr>
          <w:trHeight w:val="234"/>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Documents Filed with Report</w:t>
            </w:r>
          </w:p>
        </w:tc>
        <w:tc>
          <w:tcPr>
            <w:tcW w:w="14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7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tc>
        <w:tc>
          <w:tcPr>
            <w:tcW w:w="146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June 30, 2024 and 2025</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 for the years ended June 30, 2023, 2024 and 2025</w:t>
            </w:r>
          </w:p>
        </w:tc>
        <w:tc>
          <w:tcPr>
            <w:tcW w:w="12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91"/>
        </w:trPr>
        <w:tc>
          <w:tcPr>
            <w:tcW w:w="20" w:type="dxa"/>
            <w:vAlign w:val="bottom"/>
          </w:tcPr>
          <w:p>
            <w:pPr>
              <w:spacing w:after="0"/>
              <w:rPr>
                <w:sz w:val="24"/>
                <w:szCs w:val="24"/>
                <w:color w:val="auto"/>
              </w:rPr>
            </w:pPr>
          </w:p>
        </w:tc>
        <w:tc>
          <w:tcPr>
            <w:tcW w:w="8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years ended June 30, 2023, 2024 and 2025</w:t>
            </w:r>
          </w:p>
        </w:tc>
        <w:tc>
          <w:tcPr>
            <w:tcW w:w="1680" w:type="dxa"/>
            <w:vAlign w:val="bottom"/>
            <w:gridSpan w:val="2"/>
          </w:tcPr>
          <w:p>
            <w:pPr>
              <w:spacing w:after="0"/>
              <w:rPr>
                <w:sz w:val="24"/>
                <w:szCs w:val="24"/>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F-7</w:t>
            </w:r>
          </w:p>
        </w:tc>
      </w:tr>
      <w:tr>
        <w:trPr>
          <w:trHeight w:val="291"/>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June 30, 2023, 2024 and 2025</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F-8</w:t>
            </w:r>
          </w:p>
        </w:tc>
      </w:tr>
      <w:tr>
        <w:trPr>
          <w:trHeight w:val="290"/>
        </w:trPr>
        <w:tc>
          <w:tcPr>
            <w:tcW w:w="20" w:type="dxa"/>
            <w:vAlign w:val="bottom"/>
          </w:tcPr>
          <w:p>
            <w:pPr>
              <w:spacing w:after="0"/>
              <w:rPr>
                <w:sz w:val="24"/>
                <w:szCs w:val="24"/>
                <w:color w:val="auto"/>
              </w:rPr>
            </w:pPr>
          </w:p>
        </w:tc>
        <w:tc>
          <w:tcPr>
            <w:tcW w:w="3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3080" w:type="dxa"/>
            <w:vAlign w:val="bottom"/>
            <w:tcBorders>
              <w:top w:val="single" w:sz="8" w:color="0000FF"/>
            </w:tcBorders>
            <w:gridSpan w:val="3"/>
          </w:tcPr>
          <w:p>
            <w:pPr>
              <w:spacing w:after="0"/>
              <w:rPr>
                <w:sz w:val="24"/>
                <w:szCs w:val="24"/>
                <w:color w:val="auto"/>
              </w:rPr>
            </w:pPr>
          </w:p>
        </w:tc>
        <w:tc>
          <w:tcPr>
            <w:tcW w:w="3220" w:type="dxa"/>
            <w:vAlign w:val="bottom"/>
            <w:gridSpan w:val="3"/>
          </w:tcPr>
          <w:p>
            <w:pPr>
              <w:spacing w:after="0"/>
              <w:rPr>
                <w:sz w:val="24"/>
                <w:szCs w:val="24"/>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F-9</w:t>
            </w:r>
          </w:p>
        </w:tc>
      </w:tr>
    </w:tbl>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set forth on the Exhibit Index immediately following this page.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121" w:right="339" w:bottom="1440" w:gutter="0" w:footer="0" w:header="0"/>
        </w:sect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12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10.3.3†</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10.3.4†</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10.3.5†</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10.3.6†</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10.3.7†</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3"/>
          <w:szCs w:val="23"/>
          <w:color w:val="auto"/>
          <w:vertAlign w:val="superscript"/>
        </w:rPr>
        <w: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2820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68"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Third Amended and Restated Certificate of Incorporation of</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the Registrant.</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Third Amended and Restated By-Laws of the Registrant.</w:t>
        </w:r>
      </w:hyperlink>
    </w:p>
    <w:p>
      <w:pPr>
        <w:spacing w:after="0" w:line="117"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Amended and Restated Investor Rights Agreement, dated</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June 29, 2012.</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Description of Securities.</w:t>
        </w:r>
      </w:hyperlink>
    </w:p>
    <w:p>
      <w:pPr>
        <w:spacing w:after="0" w:line="117" w:lineRule="exact"/>
        <w:rPr>
          <w:sz w:val="20"/>
          <w:szCs w:val="20"/>
          <w:color w:val="auto"/>
        </w:rPr>
      </w:pPr>
    </w:p>
    <w:p>
      <w:pPr>
        <w:ind w:right="500"/>
        <w:spacing w:after="0" w:line="282"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Form of Indemnification Agreement for directors and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officers.</w:t>
        </w:r>
      </w:hyperlink>
    </w:p>
    <w:p>
      <w:pPr>
        <w:spacing w:after="0" w:line="54" w:lineRule="exact"/>
        <w:rPr>
          <w:sz w:val="20"/>
          <w:szCs w:val="20"/>
          <w:color w:val="auto"/>
        </w:rPr>
      </w:pPr>
    </w:p>
    <w:p>
      <w:pPr>
        <w:ind w:right="640"/>
        <w:spacing w:after="0" w:line="282"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2014 Equity Incentive Plan and forms of agreement</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thereunder.</w:t>
        </w:r>
      </w:hyperlink>
    </w:p>
    <w:p>
      <w:pPr>
        <w:spacing w:after="0" w:line="54" w:lineRule="exact"/>
        <w:rPr>
          <w:sz w:val="20"/>
          <w:szCs w:val="20"/>
          <w:color w:val="auto"/>
        </w:rPr>
      </w:pPr>
    </w:p>
    <w:p>
      <w:pPr>
        <w:ind w:right="320"/>
        <w:spacing w:after="0" w:line="312" w:lineRule="auto"/>
        <w:rPr>
          <w:rFonts w:ascii="Times New Roman" w:cs="Times New Roman" w:eastAsia="Times New Roman" w:hAnsi="Times New Roman"/>
          <w:sz w:val="17"/>
          <w:szCs w:val="17"/>
          <w:u w:val="single" w:color="auto"/>
          <w:color w:val="0000FF"/>
        </w:rPr>
      </w:pPr>
      <w:hyperlink r:id="rId86">
        <w:r>
          <w:rPr>
            <w:rFonts w:ascii="Times New Roman" w:cs="Times New Roman" w:eastAsia="Times New Roman" w:hAnsi="Times New Roman"/>
            <w:sz w:val="17"/>
            <w:szCs w:val="17"/>
            <w:u w:val="single" w:color="auto"/>
            <w:color w:val="0000FF"/>
          </w:rPr>
          <w:t>Form of Market Stock Units Notice of Grant and Award</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Agreement under the 2014 Equity Incentive Plan.</w:t>
        </w:r>
      </w:hyperlink>
    </w:p>
    <w:p>
      <w:pPr>
        <w:spacing w:after="0" w:line="32" w:lineRule="exact"/>
        <w:rPr>
          <w:sz w:val="20"/>
          <w:szCs w:val="20"/>
          <w:color w:val="auto"/>
        </w:rPr>
      </w:pPr>
    </w:p>
    <w:p>
      <w:pPr>
        <w:jc w:val="both"/>
        <w:ind w:right="220"/>
        <w:spacing w:after="0" w:line="312" w:lineRule="auto"/>
        <w:rPr>
          <w:rFonts w:ascii="Times New Roman" w:cs="Times New Roman" w:eastAsia="Times New Roman" w:hAnsi="Times New Roman"/>
          <w:sz w:val="17"/>
          <w:szCs w:val="17"/>
          <w:u w:val="single" w:color="auto"/>
          <w:color w:val="0000FF"/>
        </w:rPr>
      </w:pPr>
      <w:hyperlink r:id="rId87">
        <w:r>
          <w:rPr>
            <w:rFonts w:ascii="Times New Roman" w:cs="Times New Roman" w:eastAsia="Times New Roman" w:hAnsi="Times New Roman"/>
            <w:sz w:val="17"/>
            <w:szCs w:val="17"/>
            <w:u w:val="single" w:color="auto"/>
            <w:color w:val="0000FF"/>
          </w:rPr>
          <w:t>Form of Executive Restricted Stock Unit Notice of Grant</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and Award Agreement under 2014 Equity Incentive Plan.</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2023 Equity Incentive Plan.</w:t>
        </w:r>
      </w:hyperlink>
    </w:p>
    <w:p>
      <w:pPr>
        <w:spacing w:after="0" w:line="117" w:lineRule="exact"/>
        <w:rPr>
          <w:sz w:val="20"/>
          <w:szCs w:val="20"/>
          <w:color w:val="auto"/>
        </w:rPr>
      </w:pPr>
    </w:p>
    <w:p>
      <w:pPr>
        <w:ind w:right="180"/>
        <w:spacing w:after="0" w:line="266"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Form of U.S. Executive Restricted Stock Unit Notice of</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Grant and Award Agreement under 2023 Equity Incentive</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Plan.</w:t>
        </w:r>
      </w:hyperlink>
    </w:p>
    <w:p>
      <w:pPr>
        <w:spacing w:after="0" w:line="68" w:lineRule="exact"/>
        <w:rPr>
          <w:rFonts w:ascii="Times New Roman" w:cs="Times New Roman" w:eastAsia="Times New Roman" w:hAnsi="Times New Roman"/>
          <w:sz w:val="18"/>
          <w:szCs w:val="18"/>
          <w:u w:val="single" w:color="auto"/>
          <w:color w:val="0000FF"/>
        </w:rPr>
      </w:pPr>
    </w:p>
    <w:p>
      <w:pPr>
        <w:ind w:right="400"/>
        <w:spacing w:after="0" w:line="282"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Form of Market Stock Unit Notice of Grant and Award</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Agreement under 2023 Equity Incentive Plan.</w:t>
        </w:r>
      </w:hyperlink>
    </w:p>
    <w:p>
      <w:pPr>
        <w:spacing w:after="0" w:line="54" w:lineRule="exact"/>
        <w:rPr>
          <w:sz w:val="20"/>
          <w:szCs w:val="20"/>
          <w:color w:val="auto"/>
        </w:rPr>
      </w:pPr>
    </w:p>
    <w:p>
      <w:pPr>
        <w:ind w:right="180"/>
        <w:spacing w:after="0" w:line="266"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Form of Restricted Stock Unit Notice of Grant and Award</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Agreement (For California Participants Executive and</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Board) under 2023 Equity Incentive Plan.</w:t>
        </w:r>
      </w:hyperlink>
    </w:p>
    <w:p>
      <w:pPr>
        <w:spacing w:after="0" w:line="68" w:lineRule="exact"/>
        <w:rPr>
          <w:rFonts w:ascii="Times New Roman" w:cs="Times New Roman" w:eastAsia="Times New Roman" w:hAnsi="Times New Roman"/>
          <w:sz w:val="18"/>
          <w:szCs w:val="18"/>
          <w:u w:val="single" w:color="auto"/>
          <w:color w:val="0000FF"/>
        </w:rPr>
      </w:pPr>
    </w:p>
    <w:p>
      <w:pPr>
        <w:spacing w:after="0" w:line="282"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Form of Performance Stock Unit Notice of Grant and Award</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Agreement under 2023 Equity Incentive Plan.</w:t>
        </w:r>
      </w:hyperlink>
    </w:p>
    <w:p>
      <w:pPr>
        <w:spacing w:after="0" w:line="54" w:lineRule="exact"/>
        <w:rPr>
          <w:sz w:val="20"/>
          <w:szCs w:val="20"/>
          <w:color w:val="auto"/>
        </w:rPr>
      </w:pPr>
    </w:p>
    <w:p>
      <w:pPr>
        <w:spacing w:after="0" w:line="312" w:lineRule="auto"/>
        <w:rPr>
          <w:rFonts w:ascii="Times New Roman" w:cs="Times New Roman" w:eastAsia="Times New Roman" w:hAnsi="Times New Roman"/>
          <w:sz w:val="17"/>
          <w:szCs w:val="17"/>
          <w:u w:val="single" w:color="auto"/>
          <w:color w:val="0000FF"/>
        </w:rPr>
      </w:pPr>
      <w:hyperlink r:id="rId93">
        <w:r>
          <w:rPr>
            <w:rFonts w:ascii="Times New Roman" w:cs="Times New Roman" w:eastAsia="Times New Roman" w:hAnsi="Times New Roman"/>
            <w:sz w:val="17"/>
            <w:szCs w:val="17"/>
            <w:u w:val="single" w:color="auto"/>
            <w:color w:val="0000FF"/>
          </w:rPr>
          <w:t>Form of Performance Stock Unit Notice of Grant and Award</w:t>
        </w:r>
      </w:hyperlink>
      <w:r>
        <w:rPr>
          <w:rFonts w:ascii="Times New Roman" w:cs="Times New Roman" w:eastAsia="Times New Roman" w:hAnsi="Times New Roman"/>
          <w:sz w:val="17"/>
          <w:szCs w:val="17"/>
          <w:u w:val="single" w:color="auto"/>
          <w:color w:val="0000FF"/>
        </w:rPr>
        <w:t xml:space="preserve"> </w:t>
      </w:r>
      <w:hyperlink r:id="rId93">
        <w:r>
          <w:rPr>
            <w:rFonts w:ascii="Times New Roman" w:cs="Times New Roman" w:eastAsia="Times New Roman" w:hAnsi="Times New Roman"/>
            <w:sz w:val="17"/>
            <w:szCs w:val="17"/>
            <w:u w:val="single" w:color="auto"/>
            <w:color w:val="0000FF"/>
          </w:rPr>
          <w:t>Agreement (California) under 2023 Equity Incentive Plan.</w:t>
        </w:r>
      </w:hyperlink>
    </w:p>
    <w:p>
      <w:pPr>
        <w:spacing w:after="0" w:line="32" w:lineRule="exact"/>
        <w:rPr>
          <w:sz w:val="20"/>
          <w:szCs w:val="20"/>
          <w:color w:val="auto"/>
        </w:rPr>
      </w:pPr>
    </w:p>
    <w:p>
      <w:pPr>
        <w:ind w:right="400"/>
        <w:spacing w:after="0" w:line="282"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Form of Market Stock Unit Notice of Grant and Award</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Agreement under 2023 Equity Incentive Plan.</w:t>
        </w:r>
      </w:hyperlink>
    </w:p>
    <w:p>
      <w:pPr>
        <w:spacing w:after="0" w:line="54" w:lineRule="exact"/>
        <w:rPr>
          <w:sz w:val="20"/>
          <w:szCs w:val="20"/>
          <w:color w:val="auto"/>
        </w:rPr>
      </w:pPr>
    </w:p>
    <w:p>
      <w:pPr>
        <w:ind w:right="160"/>
        <w:spacing w:after="0" w:line="312" w:lineRule="auto"/>
        <w:rPr>
          <w:rFonts w:ascii="Times New Roman" w:cs="Times New Roman" w:eastAsia="Times New Roman" w:hAnsi="Times New Roman"/>
          <w:sz w:val="17"/>
          <w:szCs w:val="17"/>
          <w:u w:val="single" w:color="auto"/>
          <w:color w:val="0000FF"/>
        </w:rPr>
      </w:pPr>
      <w:hyperlink r:id="rId95">
        <w:r>
          <w:rPr>
            <w:rFonts w:ascii="Times New Roman" w:cs="Times New Roman" w:eastAsia="Times New Roman" w:hAnsi="Times New Roman"/>
            <w:sz w:val="17"/>
            <w:szCs w:val="17"/>
            <w:u w:val="single" w:color="auto"/>
            <w:color w:val="0000FF"/>
          </w:rPr>
          <w:t>Form of Market Stock Unit Notice of Grant and Award</w:t>
        </w:r>
      </w:hyperlink>
      <w:r>
        <w:rPr>
          <w:rFonts w:ascii="Times New Roman" w:cs="Times New Roman" w:eastAsia="Times New Roman" w:hAnsi="Times New Roman"/>
          <w:sz w:val="17"/>
          <w:szCs w:val="17"/>
          <w:u w:val="single" w:color="auto"/>
          <w:color w:val="0000FF"/>
        </w:rPr>
        <w:t xml:space="preserve"> </w:t>
      </w:r>
      <w:hyperlink r:id="rId95">
        <w:r>
          <w:rPr>
            <w:rFonts w:ascii="Times New Roman" w:cs="Times New Roman" w:eastAsia="Times New Roman" w:hAnsi="Times New Roman"/>
            <w:sz w:val="17"/>
            <w:szCs w:val="17"/>
            <w:u w:val="single" w:color="auto"/>
            <w:color w:val="0000FF"/>
          </w:rPr>
          <w:t>Agreement (California) under 2023 Equity Incentive Plan.</w:t>
        </w:r>
      </w:hyperlink>
    </w:p>
    <w:p>
      <w:pPr>
        <w:spacing w:after="0" w:line="4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2014 Employee Stock Purchase Plan.</w:t>
        </w:r>
      </w:hyperlink>
    </w:p>
    <w:p>
      <w:pPr>
        <w:spacing w:after="0" w:line="144" w:lineRule="exact"/>
        <w:rPr>
          <w:sz w:val="20"/>
          <w:szCs w:val="20"/>
          <w:color w:val="auto"/>
        </w:rPr>
      </w:pPr>
    </w:p>
    <w:p>
      <w:pPr>
        <w:jc w:val="both"/>
        <w:ind w:right="120"/>
        <w:spacing w:after="0" w:line="305"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Second Amendment to Executive Employment Agreement</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between Paylocity Corporation and Steven R. Beauchamp,</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dated August 5,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5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41910</wp:posOffset>
            </wp:positionV>
            <wp:extent cx="3480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2"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345"/>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432"/>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432"/>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432"/>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2024</w:t>
            </w:r>
          </w:p>
        </w:tc>
      </w:tr>
      <w:tr>
        <w:trPr>
          <w:trHeight w:val="432"/>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2014</w:t>
            </w:r>
          </w:p>
        </w:tc>
      </w:tr>
      <w:tr>
        <w:trPr>
          <w:trHeight w:val="54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18, 2020</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432"/>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54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64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648"/>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r>
      <w:tr>
        <w:trPr>
          <w:trHeight w:val="648"/>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r>
      <w:tr>
        <w:trPr>
          <w:trHeight w:val="445"/>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2014</w:t>
            </w:r>
          </w:p>
        </w:tc>
      </w:tr>
      <w:tr>
        <w:trPr>
          <w:trHeight w:val="594"/>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r>
    </w:tbl>
    <w:p>
      <w:pPr>
        <w:spacing w:after="0" w:line="511"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560" w:space="680"/>
            <w:col w:w="4360" w:space="160"/>
            <w:col w:w="548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09"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25"/>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37"/>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gridSpan w:val="28"/>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Amendment to Executive Employment Agreement between</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44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Paylocity Corporation and Toby J. Williams, dated August 5,</w:t>
              </w:r>
            </w:hyperlink>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r:id="rId100">
              <w:r>
                <w:rPr>
                  <w:rFonts w:ascii="Times New Roman" w:cs="Times New Roman" w:eastAsia="Times New Roman" w:hAnsi="Times New Roman"/>
                  <w:sz w:val="18"/>
                  <w:szCs w:val="18"/>
                  <w:color w:val="0000EE"/>
                  <w:w w:val="93"/>
                </w:rPr>
                <w:t>2024.</w:t>
              </w:r>
            </w:hyperlink>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Amended and Restated Executive Employment Agreement</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4420" w:type="dxa"/>
            <w:vAlign w:val="bottom"/>
            <w:gridSpan w:val="28"/>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between Paylocity Corporation and Ryan Glenn, dated</w:t>
              </w:r>
            </w:hyperlink>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March 11, 2022.</w:t>
              </w:r>
            </w:hyperlink>
          </w:p>
        </w:tc>
        <w:tc>
          <w:tcPr>
            <w:tcW w:w="50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Executive Employment Agreement between Paylocity</w:t>
              </w:r>
            </w:hyperlink>
          </w:p>
        </w:tc>
        <w:tc>
          <w:tcPr>
            <w:tcW w:w="0" w:type="dxa"/>
            <w:vAlign w:val="bottom"/>
          </w:tcPr>
          <w:p>
            <w:pPr>
              <w:spacing w:after="0"/>
              <w:rPr>
                <w:sz w:val="1"/>
                <w:szCs w:val="1"/>
                <w:color w:val="auto"/>
              </w:rPr>
            </w:pPr>
          </w:p>
        </w:tc>
      </w:tr>
      <w:tr>
        <w:trPr>
          <w:trHeight w:val="129"/>
        </w:trPr>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880" w:type="dxa"/>
            <w:vAlign w:val="bottom"/>
            <w:tcBorders>
              <w:top w:val="single" w:sz="8" w:color="0000FF"/>
            </w:tcBorders>
            <w:gridSpan w:val="12"/>
            <w:vMerge w:val="restart"/>
          </w:tcPr>
          <w:p>
            <w:pPr>
              <w:spacing w:after="0" w:line="196"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Corporation and Joshua Scutt, dated August 16, 2021.</w:t>
              </w:r>
            </w:hyperlink>
          </w:p>
        </w:tc>
        <w:tc>
          <w:tcPr>
            <w:tcW w:w="540" w:type="dxa"/>
            <w:vAlign w:val="bottom"/>
            <w:gridSpan w:val="1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80" w:type="dxa"/>
            <w:vAlign w:val="bottom"/>
            <w:gridSpan w:val="12"/>
            <w:vMerge w:val="continue"/>
          </w:tcPr>
          <w:p>
            <w:pPr>
              <w:spacing w:after="0"/>
              <w:rPr>
                <w:sz w:val="5"/>
                <w:szCs w:val="5"/>
                <w:color w:val="auto"/>
              </w:rPr>
            </w:pPr>
          </w:p>
        </w:tc>
        <w:tc>
          <w:tcPr>
            <w:tcW w:w="54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Executive Employment Agreement between Paylocity</w:t>
              </w:r>
            </w:hyperlink>
          </w:p>
        </w:tc>
        <w:tc>
          <w:tcPr>
            <w:tcW w:w="0" w:type="dxa"/>
            <w:vAlign w:val="bottom"/>
          </w:tcPr>
          <w:p>
            <w:pPr>
              <w:spacing w:after="0"/>
              <w:rPr>
                <w:sz w:val="1"/>
                <w:szCs w:val="1"/>
                <w:color w:val="auto"/>
              </w:rPr>
            </w:pPr>
          </w:p>
        </w:tc>
      </w:tr>
      <w:tr>
        <w:trPr>
          <w:trHeight w:val="20"/>
        </w:trPr>
        <w:tc>
          <w:tcPr>
            <w:tcW w:w="12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gridSpan w:val="19"/>
            <w:vMerge w:val="restart"/>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Corporation and Andrew Cappotelli, dated May 13, 2024.</w:t>
              </w:r>
            </w:hyperlink>
          </w:p>
        </w:tc>
        <w:tc>
          <w:tcPr>
            <w:tcW w:w="220" w:type="dxa"/>
            <w:vAlign w:val="bottom"/>
            <w:gridSpan w:val="9"/>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0" w:type="dxa"/>
            <w:vAlign w:val="bottom"/>
            <w:tcBorders>
              <w:bottom w:val="single" w:sz="8" w:color="0000FF"/>
            </w:tcBorders>
            <w:gridSpan w:val="19"/>
            <w:vMerge w:val="continue"/>
          </w:tcPr>
          <w:p>
            <w:pPr>
              <w:spacing w:after="0"/>
              <w:rPr>
                <w:sz w:val="5"/>
                <w:szCs w:val="5"/>
                <w:color w:val="auto"/>
              </w:rPr>
            </w:pPr>
          </w:p>
        </w:tc>
        <w:tc>
          <w:tcPr>
            <w:tcW w:w="2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4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Executive Employment Agreement between Paylocity</w:t>
            </w:r>
          </w:p>
        </w:tc>
        <w:tc>
          <w:tcPr>
            <w:tcW w:w="0" w:type="dxa"/>
            <w:vAlign w:val="bottom"/>
          </w:tcPr>
          <w:p>
            <w:pPr>
              <w:spacing w:after="0"/>
              <w:rPr>
                <w:sz w:val="1"/>
                <w:szCs w:val="1"/>
                <w:color w:val="auto"/>
              </w:rPr>
            </w:pPr>
          </w:p>
        </w:tc>
      </w:tr>
      <w:tr>
        <w:trPr>
          <w:trHeight w:val="20"/>
        </w:trPr>
        <w:tc>
          <w:tcPr>
            <w:tcW w:w="12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Corporation and Melissa King, dated December 16, 2024.</w:t>
            </w:r>
          </w:p>
        </w:tc>
        <w:tc>
          <w:tcPr>
            <w:tcW w:w="24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180" w:type="dxa"/>
            <w:vAlign w:val="bottom"/>
            <w:tcBorders>
              <w:bottom w:val="single" w:sz="8" w:color="0000FF"/>
            </w:tcBorders>
            <w:gridSpan w:val="18"/>
            <w:vMerge w:val="continue"/>
          </w:tcPr>
          <w:p>
            <w:pPr>
              <w:spacing w:after="0"/>
              <w:rPr>
                <w:sz w:val="5"/>
                <w:szCs w:val="5"/>
                <w:color w:val="auto"/>
              </w:rPr>
            </w:pPr>
          </w:p>
        </w:tc>
        <w:tc>
          <w:tcPr>
            <w:tcW w:w="2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Multi-Tenant Office Lease Agreement, dated June 1, 2016,</w:t>
              </w:r>
            </w:hyperlink>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by and between Paylocity Corporation and RPAI</w:t>
              </w:r>
            </w:hyperlink>
          </w:p>
        </w:tc>
        <w:tc>
          <w:tcPr>
            <w:tcW w:w="720" w:type="dxa"/>
            <w:vAlign w:val="bottom"/>
            <w:tcBorders>
              <w:top w:val="single" w:sz="8" w:color="0000FF"/>
            </w:tcBorders>
            <w:gridSpan w:val="12"/>
          </w:tcPr>
          <w:p>
            <w:pPr>
              <w:spacing w:after="0"/>
              <w:rPr>
                <w:sz w:val="17"/>
                <w:szCs w:val="17"/>
                <w:color w:val="auto"/>
              </w:rPr>
            </w:pPr>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Schaumburg American Lane, L.L.C.</w:t>
              </w:r>
            </w:hyperlink>
          </w:p>
        </w:tc>
        <w:tc>
          <w:tcPr>
            <w:tcW w:w="17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Amendments to Multi-Tenant Office Lease Agreement dated</w:t>
              </w:r>
            </w:hyperlink>
          </w:p>
        </w:tc>
        <w:tc>
          <w:tcPr>
            <w:tcW w:w="0" w:type="dxa"/>
            <w:vAlign w:val="bottom"/>
          </w:tcPr>
          <w:p>
            <w:pPr>
              <w:spacing w:after="0"/>
              <w:rPr>
                <w:sz w:val="1"/>
                <w:szCs w:val="1"/>
                <w:color w:val="auto"/>
              </w:rPr>
            </w:pPr>
          </w:p>
        </w:tc>
      </w:tr>
      <w:tr>
        <w:trPr>
          <w:trHeight w:val="18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June 1, 2016 by and between Paylocity Corporation and</w:t>
              </w:r>
            </w:hyperlink>
          </w:p>
        </w:tc>
        <w:tc>
          <w:tcPr>
            <w:tcW w:w="36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20" w:type="dxa"/>
            <w:vAlign w:val="bottom"/>
            <w:gridSpan w:val="28"/>
            <w:vMerge w:val="restart"/>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RPAI Schaumburg American Lane, L.L.C. and Landmark</w:t>
              </w:r>
            </w:hyperlink>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20" w:type="dxa"/>
            <w:vAlign w:val="bottom"/>
            <w:gridSpan w:val="2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6"/>
              </w:rPr>
            </w:pPr>
            <w:hyperlink r:id="rId105">
              <w:r>
                <w:rPr>
                  <w:rFonts w:ascii="Times New Roman" w:cs="Times New Roman" w:eastAsia="Times New Roman" w:hAnsi="Times New Roman"/>
                  <w:sz w:val="18"/>
                  <w:szCs w:val="18"/>
                  <w:color w:val="0000FF"/>
                  <w:w w:val="96"/>
                </w:rPr>
                <w:t>Schaumburg Towers LP.</w:t>
              </w:r>
            </w:hyperlink>
          </w:p>
        </w:tc>
        <w:tc>
          <w:tcPr>
            <w:tcW w:w="2400" w:type="dxa"/>
            <w:vAlign w:val="bottom"/>
            <w:tcBorders>
              <w:top w:val="single" w:sz="8" w:color="0000FF"/>
            </w:tcBorders>
            <w:gridSpan w:val="12"/>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Credit Agreement by and among Paylocity Holding</w:t>
              </w:r>
            </w:hyperlink>
          </w:p>
        </w:tc>
        <w:tc>
          <w:tcPr>
            <w:tcW w:w="7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Corporation, the Guarantor party thereto, the Lenders party</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thereto, PNC Bank, National Association, as Administrative</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Agent, and PNC Capital Markets, LLC, as sole lead arranger</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and sole bookrunner, dated July 17,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First Amendment to Credit Agreement and Security</w:t>
              </w:r>
            </w:hyperlink>
          </w:p>
        </w:tc>
        <w:tc>
          <w:tcPr>
            <w:tcW w:w="6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Agreement, dated as of August 19, 2022, by and among</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Paylocity Holding Corporation, the Guarantor party thereto,</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the Lenders party thereto, PNC Bank, National Association,</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as Administrative Agent, and PNC Capital Markets, LLC</w:t>
              </w:r>
            </w:hyperlink>
          </w:p>
        </w:tc>
        <w:tc>
          <w:tcPr>
            <w:tcW w:w="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and JPMorgan Chase Bank, N.A., as joint lead arrangers and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joint bookrunners.</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Second Amendment to Credit Agreement, dated as of</w:t>
              </w:r>
            </w:hyperlink>
          </w:p>
        </w:tc>
        <w:tc>
          <w:tcPr>
            <w:tcW w:w="5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October 1, 2024, by and among Paylocity Holding</w:t>
              </w:r>
            </w:hyperlink>
          </w:p>
        </w:tc>
        <w:tc>
          <w:tcPr>
            <w:tcW w:w="7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Corporation, the Guarantor party thereto, the Lenders party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thereto, and PNC Bank, National Association, as</w:t>
              </w:r>
            </w:hyperlink>
          </w:p>
        </w:tc>
        <w:tc>
          <w:tcPr>
            <w:tcW w:w="740" w:type="dxa"/>
            <w:vAlign w:val="bottom"/>
            <w:tcBorders>
              <w:top w:val="single" w:sz="8" w:color="0000FF"/>
            </w:tcBorders>
            <w:gridSpan w:val="13"/>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Administrative Agent.</w:t>
              </w:r>
            </w:hyperlink>
          </w:p>
        </w:tc>
        <w:tc>
          <w:tcPr>
            <w:tcW w:w="28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42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Agreement and Plan of Merger, dated August 29, 2024, by</w:t>
              </w:r>
            </w:hyperlink>
          </w:p>
        </w:tc>
        <w:tc>
          <w:tcPr>
            <w:tcW w:w="0" w:type="dxa"/>
            <w:vAlign w:val="bottom"/>
          </w:tcPr>
          <w:p>
            <w:pPr>
              <w:spacing w:after="0"/>
              <w:rPr>
                <w:sz w:val="1"/>
                <w:szCs w:val="1"/>
                <w:color w:val="auto"/>
              </w:rPr>
            </w:pPr>
          </w:p>
        </w:tc>
      </w:tr>
      <w:tr>
        <w:trPr>
          <w:trHeight w:val="196"/>
        </w:trPr>
        <w:tc>
          <w:tcPr>
            <w:tcW w:w="122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w w:val="98"/>
              </w:rPr>
              <w:t>10.16</w:t>
            </w:r>
          </w:p>
        </w:tc>
        <w:tc>
          <w:tcPr>
            <w:tcW w:w="4220" w:type="dxa"/>
            <w:vAlign w:val="bottom"/>
            <w:gridSpan w:val="4"/>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and among Paylocity Corporation, Project Alpine Merger</w:t>
              </w:r>
            </w:hyperlink>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3860" w:type="dxa"/>
            <w:vAlign w:val="bottom"/>
            <w:tcBorders>
              <w:top w:val="single" w:sz="8" w:color="0000FF"/>
            </w:tcBorders>
            <w:gridSpan w:val="2"/>
            <w:vMerge w:val="restart"/>
          </w:tcPr>
          <w:p>
            <w:pPr>
              <w:spacing w:after="0" w:line="19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Sub, Inc. Airbase Inc and Shareholder Representative</w:t>
              </w:r>
            </w:hyperlink>
          </w:p>
        </w:tc>
        <w:tc>
          <w:tcPr>
            <w:tcW w:w="280" w:type="dxa"/>
            <w:vAlign w:val="bottom"/>
            <w:tcBorders>
              <w:top w:val="single" w:sz="8" w:color="0000FF"/>
            </w:tcBorders>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220" w:type="dxa"/>
            <w:vAlign w:val="bottom"/>
          </w:tcPr>
          <w:p>
            <w:pPr>
              <w:spacing w:after="0"/>
              <w:rPr>
                <w:sz w:val="5"/>
                <w:szCs w:val="5"/>
                <w:color w:val="auto"/>
              </w:rPr>
            </w:pPr>
          </w:p>
        </w:tc>
        <w:tc>
          <w:tcPr>
            <w:tcW w:w="3860" w:type="dxa"/>
            <w:vAlign w:val="bottom"/>
            <w:tcBorders>
              <w:bottom w:val="single" w:sz="8" w:color="0000FF"/>
            </w:tcBorders>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220" w:type="dxa"/>
            <w:vAlign w:val="bottom"/>
            <w:gridSpan w:val="4"/>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Services LLC</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3480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493"/>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r>
      <w:tr>
        <w:trPr>
          <w:trHeight w:val="85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2022</w:t>
            </w:r>
          </w:p>
        </w:tc>
      </w:tr>
      <w:tr>
        <w:trPr>
          <w:trHeight w:val="702"/>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2023</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2024</w:t>
            </w:r>
          </w:p>
        </w:tc>
      </w:tr>
      <w:tr>
        <w:trPr>
          <w:trHeight w:val="118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2, 2016</w:t>
            </w:r>
          </w:p>
        </w:tc>
      </w:tr>
      <w:tr>
        <w:trPr>
          <w:trHeight w:val="837"/>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1053"/>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17, 2019</w:t>
            </w:r>
          </w:p>
        </w:tc>
      </w:tr>
      <w:tr>
        <w:trPr>
          <w:trHeight w:val="1404"/>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22, 2022</w:t>
            </w:r>
          </w:p>
        </w:tc>
      </w:tr>
      <w:tr>
        <w:trPr>
          <w:trHeight w:val="1404"/>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7, 2025</w:t>
            </w:r>
          </w:p>
        </w:tc>
      </w:tr>
      <w:tr>
        <w:trPr>
          <w:trHeight w:val="108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4, 2024</w:t>
            </w:r>
          </w:p>
        </w:tc>
      </w:tr>
    </w:tbl>
    <w:p>
      <w:pPr>
        <w:sectPr>
          <w:pgSz w:w="11900" w:h="16838" w:orient="portrait"/>
          <w:cols w:equalWidth="0" w:num="2">
            <w:col w:w="5720" w:space="40"/>
            <w:col w:w="548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5"/>
          </w:tcPr>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37"/>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18"/>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Paylocity Holding Corporation Insider Trading Policy.</w:t>
              </w:r>
            </w:hyperlink>
          </w:p>
        </w:tc>
        <w:tc>
          <w:tcPr>
            <w:tcW w:w="0" w:type="dxa"/>
            <w:vAlign w:val="bottom"/>
          </w:tcPr>
          <w:p>
            <w:pPr>
              <w:spacing w:after="0"/>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EE"/>
              </w:rPr>
              <w:t>List of Subsidiaries of the Registrant.</w:t>
            </w:r>
          </w:p>
        </w:tc>
        <w:tc>
          <w:tcPr>
            <w:tcW w:w="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w:t>
            </w:r>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Accounting Firm.</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80" w:type="dxa"/>
            <w:vAlign w:val="bottom"/>
            <w:gridSpan w:val="1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of this</w:t>
            </w: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top w:val="single" w:sz="8" w:color="0000FF"/>
            </w:tcBorders>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Report on Form 10-K).</w:t>
            </w:r>
          </w:p>
        </w:tc>
        <w:tc>
          <w:tcPr>
            <w:tcW w:w="2460" w:type="dxa"/>
            <w:vAlign w:val="bottom"/>
            <w:tcBorders>
              <w:top w:val="single" w:sz="8" w:color="0000FF"/>
            </w:tcBorders>
            <w:gridSpan w:val="8"/>
            <w:vMerge w:val="restart"/>
          </w:tcPr>
          <w:p>
            <w:pPr>
              <w:spacing w:after="0"/>
              <w:rPr>
                <w:sz w:val="12"/>
                <w:szCs w:val="12"/>
                <w:color w:val="auto"/>
              </w:rPr>
            </w:pPr>
          </w:p>
        </w:tc>
        <w:tc>
          <w:tcPr>
            <w:tcW w:w="340" w:type="dxa"/>
            <w:vAlign w:val="bottom"/>
            <w:gridSpan w:val="6"/>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80" w:type="dxa"/>
            <w:vAlign w:val="bottom"/>
            <w:tcBorders>
              <w:bottom w:val="single" w:sz="8" w:color="0000FF"/>
            </w:tcBorders>
            <w:gridSpan w:val="4"/>
            <w:vMerge w:val="continue"/>
          </w:tcPr>
          <w:p>
            <w:pPr>
              <w:spacing w:after="0"/>
              <w:rPr>
                <w:sz w:val="7"/>
                <w:szCs w:val="7"/>
                <w:color w:val="auto"/>
              </w:rPr>
            </w:pPr>
          </w:p>
        </w:tc>
        <w:tc>
          <w:tcPr>
            <w:tcW w:w="2460" w:type="dxa"/>
            <w:vAlign w:val="bottom"/>
            <w:gridSpan w:val="8"/>
            <w:vMerge w:val="continue"/>
          </w:tcPr>
          <w:p>
            <w:pPr>
              <w:spacing w:after="0"/>
              <w:rPr>
                <w:sz w:val="7"/>
                <w:szCs w:val="7"/>
                <w:color w:val="auto"/>
              </w:rPr>
            </w:pPr>
          </w:p>
        </w:tc>
        <w:tc>
          <w:tcPr>
            <w:tcW w:w="3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Required Under</w:t>
            </w:r>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Rule 13a-14(a) and 15d-14(a) of the Securities Exchange Act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of 1934, as amended.</w:t>
            </w:r>
          </w:p>
        </w:tc>
        <w:tc>
          <w:tcPr>
            <w:tcW w:w="294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Required Under Rule</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13a-14(a) and 15d-14(a) of the Securities Exchange Act of</w:t>
            </w:r>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1934, as amended.</w:t>
            </w:r>
          </w:p>
        </w:tc>
        <w:tc>
          <w:tcPr>
            <w:tcW w:w="2880" w:type="dxa"/>
            <w:vAlign w:val="bottom"/>
            <w:tcBorders>
              <w:top w:val="single" w:sz="8" w:color="0000EE"/>
            </w:tcBorders>
            <w:gridSpan w:val="11"/>
          </w:tcPr>
          <w:p>
            <w:pPr>
              <w:spacing w:after="0"/>
              <w:rPr>
                <w:sz w:val="20"/>
                <w:szCs w:val="20"/>
                <w:color w:val="auto"/>
              </w:rPr>
            </w:pPr>
          </w:p>
        </w:tc>
        <w:tc>
          <w:tcPr>
            <w:tcW w:w="26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Required Under</w:t>
            </w:r>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Rule 13a-14(a) and 15d-14(a) of the Securities Exchange Act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of 1934, as amended, and 18 U.S.C. §1350 as adopted</w:t>
            </w:r>
          </w:p>
        </w:tc>
        <w:tc>
          <w:tcPr>
            <w:tcW w:w="58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900" w:type="dxa"/>
            <w:vAlign w:val="bottom"/>
            <w:tcBorders>
              <w:bottom w:val="single" w:sz="8" w:color="0000EE"/>
            </w:tcBorders>
            <w:gridSpan w:val="8"/>
            <w:vMerge w:val="continue"/>
          </w:tcPr>
          <w:p>
            <w:pPr>
              <w:spacing w:after="0"/>
              <w:rPr>
                <w:sz w:val="8"/>
                <w:szCs w:val="8"/>
                <w:color w:val="auto"/>
              </w:rPr>
            </w:pPr>
          </w:p>
        </w:tc>
        <w:tc>
          <w:tcPr>
            <w:tcW w:w="5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Required Under Rule</w:t>
            </w:r>
          </w:p>
        </w:tc>
        <w:tc>
          <w:tcPr>
            <w:tcW w:w="0" w:type="dxa"/>
            <w:vAlign w:val="bottom"/>
          </w:tcPr>
          <w:p>
            <w:pPr>
              <w:spacing w:after="0"/>
              <w:rPr>
                <w:sz w:val="1"/>
                <w:szCs w:val="1"/>
                <w:color w:val="auto"/>
              </w:rPr>
            </w:pPr>
          </w:p>
        </w:tc>
      </w:tr>
      <w:tr>
        <w:trPr>
          <w:trHeight w:val="22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13a-14(a) and 15d-14(a) of the Securities Exchange Act of</w:t>
            </w:r>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1934, as amended, and 18 U.S.C. §1350 as adopted pursuant</w:t>
            </w: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80" w:type="dxa"/>
            <w:vAlign w:val="bottom"/>
            <w:gridSpan w:val="1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to Section 906 of The Sarbanes-Oxley Act of 2002.</w:t>
            </w:r>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Paylocity Holding Corporation Policy for Recovery of</w:t>
              </w:r>
            </w:hyperlink>
          </w:p>
        </w:tc>
        <w:tc>
          <w:tcPr>
            <w:tcW w:w="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gridSpan w:val="6"/>
            <w:vMerge w:val="restart"/>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Erroneously Awarded Incentive Compensation.</w:t>
              </w:r>
            </w:hyperlink>
          </w:p>
        </w:tc>
        <w:tc>
          <w:tcPr>
            <w:tcW w:w="1060" w:type="dxa"/>
            <w:vAlign w:val="bottom"/>
            <w:gridSpan w:val="1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420" w:type="dxa"/>
            <w:vAlign w:val="bottom"/>
            <w:tcBorders>
              <w:bottom w:val="single" w:sz="8" w:color="0000FF"/>
            </w:tcBorders>
            <w:gridSpan w:val="6"/>
            <w:vMerge w:val="continue"/>
          </w:tcPr>
          <w:p>
            <w:pPr>
              <w:spacing w:after="0"/>
              <w:rPr>
                <w:sz w:val="7"/>
                <w:szCs w:val="7"/>
                <w:color w:val="auto"/>
              </w:rPr>
            </w:pPr>
          </w:p>
        </w:tc>
        <w:tc>
          <w:tcPr>
            <w:tcW w:w="106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0" w:type="dxa"/>
            <w:vAlign w:val="bottom"/>
          </w:tcPr>
          <w:p>
            <w:pPr>
              <w:spacing w:after="0"/>
              <w:rPr>
                <w:sz w:val="1"/>
                <w:szCs w:val="1"/>
                <w:color w:val="auto"/>
              </w:rPr>
            </w:pPr>
          </w:p>
        </w:tc>
      </w:tr>
      <w:tr>
        <w:trPr>
          <w:trHeight w:val="243"/>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0" w:type="dxa"/>
            <w:vAlign w:val="bottom"/>
          </w:tcPr>
          <w:p>
            <w:pPr>
              <w:spacing w:after="0"/>
              <w:rPr>
                <w:sz w:val="1"/>
                <w:szCs w:val="1"/>
                <w:color w:val="auto"/>
              </w:rPr>
            </w:pPr>
          </w:p>
        </w:tc>
      </w:tr>
      <w:tr>
        <w:trPr>
          <w:trHeight w:val="121"/>
        </w:trPr>
        <w:tc>
          <w:tcPr>
            <w:tcW w:w="12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80" w:type="dxa"/>
            <w:vAlign w:val="bottom"/>
            <w:gridSpan w:val="1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945"/>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19"/>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34715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37"/>
        </w:trPr>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001-36348</w:t>
            </w:r>
          </w:p>
        </w:tc>
        <w:tc>
          <w:tcPr>
            <w:tcW w:w="100" w:type="dxa"/>
            <w:vAlign w:val="bottom"/>
          </w:tcPr>
          <w:p>
            <w:pPr>
              <w:spacing w:after="0"/>
              <w:rPr>
                <w:sz w:val="20"/>
                <w:szCs w:val="20"/>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0"/>
        <w:spacing w:after="0"/>
        <w:tabs>
          <w:tab w:leader="none" w:pos="1260" w:val="left"/>
          <w:tab w:leader="none" w:pos="2740" w:val="left"/>
          <w:tab w:leader="none" w:pos="39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001-36348</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8"/>
          <w:szCs w:val="18"/>
          <w:color w:val="auto"/>
        </w:rPr>
        <w:t>August 2, 2024</w:t>
      </w:r>
    </w:p>
    <w:p>
      <w:pPr>
        <w:sectPr>
          <w:pgSz w:w="11900" w:h="16838" w:orient="portrait"/>
          <w:cols w:equalWidth="0" w:num="2">
            <w:col w:w="5720" w:space="60"/>
            <w:col w:w="546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20" w:type="dxa"/>
            <w:vAlign w:val="bottom"/>
            <w:gridSpan w:val="2"/>
            <w:vMerge w:val="continue"/>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56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1240"/>
        <w:spacing w:after="0" w:line="236" w:lineRule="auto"/>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ind w:left="20"/>
        <w:spacing w:after="0" w:line="196" w:lineRule="auto"/>
        <w:rPr>
          <w:sz w:val="20"/>
          <w:szCs w:val="20"/>
          <w:color w:val="auto"/>
        </w:rPr>
      </w:pPr>
      <w:r>
        <w:rPr>
          <w:rFonts w:ascii="Times New Roman" w:cs="Times New Roman" w:eastAsia="Times New Roman" w:hAnsi="Times New Roman"/>
          <w:sz w:val="13"/>
          <w:szCs w:val="13"/>
          <w:color w:val="auto"/>
        </w:rPr>
        <w:t>104*</w:t>
      </w:r>
    </w:p>
    <w:p>
      <w:pPr>
        <w:ind w:left="1240"/>
        <w:spacing w:after="0"/>
        <w:rPr>
          <w:sz w:val="20"/>
          <w:szCs w:val="20"/>
          <w:color w:val="auto"/>
        </w:rPr>
      </w:pPr>
      <w:r>
        <w:rPr>
          <w:rFonts w:ascii="Times New Roman" w:cs="Times New Roman" w:eastAsia="Times New Roman" w:hAnsi="Times New Roman"/>
          <w:sz w:val="18"/>
          <w:szCs w:val="18"/>
          <w:color w:val="auto"/>
        </w:rPr>
        <w:t>and contained in Exhibit 101).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7" w:lineRule="exact"/>
        <w:rPr>
          <w:sz w:val="20"/>
          <w:szCs w:val="20"/>
          <w:color w:val="auto"/>
        </w:rPr>
      </w:pPr>
    </w:p>
    <w:p>
      <w:pPr>
        <w:ind w:right="6760" w:firstLine="8"/>
        <w:spacing w:after="0" w:line="250"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51" w:lineRule="exact"/>
        <w:rPr>
          <w:sz w:val="20"/>
          <w:szCs w:val="20"/>
          <w:color w:val="auto"/>
        </w:rPr>
      </w:pPr>
    </w:p>
    <w:p>
      <w:pPr>
        <w:ind w:left="20"/>
        <w:spacing w:after="0"/>
        <w:tabs>
          <w:tab w:leader="none" w:pos="5380" w:val="left"/>
          <w:tab w:leader="none" w:pos="598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43180</wp:posOffset>
            </wp:positionV>
            <wp:extent cx="34029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8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Toby J. Williams</w:t>
      </w:r>
    </w:p>
    <w:p>
      <w:pPr>
        <w:spacing w:after="0" w:line="9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Chief Executive Officer (Principal Executive Officer) and</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Steven R. Beauchamp, Toby J. Williams and Ryan Glenn,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223" w:lineRule="exact"/>
        <w:rPr>
          <w:sz w:val="20"/>
          <w:szCs w:val="20"/>
          <w:color w:val="auto"/>
        </w:rPr>
      </w:pPr>
    </w:p>
    <w:p>
      <w:pPr>
        <w:ind w:left="1400"/>
        <w:spacing w:after="0"/>
        <w:tabs>
          <w:tab w:leader="none" w:pos="6240" w:val="left"/>
          <w:tab w:leader="none" w:pos="101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Toby J. Williams</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Ryan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Ryan Glenn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Nicholas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Nicholas Rost</w:t>
      </w:r>
    </w:p>
    <w:p>
      <w:pPr>
        <w:spacing w:after="0" w:line="349" w:lineRule="exact"/>
        <w:rPr>
          <w:sz w:val="20"/>
          <w:szCs w:val="20"/>
          <w:color w:val="auto"/>
        </w:rPr>
      </w:pPr>
    </w:p>
    <w:p>
      <w:pPr>
        <w:ind w:left="20" w:right="940"/>
        <w:spacing w:after="0" w:line="360" w:lineRule="auto"/>
        <w:rPr>
          <w:sz w:val="20"/>
          <w:szCs w:val="20"/>
          <w:color w:val="auto"/>
        </w:rPr>
      </w:pPr>
      <w:r>
        <w:rPr>
          <w:rFonts w:ascii="Times New Roman" w:cs="Times New Roman" w:eastAsia="Times New Roman" w:hAnsi="Times New Roman"/>
          <w:sz w:val="18"/>
          <w:szCs w:val="18"/>
          <w:color w:val="auto"/>
        </w:rPr>
        <w:t xml:space="preserve">/s/ Steven R. Beauchamp </w:t>
      </w:r>
      <w:r>
        <w:rPr>
          <w:rFonts w:ascii="Times New Roman" w:cs="Times New Roman" w:eastAsia="Times New Roman" w:hAnsi="Times New Roman"/>
          <w:sz w:val="18"/>
          <w:szCs w:val="18"/>
          <w:i w:val="1"/>
          <w:i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134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Linda M. Breard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Linda M. Breard</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Virginia G.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Virginia G. Breen</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Craig Conway</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Robin L. Pederson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Robin L. Pederson</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Andres D. 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Andres D. Reiner</w:t>
      </w:r>
    </w:p>
    <w:p>
      <w:pPr>
        <w:spacing w:after="0" w:line="349" w:lineRule="exact"/>
        <w:rPr>
          <w:sz w:val="20"/>
          <w:szCs w:val="20"/>
          <w:color w:val="auto"/>
        </w:rPr>
      </w:pPr>
    </w:p>
    <w:p>
      <w:pPr>
        <w:ind w:left="20" w:right="980"/>
        <w:spacing w:after="0" w:line="360" w:lineRule="auto"/>
        <w:rPr>
          <w:sz w:val="20"/>
          <w:szCs w:val="20"/>
          <w:color w:val="auto"/>
        </w:rPr>
      </w:pPr>
      <w:r>
        <w:rPr>
          <w:rFonts w:ascii="Times New Roman" w:cs="Times New Roman" w:eastAsia="Times New Roman" w:hAnsi="Times New Roman"/>
          <w:sz w:val="18"/>
          <w:szCs w:val="18"/>
          <w:color w:val="auto"/>
        </w:rPr>
        <w:t xml:space="preserve">/s/ Kenneth B. Robinson </w:t>
      </w:r>
      <w:r>
        <w:rPr>
          <w:rFonts w:ascii="Times New Roman" w:cs="Times New Roman" w:eastAsia="Times New Roman" w:hAnsi="Times New Roman"/>
          <w:sz w:val="18"/>
          <w:szCs w:val="18"/>
          <w:i w:val="1"/>
          <w:iCs w:val="1"/>
          <w:color w:val="auto"/>
        </w:rPr>
        <w:t>Kenneth B.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1342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President, Chief Executive Officer (Principal Executive Officer) and Director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Chief Financial Officer (Principal Financial Officer)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Vice President, Chief Accounting Officer and Treasurer (Principal Accounting</w:t>
      </w:r>
      <w:r>
        <w:rPr>
          <w:sz w:val="20"/>
          <w:szCs w:val="20"/>
          <w:color w:val="auto"/>
        </w:rPr>
        <w:tab/>
      </w:r>
      <w:r>
        <w:rPr>
          <w:rFonts w:ascii="Times New Roman" w:cs="Times New Roman" w:eastAsia="Times New Roman" w:hAnsi="Times New Roman"/>
          <w:sz w:val="17"/>
          <w:szCs w:val="17"/>
          <w:color w:val="auto"/>
        </w:rPr>
        <w:t>August 6,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Executive Chairman of the Board and Director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6, 2025</w:t>
      </w:r>
    </w:p>
    <w:p>
      <w:pPr>
        <w:spacing w:after="0" w:line="638" w:lineRule="exact"/>
        <w:rPr>
          <w:sz w:val="20"/>
          <w:szCs w:val="20"/>
          <w:color w:val="auto"/>
        </w:rPr>
      </w:pPr>
    </w:p>
    <w:p>
      <w:pPr>
        <w:sectPr>
          <w:pgSz w:w="11900" w:h="16838" w:orient="portrait"/>
          <w:cols w:equalWidth="0" w:num="2">
            <w:col w:w="2780" w:space="720"/>
            <w:col w:w="768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Steven I. Sarowitz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Steven I. Sarowitz</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Ronald V. Waters,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1342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Ronald V. Waters,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720"/>
            <w:col w:w="7380"/>
          </w:cols>
          <w:pgMar w:left="320" w:top="121" w:right="6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June 30, 2024 and 2025</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and Comprehensive Income for the years ended June 30, 2023, 2024 and 2025</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Stockholders’ Equity for the years ended June 30, 2023, 2024 and 2025</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June 30, 2023, 2024 and 2025</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50800</wp:posOffset>
            </wp:positionV>
            <wp:extent cx="4368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F-2</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F-5</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F-6</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F-7</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F-8</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2">
            <w:col w:w="10020" w:space="720"/>
            <w:col w:w="300"/>
          </w:cols>
          <w:pgMar w:left="320" w:top="121"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Paylocity Holding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Paylocity Holding Corporation and subsidiaries (the Company) as of June 30, 2025 and 2024, the related consolidated statements of operations and comprehensive income, changes in stockholders’ equity, and cash flows for each of the years in the three-year period ended June 30, 2025, and the related notes (collectively, the consolidated financial statements). We also have audited the Company’s internal control over financial reporting as of June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June 30, 2025 and 2024, and the results of its operations and its cash flows for each of the years in the three-year period ended June 30, 2025, in conformity with U.S. generally accepted accounting principles. Also in our opinion, the Company maintained, in all material respects, effective internal control over financial reporting as of June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acquired Airbase Inc. during October 2024, and management excluded from its assessment of the effectiveness of the Company’s internal control over financial reporting as of June 30, 2025, Airbase Inc.’s internal control over financial reporting associated with 9% of the Company’s Total assets and less than 2% of the Company’s Total revenues included in the consolidated financial statements of the Company as of and for the year ended June 30, 2025. Our audit of internal control over financial reporting of the Company also excluded an evaluation of the internal control over financial reporting of Airbase Inc.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Capitalized internal-use software development costs</w:t>
      </w:r>
    </w:p>
    <w:p>
      <w:pPr>
        <w:spacing w:after="0" w:line="254" w:lineRule="exact"/>
        <w:rPr>
          <w:sz w:val="20"/>
          <w:szCs w:val="20"/>
          <w:color w:val="auto"/>
        </w:rPr>
      </w:pPr>
    </w:p>
    <w:p>
      <w:pPr>
        <w:ind w:left="340" w:right="320"/>
        <w:spacing w:after="0" w:line="261" w:lineRule="auto"/>
        <w:rPr>
          <w:sz w:val="20"/>
          <w:szCs w:val="20"/>
          <w:color w:val="auto"/>
        </w:rPr>
      </w:pPr>
      <w:r>
        <w:rPr>
          <w:rFonts w:ascii="Times New Roman" w:cs="Times New Roman" w:eastAsia="Times New Roman" w:hAnsi="Times New Roman"/>
          <w:sz w:val="18"/>
          <w:szCs w:val="18"/>
          <w:color w:val="auto"/>
        </w:rPr>
        <w:t>As discussed in Notes 2 and 8 to the consolidated financial statements, the Company capitalizes certain internal-use software costs related to new products as well as existing products when those costs will result in significant additional functionality. The Company’s capitalized internal-use software asset, net of accumulated amortization, was $132.3 million as of June 30, 2025. The Company capitalized approximately $75.9 million of internal-use software costs during the year ended June 30, 2025.</w:t>
      </w:r>
    </w:p>
    <w:p>
      <w:pPr>
        <w:spacing w:after="0" w:line="207"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We identified the determination of capitalized internal-use software development costs as a critical audit matter because of the degree of subjectivity involved in assessing which projects met the capitalization criteria.</w:t>
      </w:r>
    </w:p>
    <w:p>
      <w:pPr>
        <w:spacing w:after="0" w:line="189"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The following are primary procedures we performed to address this critical audit matter. We evaluated the design and tested the operating effectiveness of an internal control related to the critical audit matter. This control related to the determination of which software development projects met the capitalization criteria. For a selection of current year capitalized software costs, we evaluated the Company’s determination to capitalize the costs by reading the Company’s analysis and discussing the objective and status of the projects with IT department management. We also assessed a sample of the Company’s capitalized costs by confirming the nature of the activities performed with individual software developers.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proprietary technology intangible asset</w:t>
      </w:r>
    </w:p>
    <w:p>
      <w:pPr>
        <w:spacing w:after="0" w:line="254" w:lineRule="exact"/>
        <w:rPr>
          <w:sz w:val="20"/>
          <w:szCs w:val="20"/>
          <w:color w:val="auto"/>
        </w:rPr>
      </w:pPr>
    </w:p>
    <w:p>
      <w:pPr>
        <w:jc w:val="both"/>
        <w:ind w:left="340" w:right="380"/>
        <w:spacing w:after="0" w:line="266" w:lineRule="auto"/>
        <w:rPr>
          <w:sz w:val="20"/>
          <w:szCs w:val="20"/>
          <w:color w:val="auto"/>
        </w:rPr>
      </w:pPr>
      <w:r>
        <w:rPr>
          <w:rFonts w:ascii="Times New Roman" w:cs="Times New Roman" w:eastAsia="Times New Roman" w:hAnsi="Times New Roman"/>
          <w:sz w:val="18"/>
          <w:szCs w:val="18"/>
          <w:color w:val="auto"/>
        </w:rPr>
        <w:t>As discussed in Notes 2 and 7 to the consolidated financial statements, on October 1, 2024, the Company acquired all of the outstanding shares of Airbase Inc. (Airbase). As a result of the transaction, the Company acquired a proprietary technology intangible asset with an acquisition-date fair value of $75.2 million.</w:t>
      </w:r>
    </w:p>
    <w:p>
      <w:pPr>
        <w:spacing w:after="0" w:line="203" w:lineRule="exact"/>
        <w:rPr>
          <w:sz w:val="20"/>
          <w:szCs w:val="20"/>
          <w:color w:val="auto"/>
        </w:rPr>
      </w:pPr>
    </w:p>
    <w:p>
      <w:pPr>
        <w:ind w:left="340" w:right="180"/>
        <w:spacing w:after="0" w:line="281" w:lineRule="auto"/>
        <w:rPr>
          <w:sz w:val="20"/>
          <w:szCs w:val="20"/>
          <w:color w:val="auto"/>
        </w:rPr>
      </w:pPr>
      <w:r>
        <w:rPr>
          <w:rFonts w:ascii="Times New Roman" w:cs="Times New Roman" w:eastAsia="Times New Roman" w:hAnsi="Times New Roman"/>
          <w:sz w:val="17"/>
          <w:szCs w:val="17"/>
          <w:color w:val="auto"/>
        </w:rPr>
        <w:t>We identified the evaluation of the acquisition-date fair value of the proprietary technology intangible asset acquired in the Airbase acquisition as a critical audit matter. A high degree of subjective auditor judgment was required to assess certain assumptions used to estimate fair value, specifically the forecasted revenue growth rates and the royalty rate. Changes in these assumptions could have had a significant impact on the fair value of the proprietary technology intangible asset. Additionally, the audit effort associated with this estimate required specialized skills and knowledge.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fair value measurement process for the Airbase acquisition, including controls related to the determination of the assumptions noted above. We evaluated the forecasted revenue growth rates used by the Company by comparing them to the growth rates of peer companies and industry data. We involved valuation professionals with specialized skills and knowledge, who assisted us in evaluating the Company’s selected royalty rate by comparing it to the royalty rates obtained from publicly available data for comparable licensing agreements at the acquisition date.</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41,642</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117,177</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50,943</w:t>
            </w: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607,832</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Funds held for clients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2,704,137</w:t>
            </w: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3,524,492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3,311,969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343,100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393,671</w:t>
            </w:r>
          </w:p>
        </w:tc>
      </w:tr>
      <w:tr>
        <w:trPr>
          <w:trHeight w:val="257"/>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w:t>
            </w:r>
          </w:p>
        </w:tc>
      </w:tr>
      <w:tr>
        <w:trPr>
          <w:trHeight w:val="25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4,245,460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4,389,428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193,081</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210,428</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Client fund obligations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2,950,411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2,694,842</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3,117,360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2,905,270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3,212,396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3,155,681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2024 and</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6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155,000 shares authorized at June 30, 2024 and June 30, 2025; 55,514 shares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at June 30, 2024 and 55,366 shares issued and outstanding at June 30, 2025</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327,518</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900,583</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1,033,064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1,233,747</w:t>
            </w:r>
          </w:p>
        </w:tc>
      </w:tr>
      <w:tr>
        <w:trPr>
          <w:trHeight w:val="281"/>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4,245,460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4,389,428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1,098,036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1,281,680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1,471,801</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76,562</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1,595,221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367,039</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441,729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498,223</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807,559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1,096,998</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374,216</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205,851</w:t>
            </w:r>
          </w:p>
        </w:tc>
      </w:tr>
      <w:tr>
        <w:trPr>
          <w:trHeight w:val="25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191,823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187,406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212,907</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652,533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700,693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792,974</w:t>
            </w:r>
          </w:p>
        </w:tc>
      </w:tr>
      <w:tr>
        <w:trPr>
          <w:trHeight w:val="250"/>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304,024</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r>
      <w:tr>
        <w:trPr>
          <w:trHeight w:val="250"/>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309,063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81,936</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206,766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227,127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138,610</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210,345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233,654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56,596</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56,976</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56,550</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33655</wp:posOffset>
            </wp:positionV>
            <wp:extent cx="54521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2022</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55,190</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 exercised</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under employee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settlement for taxes and/or exercise 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to equity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losses on securities, net of tax</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2023</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55,912</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 exercised</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awards</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under employee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settlement for taxes and/or exercise 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to equity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(1,050)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gains on securities, net of tax</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55,514</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 exercised</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awards</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under employee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settlement for taxes and/or exercise 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to equity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gains on securities, net of tax</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2025</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55,366</w:t>
            </w:r>
          </w:p>
        </w:tc>
        <w:tc>
          <w:tcPr>
            <w:tcW w:w="80" w:type="dxa"/>
            <w:vAlign w:val="bottom"/>
          </w:tcPr>
          <w:p>
            <w:pPr>
              <w:spacing w:after="0"/>
              <w:rPr>
                <w:sz w:val="18"/>
                <w:szCs w:val="18"/>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-4731385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-4337050</wp:posOffset>
            </wp:positionV>
            <wp:extent cx="7132320"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-3822700</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132320"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-5013960</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289,843</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613,463</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162,183</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162,183</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3,265</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16,916</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16,916</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(91,575)</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(91,575)</w:t>
            </w:r>
          </w:p>
        </w:tc>
        <w:tc>
          <w:tcPr>
            <w:tcW w:w="0" w:type="dxa"/>
            <w:vAlign w:val="bottom"/>
          </w:tcPr>
          <w:p>
            <w:pPr>
              <w:spacing w:after="0"/>
              <w:rPr>
                <w:sz w:val="1"/>
                <w:szCs w:val="1"/>
                <w:color w:val="auto"/>
              </w:rPr>
            </w:pPr>
          </w:p>
        </w:tc>
      </w:tr>
      <w:tr>
        <w:trPr>
          <w:trHeight w:val="22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140,822</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380,632</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466,690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842,863</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163,602</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163,602</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2,083</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19,143</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19,143</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(54,632)</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(54,632)</w:t>
            </w:r>
          </w:p>
        </w:tc>
        <w:tc>
          <w:tcPr>
            <w:tcW w:w="0" w:type="dxa"/>
            <w:vAlign w:val="bottom"/>
          </w:tcPr>
          <w:p>
            <w:pPr>
              <w:spacing w:after="0"/>
              <w:rPr>
                <w:sz w:val="1"/>
                <w:szCs w:val="1"/>
                <w:color w:val="auto"/>
              </w:rPr>
            </w:pPr>
          </w:p>
        </w:tc>
      </w:tr>
      <w:tr>
        <w:trPr>
          <w:trHeight w:val="230"/>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(150,340)</w:t>
            </w: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(150,340)</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206,766</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360,488</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673,456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1,033,064</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157,337</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157,337</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4,692</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19,682</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19,682</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(64,725)</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(64,725)</w:t>
            </w:r>
          </w:p>
        </w:tc>
        <w:tc>
          <w:tcPr>
            <w:tcW w:w="0" w:type="dxa"/>
            <w:vAlign w:val="bottom"/>
          </w:tcPr>
          <w:p>
            <w:pPr>
              <w:spacing w:after="0"/>
              <w:rPr>
                <w:sz w:val="1"/>
                <w:szCs w:val="1"/>
                <w:color w:val="auto"/>
              </w:rPr>
            </w:pPr>
          </w:p>
        </w:tc>
      </w:tr>
      <w:tr>
        <w:trPr>
          <w:trHeight w:val="216"/>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(149,956)</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(149,957)</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227,127</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327,518</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900,583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1,233,747</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-33655</wp:posOffset>
            </wp:positionV>
            <wp:extent cx="8572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-7620</wp:posOffset>
            </wp:positionV>
            <wp:extent cx="8572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-179070</wp:posOffset>
            </wp:positionV>
            <wp:extent cx="8572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-1919605</wp:posOffset>
            </wp:positionV>
            <wp:extent cx="8572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260"/>
            <w:col w:w="5360"/>
          </w:cols>
          <w:pgMar w:left="320" w:top="121" w:right="3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206,766</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227,127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142,820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99,636</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amortization of premiums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0" w:type="dxa"/>
            <w:vAlign w:val="bottom"/>
          </w:tcPr>
          <w:p>
            <w:pPr>
              <w:spacing w:after="0"/>
              <w:rPr>
                <w:sz w:val="1"/>
                <w:szCs w:val="1"/>
                <w:color w:val="auto"/>
              </w:rPr>
            </w:pPr>
          </w:p>
        </w:tc>
      </w:tr>
      <w:tr>
        <w:trPr>
          <w:trHeight w:val="193"/>
        </w:trPr>
        <w:tc>
          <w:tcPr>
            <w:tcW w:w="6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0" w:type="dxa"/>
            <w:vAlign w:val="bottom"/>
          </w:tcPr>
          <w:p>
            <w:pPr>
              <w:spacing w:after="0"/>
              <w:rPr>
                <w:sz w:val="1"/>
                <w:szCs w:val="1"/>
                <w:color w:val="auto"/>
              </w:rPr>
            </w:pPr>
          </w:p>
        </w:tc>
      </w:tr>
      <w:tr>
        <w:trPr>
          <w:trHeight w:val="193"/>
        </w:trPr>
        <w:tc>
          <w:tcPr>
            <w:tcW w:w="6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18,460</w:t>
            </w:r>
          </w:p>
        </w:tc>
        <w:tc>
          <w:tcPr>
            <w:tcW w:w="0" w:type="dxa"/>
            <w:vAlign w:val="bottom"/>
          </w:tcPr>
          <w:p>
            <w:pPr>
              <w:spacing w:after="0"/>
              <w:rPr>
                <w:sz w:val="1"/>
                <w:szCs w:val="1"/>
                <w:color w:val="auto"/>
              </w:rPr>
            </w:pPr>
          </w:p>
        </w:tc>
      </w:tr>
      <w:tr>
        <w:trPr>
          <w:trHeight w:val="186"/>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282,723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384,670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418,226</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(260,997)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446,751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294,438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160,067</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(62,402)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(13,073)</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(277,851)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0" w:type="dxa"/>
            <w:vAlign w:val="bottom"/>
          </w:tcPr>
          <w:p>
            <w:pPr>
              <w:spacing w:after="0"/>
              <w:rPr>
                <w:sz w:val="1"/>
                <w:szCs w:val="1"/>
                <w:color w:val="auto"/>
              </w:rPr>
            </w:pPr>
          </w:p>
        </w:tc>
      </w:tr>
      <w:tr>
        <w:trPr>
          <w:trHeight w:val="186"/>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(220,162)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(101,891)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(455,548)</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(1,362,421)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(297,923)</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(149,638)</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(60,034)</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(1,434,702)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(325,821)</w:t>
            </w:r>
          </w:p>
        </w:tc>
        <w:tc>
          <w:tcPr>
            <w:tcW w:w="0" w:type="dxa"/>
            <w:vAlign w:val="bottom"/>
          </w:tcPr>
          <w:p>
            <w:pPr>
              <w:spacing w:after="0"/>
              <w:rPr>
                <w:sz w:val="1"/>
                <w:szCs w:val="1"/>
                <w:color w:val="auto"/>
              </w:rPr>
            </w:pP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(1,372,141)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424,357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(363,143)</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year</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year</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2,482,526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 and internal-use software, accrued but not paid</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spacing w:after="0"/>
              <w:rPr>
                <w:sz w:val="18"/>
                <w:szCs w:val="18"/>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47,619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86,100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Sheets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288,767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401,811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398,070</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2,132,545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2,443,858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2,084,456</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2,482,526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payroll and spend management software solutions that deliver a comprehensive platform for the modern workforce. Services are provided in a Software-as-a-Service (“SaaS”) delivery model. The Company offers an intuitive, easy-to-use product suite that helps businesses streamline and automate HR, payroll and spend management processes, attract and retain talent, and build culture and connection with their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900" w:hanging="244"/>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pursuant to the rules and regulations of the United States Securities and Exchange Commission (the “SEC”).</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8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intercompany accounts and transactions have been eliminated in consolidation.</w:t>
      </w:r>
    </w:p>
    <w:p>
      <w:pPr>
        <w:spacing w:after="0" w:line="158" w:lineRule="exact"/>
        <w:rPr>
          <w:sz w:val="20"/>
          <w:szCs w:val="20"/>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Concentrations of Risk</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maintains cash balances that exceed Federal Depository Insurance Corporation limits. No individual client represents 10% or more of total revenues. For all periods presented, substantially all of total revenues were generated by clients in the United States.</w:t>
      </w:r>
    </w:p>
    <w:p>
      <w:pPr>
        <w:spacing w:after="0" w:line="158" w:lineRule="exact"/>
        <w:rPr>
          <w:sz w:val="20"/>
          <w:szCs w:val="20"/>
          <w:color w:val="auto"/>
        </w:rPr>
      </w:pPr>
    </w:p>
    <w:p>
      <w:pPr>
        <w:ind w:left="900" w:hanging="244"/>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Any interest earned on the Company’s cash and cash equivalents is reported as Other income (expense) in the Consolidated Statements of Operations and Comprehensive Income.</w:t>
      </w:r>
    </w:p>
    <w:p>
      <w:pPr>
        <w:spacing w:after="0" w:line="172" w:lineRule="exact"/>
        <w:rPr>
          <w:sz w:val="20"/>
          <w:szCs w:val="20"/>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Funds Held For Clients and Client Fund Obligations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obtains funds from clients in advance of performing payroll, payroll tax filing and spend management services on behalf of those clients. Funds held for clients represent assets that are used solely for the purposes of satisfying the obligations to remit funds relating to payroll, payroll tax filing and spend management services. The Company has classified Funds held for clients as a current asset since these funds are held solely for the purposes of satisfying the client fund obligations. Funds held for clients is primarily comprised of cash and cash equivalents invested in demand deposit accounts. The Company also invests a portion of its funds held for clients and corporate funds in marketable securities.</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 held for clients is reported as Interest income on funds held for clients in the Consolidated Statements of Operations and Comprehensive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whether a decline in an individual security’s fair value as compared to its amortized cost basis resulted from credit loss or other factors. If the Company determines that an individual security’s unrealized loss results from credit impairment, it compares the present value of cash flows expected to be collected from the impaired security with its amortized cost basis. If the security’s amortized cost basis exceeds the present value of expected cash flows, the Company records credit impairment loss through an allowance for credit loss. The Company did not recognize any credit impairment losses during the years ended June 30, 2023, 2024 or 2025.</w:t>
      </w:r>
    </w:p>
    <w:p>
      <w:pPr>
        <w:spacing w:after="0" w:line="183"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Client fund obligations represent the Company’s contractual obligations to remit funds to satisfy clients’ payroll, tax and spend management payment obligations and are recorded in the accompanying Consolidated Balance Sheets at the time that the Company obtains funds from clients. The client fund obligations represent liabilities that will be repaid within one year of the balance sheet date.</w:t>
      </w:r>
    </w:p>
    <w:p>
      <w:pPr>
        <w:spacing w:after="0" w:line="172" w:lineRule="exact"/>
        <w:rPr>
          <w:sz w:val="20"/>
          <w:szCs w:val="20"/>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is comprised of trade receivables, accrued interest on funds held for clients and other receivables. Trade receivables are recorded at the invoiced amount and do not bear interest. Amounts collected on accounts receivable are included in Net cash provided by operating activities in the Consolidated Statements of Cash Flows. The Company maintains an allowance for credit losses reflecting expected credit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credit losses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184" w:lineRule="exact"/>
        <w:rPr>
          <w:sz w:val="20"/>
          <w:szCs w:val="20"/>
          <w:color w:val="auto"/>
        </w:rPr>
      </w:pPr>
    </w:p>
    <w:p>
      <w:pPr>
        <w:ind w:left="880" w:hanging="224"/>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8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generally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 Management evaluates deferred contract costs for impairment if changes in circumstances occur that could impact the recoverability of the costs to obtain or fulfill contracts with the Company’s customers.</w:t>
      </w:r>
    </w:p>
    <w:p>
      <w:pPr>
        <w:spacing w:after="0" w:line="185" w:lineRule="exact"/>
        <w:rPr>
          <w:sz w:val="20"/>
          <w:szCs w:val="20"/>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internal-use software costs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Capitalized internal-use software costs are amortized on a straight-line basis over their estimated useful lives, which are generally two to three years while certain projects that support the Company’s main processing activities have an estimated useful life of ten years. Management evaluates the useful lives of these assets on an annual basis and tests for impairment whenever events or changes in circumstances occur that could impact the recoverability of these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Property and Equipment and Long-Lived Assets</w:t>
      </w:r>
    </w:p>
    <w:p>
      <w:pPr>
        <w:spacing w:after="0" w:line="229"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4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83" w:lineRule="exact"/>
        <w:rPr>
          <w:sz w:val="20"/>
          <w:szCs w:val="20"/>
          <w:color w:val="auto"/>
        </w:rPr>
      </w:pPr>
    </w:p>
    <w:p>
      <w:pPr>
        <w:ind w:left="880" w:hanging="224"/>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using the acquisition method of accounting. It allocates the purchase price consideration associated with its acquisitions to the fair values of assets acquired and liabilities assumed at their respective acquisition dates, with the excess recorded to goodwill. Estimating the fair values of assets acquired and liabilities assumed requires the use of significant judgments and estimates, which are inherently uncertain and subject to refinement as additional information becomes available. Adjustments to the fair values of assets acquired and liabilities assumed may be recorded during the measurement period, which may be up to one year from the acquisition date, with the corresponding offset to goodwill. The Company may engage a valuation specialist to assist in the fair value measurement of assets acquired and liabilities assumed for each acquisition.</w:t>
      </w:r>
    </w:p>
    <w:p>
      <w:pPr>
        <w:spacing w:after="0" w:line="185" w:lineRule="exact"/>
        <w:rPr>
          <w:sz w:val="20"/>
          <w:szCs w:val="20"/>
          <w:color w:val="auto"/>
        </w:rPr>
      </w:pPr>
    </w:p>
    <w:p>
      <w:pPr>
        <w:ind w:left="880" w:hanging="224"/>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Intangible Assets, Net of Accumulated Amortization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are comprised primarily of acquired client relationships, proprietary technology, trade names and non-solicitation agreements and are reported net of accumulated amortization on the Consolidated Balance Sheets. The Company uses the straight-line method of amortization to amortize client relationships over a five to nine-year period from the date of acquisition, proprietary technology over a five to seven-year period from the date of acquisition and trade names over a five-year period from the date of acquisition.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183" w:lineRule="exact"/>
        <w:rPr>
          <w:sz w:val="20"/>
          <w:szCs w:val="20"/>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its annual impairment review of goodwill in its fiscal fourth quarter or when a triggering event occurs between annual impairment tests. No impairment was recorded in fiscal 2023, 2024 or 2025 as a result of the Company’s qualitative assessments over its single reporting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agreement inception. Operating leases are included in Operating lease right-of-use assets, Accrued expenses, and Long-term operating lease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renew or extend a lease. The Company recognizes amounts in Operating lease right-of-use assets and Operating lease liabilities when it is reasonably certain it will exercise such options. Leases with an initial term of 12 months or less are not recorded on the balance sheet. Lease expense is recognized on a straight-line basis over the expected lease term.</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material finance leases.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lessor, such as insurance, taxes, and common area maintenance, payments based on the usage of the asset, and rental payments adjusted periodically for inflation. Variable payments are expensed as incurred and included within variable lease costs.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lease agreements do not contain material residual value guarantees, restrictions, or covenants.</w:t>
      </w:r>
    </w:p>
    <w:p>
      <w:pPr>
        <w:spacing w:after="0" w:line="221" w:lineRule="exact"/>
        <w:rPr>
          <w:sz w:val="20"/>
          <w:szCs w:val="20"/>
          <w:color w:val="auto"/>
        </w:rPr>
      </w:pPr>
    </w:p>
    <w:p>
      <w:pPr>
        <w:ind w:left="960" w:hanging="30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3"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Deferred tax assets may be reduced by a valuation allowance to the extent we determine it is more likely than not that some portion or all of the deferred tax assets will not be realized.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14 for additional information on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retires all shares repurchased pursuant to its approved share repurchase program (the "Repurchase Program"). The Company records the share purchase price and the amount of any excise taxes payable on shares repurchased as a reduction of Additional paid-in capital on its Consolidated Balance Sheets. If the Company exhausts Additional paid-in capital, it will record the excess as a reduction to Retained earnings. For more information on the Repurchase Program, refer to Note 15.</w:t>
      </w:r>
    </w:p>
    <w:p>
      <w:pPr>
        <w:spacing w:after="0" w:line="176" w:lineRule="exact"/>
        <w:rPr>
          <w:sz w:val="20"/>
          <w:szCs w:val="20"/>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it transfers control of goods or services to a customer in an amount that reflects the consideration to which it expects to be entitled to for those goods or services based on the following five steps:</w:t>
      </w:r>
    </w:p>
    <w:p>
      <w:pPr>
        <w:spacing w:after="0" w:line="162" w:lineRule="exact"/>
        <w:rPr>
          <w:sz w:val="20"/>
          <w:szCs w:val="20"/>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 and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contracts substantially all from recurring service fees. While the majority of its agreements are generally cancellable by the client on 60 days’ notice or less, the Company offers term agreements to its clients, which are generally two years in length. Recurring fees are mostly derived from cloud-based payroll and HCM software solutions which includes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As a result, implementation fees are deferred and amortized generally over a period up to 24 months.</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Sales taxes collected from clients and remitted to governmental authorities where applicable are accounted for on a net basis and therefore are excluded from revenues in the Consolidated Statements of Operations and Comprehensive Income.</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Interest income earned on funds held for clients is recognized in Interest income on funds held for clients when earned as the collection, holding and remittance of these funds are components of providing services to clients.</w:t>
      </w:r>
    </w:p>
    <w:p>
      <w:pPr>
        <w:spacing w:after="0" w:line="158" w:lineRule="exact"/>
        <w:rPr>
          <w:sz w:val="20"/>
          <w:szCs w:val="20"/>
          <w:color w:val="auto"/>
        </w:rPr>
      </w:pPr>
    </w:p>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Cost of revenues consists primarily of employee-related costs for ongoing client support and implementation activities and also includes amortization of capitalized internal-use software and certain acquired intangibles. The Company generally expenses these costs when incurred except for costs related to the implementation of the Company’s proprietary products. These costs are capitalized and amortized generally over a period of 7 years.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amounted to $15,700, $22,414 and $19,803 for the years ended June 30, 2023, 2024 and 2025, respectively.</w:t>
      </w:r>
    </w:p>
    <w:p>
      <w:pPr>
        <w:spacing w:after="0" w:line="158" w:lineRule="exact"/>
        <w:rPr>
          <w:sz w:val="20"/>
          <w:szCs w:val="20"/>
          <w:color w:val="auto"/>
        </w:rPr>
      </w:pPr>
    </w:p>
    <w:p>
      <w:pPr>
        <w:ind w:left="880" w:hanging="224"/>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all employee stock-based compensation as a cost in the financial statements. Equity-classified awards, comprised of restricted stock units, performance stock units and market share units, are measured at the grant date fair value of each award and expense is recognized, net of assumed forfeitures, on a straight-line basis over the requisite service period for each separately vesting portion of each award. For market share units, the Company estimates grant date fair value using a discrete model based on multiple stock price-paths developed through the use of Monte Carlo simulation. For estimated shares purchasable under the 2014 Employee Stock Purchase Plan (“ESPP”), the Company estimates grant date fair value using the Black-Scholes option-pricing model and recognizes applicable expense on a straight-line basis over each purchase period. The Company may update the assumed forfeiture rates based on historical experience as appropriate.</w:t>
      </w:r>
    </w:p>
    <w:p>
      <w:pPr>
        <w:spacing w:after="0" w:line="185" w:lineRule="exact"/>
        <w:rPr>
          <w:sz w:val="20"/>
          <w:szCs w:val="20"/>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2" w:lineRule="exact"/>
        <w:rPr>
          <w:sz w:val="20"/>
          <w:szCs w:val="20"/>
          <w:color w:val="auto"/>
        </w:rPr>
      </w:pPr>
    </w:p>
    <w:p>
      <w:pPr>
        <w:ind w:left="880" w:hanging="224"/>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reporting segment.</w:t>
      </w:r>
    </w:p>
    <w:p>
      <w:pPr>
        <w:spacing w:after="0" w:line="158" w:lineRule="exact"/>
        <w:rPr>
          <w:sz w:val="20"/>
          <w:szCs w:val="20"/>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(Topic 280): Improvements to Reportable Segment Disclosures ("ASU 2023-07"). ASU 2023-07 primarily requires disclosure of significant segment expenses that are regularly provided to the chief operating decision maker along with other incremental segment information. The Company adopted this ASU for the fiscal year ended June 30, 2025 and applied the guidance retrospectively to all prior periods presented in the financial statements. Refer to Note 19 for the Company’s disclosures under this standard.</w:t>
      </w:r>
    </w:p>
    <w:p>
      <w:pPr>
        <w:spacing w:after="0" w:line="179" w:lineRule="exact"/>
        <w:rPr>
          <w:sz w:val="20"/>
          <w:szCs w:val="20"/>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assessing the impact to its consolidated financial statement disclosures and the method of adopting this ASU. It will adopt this guidance for the fiscal year ended June 30, 2026.</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impact of other recently issued standards that are not yet effective will not have a material impact on the Company’s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revenue by Recurring fees and Implementation services and other, which the Company believes depicts the nature, amount and timing of its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1,409,896</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61,905</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1,098,036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1,471,801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(45,045)</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Consolidated Balance Sheets. The Company expects to recognize these deferred revenue balances of $22,566 in fiscal 2026, $5,166 in fiscal 2027, and $570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balances and the related amortization expense for these deferred contract costs: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June 30, 2024</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250,136</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78,599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195,726</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445,862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June 30, 2025</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4"/>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282,090</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228,758</w:t>
            </w:r>
          </w:p>
        </w:tc>
      </w:tr>
      <w:tr>
        <w:trPr>
          <w:trHeight w:val="28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445,862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510,848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Consolidated Balance Sheets. Amortization of deferred contract costs is primarily recorded in Cost of revenues and Sales and marketing in the Consolidated Statements of Operations and Comprehensive Income. The Company did not record any impairment losses associated with its deferred contract costs during the years ended June 30, 2023, 2024 or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value of the Company’s remaining performance obligations related to minimum monthly fees on its term-based contracts was approximately $146,873 as of June 30, 2025, which will be generally recognized over the next 24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and Cash Equivalents and Funds Held for Clients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and Funds held for clients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509,145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3,354,814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612,101</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0" w:type="dxa"/>
            <w:vAlign w:val="bottom"/>
          </w:tcPr>
          <w:p>
            <w:pPr>
              <w:spacing w:after="0"/>
              <w:rPr>
                <w:sz w:val="1"/>
                <w:szCs w:val="1"/>
                <w:color w:val="auto"/>
              </w:rPr>
            </w:pPr>
          </w:p>
        </w:tc>
      </w:tr>
      <w:tr>
        <w:trPr>
          <w:trHeight w:val="25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3,094,627</w:t>
            </w:r>
          </w:p>
        </w:tc>
        <w:tc>
          <w:tcPr>
            <w:tcW w:w="100" w:type="dxa"/>
            <w:vAlign w:val="bottom"/>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tcPr>
          <w:p>
            <w:pPr>
              <w:spacing w:after="0"/>
              <w:rPr>
                <w:sz w:val="22"/>
                <w:szCs w:val="22"/>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2024 and 2025.</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as of June 30, 2024 and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consolidated balance sheets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2,704,137</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Available-for-sale securities that have been in an unrealized loss position for a period of less and greater than 12 months as of June 30, 2024 and 2025 had fair market value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gridSpan w:val="5"/>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0" w:type="dxa"/>
            <w:vAlign w:val="bottom"/>
            <w:gridSpan w:val="6"/>
          </w:tcPr>
          <w:p>
            <w:pPr>
              <w:jc w:val="center"/>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60" w:type="dxa"/>
            <w:vAlign w:val="bottom"/>
            <w:gridSpan w:val="5"/>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136,014</w:t>
            </w:r>
          </w:p>
        </w:tc>
        <w:tc>
          <w:tcPr>
            <w:tcW w:w="0" w:type="dxa"/>
            <w:vAlign w:val="bottom"/>
          </w:tcPr>
          <w:p>
            <w:pPr>
              <w:spacing w:after="0"/>
              <w:rPr>
                <w:sz w:val="1"/>
                <w:szCs w:val="1"/>
                <w:color w:val="auto"/>
              </w:rPr>
            </w:pPr>
          </w:p>
        </w:tc>
      </w:tr>
      <w:tr>
        <w:trPr>
          <w:trHeight w:val="25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116,936</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121,141</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276,376</w:t>
            </w:r>
          </w:p>
        </w:tc>
        <w:tc>
          <w:tcPr>
            <w:tcW w:w="0" w:type="dxa"/>
            <w:vAlign w:val="bottom"/>
          </w:tcPr>
          <w:p>
            <w:pPr>
              <w:spacing w:after="0"/>
              <w:rPr>
                <w:sz w:val="1"/>
                <w:szCs w:val="1"/>
                <w:color w:val="auto"/>
              </w:rPr>
            </w:pPr>
          </w:p>
        </w:tc>
      </w:tr>
      <w:tr>
        <w:trPr>
          <w:trHeight w:val="24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6"/>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gridSpan w:val="5"/>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0" w:type="dxa"/>
            <w:vAlign w:val="bottom"/>
            <w:gridSpan w:val="6"/>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6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0" w:type="dxa"/>
            <w:vAlign w:val="bottom"/>
          </w:tcPr>
          <w:p>
            <w:pPr>
              <w:spacing w:after="0"/>
              <w:rPr>
                <w:sz w:val="1"/>
                <w:szCs w:val="1"/>
                <w:color w:val="auto"/>
              </w:rPr>
            </w:pPr>
          </w:p>
        </w:tc>
      </w:tr>
      <w:tr>
        <w:trPr>
          <w:trHeight w:val="25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0" w:type="dxa"/>
            <w:vAlign w:val="bottom"/>
          </w:tcPr>
          <w:p>
            <w:pPr>
              <w:spacing w:after="0"/>
              <w:rPr>
                <w:sz w:val="1"/>
                <w:szCs w:val="1"/>
                <w:color w:val="auto"/>
              </w:rPr>
            </w:pPr>
          </w:p>
        </w:tc>
      </w:tr>
      <w:tr>
        <w:trPr>
          <w:trHeight w:val="25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0" w:type="dxa"/>
            <w:vAlign w:val="bottom"/>
          </w:tcPr>
          <w:p>
            <w:pPr>
              <w:spacing w:after="0"/>
              <w:rPr>
                <w:sz w:val="1"/>
                <w:szCs w:val="1"/>
                <w:color w:val="auto"/>
              </w:rPr>
            </w:pPr>
          </w:p>
        </w:tc>
      </w:tr>
      <w:tr>
        <w:trPr>
          <w:trHeight w:val="205"/>
        </w:trPr>
        <w:tc>
          <w:tcPr>
            <w:tcW w:w="19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88,477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7"/>
                <w:szCs w:val="17"/>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tcPr>
          <w:p>
            <w:pPr>
              <w:spacing w:after="0"/>
              <w:rPr>
                <w:sz w:val="17"/>
                <w:szCs w:val="17"/>
                <w:color w:val="auto"/>
              </w:rPr>
            </w:pPr>
          </w:p>
        </w:tc>
        <w:tc>
          <w:tcPr>
            <w:tcW w:w="5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100,702</w:t>
            </w:r>
          </w:p>
        </w:tc>
        <w:tc>
          <w:tcPr>
            <w:tcW w:w="0" w:type="dxa"/>
            <w:vAlign w:val="bottom"/>
          </w:tcPr>
          <w:p>
            <w:pPr>
              <w:spacing w:after="0"/>
              <w:rPr>
                <w:sz w:val="1"/>
                <w:szCs w:val="1"/>
                <w:color w:val="auto"/>
              </w:rPr>
            </w:pPr>
          </w:p>
        </w:tc>
      </w:tr>
      <w:tr>
        <w:trPr>
          <w:trHeight w:val="212"/>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years ended June 30, 2023, 2024 or 2025. All securities in the Company's portfolio held an A-1 rating or better as of June 30, 2025.</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years ended June 30, 2023, 2024 or 2025. Gross realized gains and losses on the sale of available-for-sale securities were immaterial for the years ended June 30, 2023, 2024 and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June 30, 2025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244,572</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years and thereafter</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612,101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619,681</w:t>
            </w:r>
          </w:p>
        </w:tc>
      </w:tr>
      <w:tr>
        <w:trPr>
          <w:trHeight w:val="21"/>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29"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8"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any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2024 and 2025 based upon the short-term nature of these assets and liabilities.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a recurring basis using Level 2 inputs obtained from an independent pricing service. Available-for-sale securities include commercial paper, corporate bonds, asset-backed securities, U.S. treasury securities and other.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2024 or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2,845,669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0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2,482,526</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29"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7 for further details on the fair value measurements of certain assets and liabilities recorded at fair value on a non-recurring basis using Level 3 inputs.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accounts receivable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funds held for clients</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accounts receivable</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41,642</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Activity in the allowance for credit losses related to accounts receivable was as follows:</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5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due to acquisition</w:t>
            </w:r>
          </w:p>
        </w:tc>
        <w:tc>
          <w:tcPr>
            <w:tcW w:w="96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81"/>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Combinations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November 30, 2023, the Company acquired all of the outstanding shares of TraceHQ.com, Inc. ("Trace") through a merger of Trace with a subsidiary of the Company for cash consideration of $12,086, subject to working capital and other customary purchase price adjustments. Trace offers a headcount planning solution that expands the Company's product functionality in this area. The allocation of the purchase price for Trace was approximately $6,809 of goodwill, $4,200 of proprietary technology and other immaterial assets and liabilities, which reflects certain immaterial measurement period adjustments recorded during the years ended June 30, 2024 and 2025. Pro forma information is not presented for the Trace acquisition because the effects of the acquisition are not material to the Company’s consolidated financial statements.</w:t>
      </w:r>
    </w:p>
    <w:p>
      <w:pPr>
        <w:spacing w:after="0" w:line="14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Airbase Inc. ("Airbase") for cash consideration of $320,205, net of cash acquired and preliminary purchase price adjustments, which was funded by borrowings under its credit facility. Refer to Note 12 for more information on the credit facility. Airbase is a modern finance and spend management software solution that combines bill pay/accounts payable automation, expense management, corporate cards and procurement capabilities. The acquisition was consummated to enable the Company to provide a comprehensive solution and modern client experience for managing payroll and non-payroll spend on a single integrated platform. The measurement period will end no later than one year from the acquisition date. The primary area subject to change is deferred taxes.</w:t>
      </w:r>
    </w:p>
    <w:p>
      <w:pPr>
        <w:spacing w:after="0" w:line="16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purchase price for Airbase was as follows, which reflects certain immaterial measurement period adjustments recorded during the year ended June 30,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234,237</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fund obligations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r>
      <w:tr>
        <w:trPr>
          <w:trHeight w:val="27"/>
        </w:trPr>
        <w:tc>
          <w:tcPr>
            <w:tcW w:w="9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Company’s fair value estimate of the acquired proprietary technology is based on a relief from royalty rate methodology which includes but is not limited to, forecasted revenue growth rates, royalty rates, technology migration rates and required rate of return.</w:t>
      </w:r>
    </w:p>
    <w:p>
      <w:pPr>
        <w:spacing w:after="0" w:line="13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results from both of these acquisitions have been included in the Company’s consolidated financial statements since the closing of the respective acquisitions. The goodwill related to both of these transactions is primarily attributable to the assembled workforce and growth opportunities from the expansion and enhancement of the Company’s product offerings. The goodwill associated with both of these acquisitions is not deductible for income tax purposes. Direct costs related to these acquisitions were not material and were expensed as incurred primarily as General and administrative in the Consolidated Statements of Operations and Comprehensive Income.</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information below summarizes the combined results of the Company and Airbase as if the Company’s acquisition of Airbase closed on July 1, 2023, but does not necessarily reflect the combined actual results of operations of the Company and Airbase that would have been achieved, nor is it necessarily indicative of future results of operations. The unaudited pro forma information reflects certain adjustments that were directly attributable to the acquisition of Airbase, including amortization of acquired intangible assets, interest expense incurred to fund the acquisition and acquisition related costs.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582930</wp:posOffset>
            </wp:positionV>
            <wp:extent cx="19456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224,620</w:t>
            </w:r>
          </w:p>
        </w:tc>
      </w:tr>
      <w:tr>
        <w:trPr>
          <w:trHeight w:val="55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Capitalized Internal-Use Software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24"/>
                <w:szCs w:val="24"/>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324,269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400,122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(207,857)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(267,805)</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amounted to $31,440, $45,246 and $59,948 for the years ended June 30, 2023, 2024 and 2025, respectively and is included in Cost of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(103,711)</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amounted to $18,478, $20,744 and $20,568 for the years ended June 30, 2023, 2024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years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attributable to acquisitions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234,237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108,937</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343,100</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7 for further details on acquisition activity during the years ended June 30, 2024 and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6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$10,948, $10,436 and $19,120 for the years ended June 30, 2023, 2024 and 2025, respectively, and is included in Cost of revenues and General and administrative.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amortization expense for acquired intangible assets was as follows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2028</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2030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00" w:hanging="907"/>
        <w:spacing w:after="0"/>
        <w:tabs>
          <w:tab w:leader="none" w:pos="1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20,632</w:t>
      </w:r>
    </w:p>
    <w:p>
      <w:pPr>
        <w:spacing w:after="0" w:line="61" w:lineRule="exact"/>
        <w:rPr>
          <w:rFonts w:ascii="Times New Roman" w:cs="Times New Roman" w:eastAsia="Times New Roman" w:hAnsi="Times New Roman"/>
          <w:sz w:val="17"/>
          <w:szCs w:val="17"/>
          <w:color w:val="auto"/>
        </w:rPr>
      </w:pPr>
    </w:p>
    <w:p>
      <w:pPr>
        <w:ind w:left="1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18,256</w:t>
      </w:r>
    </w:p>
    <w:p>
      <w:pPr>
        <w:spacing w:after="0" w:line="61" w:lineRule="exact"/>
        <w:rPr>
          <w:rFonts w:ascii="Times New Roman" w:cs="Times New Roman" w:eastAsia="Times New Roman" w:hAnsi="Times New Roman"/>
          <w:sz w:val="17"/>
          <w:szCs w:val="17"/>
          <w:color w:val="auto"/>
        </w:rPr>
      </w:pPr>
    </w:p>
    <w:p>
      <w:pPr>
        <w:ind w:left="1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16,391</w:t>
      </w:r>
    </w:p>
    <w:p>
      <w:pPr>
        <w:spacing w:after="0" w:line="61" w:lineRule="exact"/>
        <w:rPr>
          <w:rFonts w:ascii="Times New Roman" w:cs="Times New Roman" w:eastAsia="Times New Roman" w:hAnsi="Times New Roman"/>
          <w:sz w:val="17"/>
          <w:szCs w:val="17"/>
          <w:color w:val="auto"/>
        </w:rPr>
      </w:pPr>
    </w:p>
    <w:p>
      <w:pPr>
        <w:ind w:left="1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12,925</w:t>
      </w:r>
    </w:p>
    <w:p>
      <w:pPr>
        <w:spacing w:after="0" w:line="61" w:lineRule="exact"/>
        <w:rPr>
          <w:rFonts w:ascii="Times New Roman" w:cs="Times New Roman" w:eastAsia="Times New Roman" w:hAnsi="Times New Roman"/>
          <w:sz w:val="17"/>
          <w:szCs w:val="17"/>
          <w:color w:val="auto"/>
        </w:rPr>
      </w:pPr>
    </w:p>
    <w:p>
      <w:pPr>
        <w:ind w:left="1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11,038</w:t>
      </w:r>
    </w:p>
    <w:p>
      <w:pPr>
        <w:spacing w:after="0" w:line="61" w:lineRule="exact"/>
        <w:rPr>
          <w:rFonts w:ascii="Times New Roman" w:cs="Times New Roman" w:eastAsia="Times New Roman" w:hAnsi="Times New Roman"/>
          <w:sz w:val="17"/>
          <w:szCs w:val="17"/>
          <w:color w:val="auto"/>
        </w:rPr>
      </w:pPr>
    </w:p>
    <w:p>
      <w:pPr>
        <w:ind w:left="1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13,429</w:t>
      </w:r>
    </w:p>
    <w:p>
      <w:pPr>
        <w:spacing w:after="0" w:line="88" w:lineRule="exact"/>
        <w:rPr>
          <w:sz w:val="20"/>
          <w:szCs w:val="20"/>
          <w:color w:val="auto"/>
        </w:rPr>
      </w:pPr>
    </w:p>
    <w:p>
      <w:pPr>
        <w:ind w:left="1900" w:hanging="907"/>
        <w:spacing w:after="0"/>
        <w:tabs>
          <w:tab w:leader="none" w:pos="1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59055</wp:posOffset>
            </wp:positionV>
            <wp:extent cx="9429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41910</wp:posOffset>
            </wp:positionV>
            <wp:extent cx="19456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46" w:lineRule="exact"/>
        <w:rPr>
          <w:sz w:val="20"/>
          <w:szCs w:val="20"/>
          <w:color w:val="auto"/>
        </w:rPr>
      </w:pPr>
    </w:p>
    <w:p>
      <w:pPr>
        <w:sectPr>
          <w:pgSz w:w="11900" w:h="16838" w:orient="portrait"/>
          <w:cols w:equalWidth="0" w:num="2">
            <w:col w:w="8060" w:space="720"/>
            <w:col w:w="24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r>
      <w:tr>
        <w:trPr>
          <w:trHeight w:val="27"/>
        </w:trPr>
        <w:tc>
          <w:tcPr>
            <w:tcW w:w="8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41,931</w:t>
            </w:r>
          </w:p>
        </w:tc>
      </w:tr>
      <w:tr>
        <w:trPr>
          <w:trHeight w:val="27"/>
        </w:trPr>
        <w:tc>
          <w:tcPr>
            <w:tcW w:w="8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revolving credit agreement with PNC Bank, National Association, and other lenders, which is secured by substantially all of the Company’s assets, subject to certain restrictions. The credit agreement provides for a senior secured revolving credit facility (“credit facility”) with borrowing capacity up to $550,000, which may be increased up to $825,000, subject to obtaining additional lender commitments and certain approvals and satisfying other requirements. The credit facility is scheduled to expire in August 2027, and any outstanding borrowings will mature and be payable upon expiration. The Company had no borrowings at June 30, 2024 and did not borrow any amounts during fiscal 2024. During the first quarter of fiscal 2025, the Company borrowed $325,000 to fund the acquisition of Airbase Inc. in October 2024, of which it repaid $162,500 in the second half of fiscal 2025. As a result, $162,500 remained outstanding at June 30, 2025. Refer to Note 7 for further details on the Company's acquisition of Airbase Inc. The Company incurred interest expense related to any borrowings at an average interest rate of 4.20% during the year ended June 30, 2025.</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share repurchases and permitted acquisitions, investments, and distributions.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3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June 30, 2025, the Company was in compliance with all of the aforementioned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leases office space under non-cancellable operating leases expiring on various dates from March 2026 through October 2032.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June 2026 through September 2028.</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14,527</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15,021</w:t>
            </w: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cost excludes $4,283 in lease exit gains recorded during the year ended June 30,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classification of the Company’s operating lease right-of-use assets, operating lease liabilities and other supplemental information related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leases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0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35,997</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8,621</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46,772</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r>
      <w:tr>
        <w:trPr>
          <w:trHeight w:val="27"/>
        </w:trPr>
        <w:tc>
          <w:tcPr>
            <w:tcW w:w="8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the Company’s operating leases: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undiscounted cash flows for future maturities of the Company’s operating lease liabilities and the reconciliation to the balance of operating lease liabilities reflected on the Company’s balance sheet were as follows as of June 30,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14,545</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 above excludes $1,157 of undiscounted future minimum lease payments for operating lease liabilities for office space that had not yet commenced for a term of seven years.</w:t>
      </w:r>
    </w:p>
    <w:p>
      <w:pPr>
        <w:spacing w:after="0" w:line="158"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(benefit) for the years ended June 30, 2023, 2024 and 2025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3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3980" w:type="dxa"/>
            <w:vAlign w:val="bottom"/>
          </w:tcPr>
          <w:p>
            <w:pPr>
              <w:spacing w:after="0"/>
              <w:rPr>
                <w:sz w:val="16"/>
                <w:szCs w:val="16"/>
                <w:color w:val="auto"/>
              </w:rPr>
            </w:pPr>
          </w:p>
        </w:tc>
        <w:tc>
          <w:tcPr>
            <w:tcW w:w="3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980" w:type="dxa"/>
            <w:vAlign w:val="bottom"/>
            <w:tcBorders>
              <w:bottom w:val="single" w:sz="8" w:color="CCEEFF"/>
            </w:tcBorders>
          </w:tcPr>
          <w:p>
            <w:pPr>
              <w:spacing w:after="0"/>
              <w:rPr>
                <w:sz w:val="3"/>
                <w:szCs w:val="3"/>
                <w:color w:val="auto"/>
              </w:rPr>
            </w:pPr>
          </w:p>
        </w:tc>
        <w:tc>
          <w:tcPr>
            <w:tcW w:w="26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26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65,188</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w:t>
            </w:r>
          </w:p>
        </w:tc>
      </w:tr>
      <w:tr>
        <w:trPr>
          <w:trHeight w:val="243"/>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17,973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43"/>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39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5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865"/>
        </w:trPr>
        <w:tc>
          <w:tcPr>
            <w:tcW w:w="3980" w:type="dxa"/>
            <w:vAlign w:val="bottom"/>
          </w:tcPr>
          <w:p>
            <w:pPr>
              <w:spacing w:after="0"/>
              <w:rPr>
                <w:sz w:val="24"/>
                <w:szCs w:val="24"/>
                <w:color w:val="auto"/>
              </w:rPr>
            </w:pPr>
          </w:p>
        </w:tc>
        <w:tc>
          <w:tcPr>
            <w:tcW w:w="3520" w:type="dxa"/>
            <w:vAlign w:val="bottom"/>
            <w:gridSpan w:val="2"/>
          </w:tcPr>
          <w:p>
            <w:pPr>
              <w:jc w:val="right"/>
              <w:ind w:right="1700"/>
              <w:spacing w:after="0"/>
              <w:rPr>
                <w:sz w:val="20"/>
                <w:szCs w:val="20"/>
                <w:color w:val="auto"/>
              </w:rPr>
            </w:pPr>
            <w:r>
              <w:rPr>
                <w:rFonts w:ascii="Times New Roman" w:cs="Times New Roman" w:eastAsia="Times New Roman" w:hAnsi="Times New Roman"/>
                <w:sz w:val="18"/>
                <w:szCs w:val="18"/>
                <w:color w:val="auto"/>
              </w:rPr>
              <w:t>F-24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hanging="264"/>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(benefit) differed from the amounts computed by applying the U.S. federal income tax rate of 21%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2024 and 2025 to pretax income as a result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580" w:type="dxa"/>
            <w:vAlign w:val="bottom"/>
          </w:tcPr>
          <w:p>
            <w:pPr>
              <w:spacing w:after="0"/>
              <w:rPr>
                <w:sz w:val="16"/>
                <w:szCs w:val="16"/>
                <w:color w:val="auto"/>
              </w:rPr>
            </w:pPr>
          </w:p>
        </w:tc>
      </w:tr>
      <w:tr>
        <w:trPr>
          <w:trHeight w:val="37"/>
        </w:trPr>
        <w:tc>
          <w:tcPr>
            <w:tcW w:w="6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6320" w:type="dxa"/>
            <w:vAlign w:val="bottom"/>
          </w:tcPr>
          <w:p>
            <w:pPr>
              <w:spacing w:after="0"/>
              <w:rPr>
                <w:sz w:val="16"/>
                <w:szCs w:val="16"/>
                <w:color w:val="auto"/>
              </w:rPr>
            </w:pPr>
          </w:p>
        </w:tc>
        <w:tc>
          <w:tcPr>
            <w:tcW w:w="15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3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statutory federal rate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(reduction) in income taxes resulting from:</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 and other credits</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Non-deductible expenses</w:t>
            </w: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years ended June 30, 2023, 2024 and 2025 was 11.2%, 25.4% and 26.5%, respectively, on pre-tax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$158,614, $277,015 and $309,063, respectively. The decrease in the effective tax rate for June 30, 2023 was primarily due to 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the effective tax rate for years ended June 30, 2024 and 2025 were primarily due to state and local income tax.</w:t>
      </w:r>
    </w:p>
    <w:p>
      <w:pPr>
        <w:spacing w:after="0" w:line="203" w:lineRule="exact"/>
        <w:rPr>
          <w:sz w:val="20"/>
          <w:szCs w:val="20"/>
          <w:color w:val="auto"/>
        </w:rPr>
      </w:pPr>
    </w:p>
    <w:p>
      <w:pPr>
        <w:ind w:left="900" w:hanging="244"/>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Components of Deferred Tax Assets and Liabilities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June 30, 2024 and 2025 are presented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w:t>
            </w:r>
          </w:p>
        </w:tc>
      </w:tr>
      <w:tr>
        <w:trPr>
          <w:trHeight w:val="27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23,101</w:t>
            </w: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25,970</w:t>
            </w:r>
          </w:p>
        </w:tc>
      </w:tr>
      <w:tr>
        <w:trPr>
          <w:trHeight w:val="27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20,471</w:t>
            </w: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w:t>
            </w:r>
          </w:p>
        </w:tc>
      </w:tr>
      <w:tr>
        <w:trPr>
          <w:trHeight w:val="27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29,718</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60,611</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160,806</w:t>
            </w:r>
          </w:p>
        </w:tc>
      </w:tr>
      <w:tr>
        <w:trPr>
          <w:trHeight w:val="27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114,349</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160,574</w:t>
            </w: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(134,448)</w:t>
            </w:r>
          </w:p>
        </w:tc>
      </w:tr>
      <w:tr>
        <w:trPr>
          <w:trHeight w:val="27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(20,269)</w:t>
            </w:r>
          </w:p>
        </w:tc>
      </w:tr>
      <w:tr>
        <w:trPr>
          <w:trHeight w:val="27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w:t>
            </w:r>
          </w:p>
        </w:tc>
      </w:tr>
      <w:tr>
        <w:trPr>
          <w:trHeight w:val="264"/>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(175,379)</w:t>
            </w:r>
          </w:p>
        </w:tc>
      </w:tr>
      <w:tr>
        <w:trPr>
          <w:trHeight w:val="25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 Company maintains a valuation allowance of $232 for certain state tax benefits which may not be realized. The increase to the valuation allowance is mainly due to the acquisition of certain Airbase Inc. state tax net operating loss carryforwards. Such assessment may change in the future as further evidence becomes available.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June 30, 2025, the Company has gross net operating loss carryforwards for federal income tax purposes of approximately $56,746, all of which can be carried forward indefinitely. The Company has gross net operating loss carryforwards for state income tax purposes of approximately $125,204, of which $111,008 expire from 2030 to 2045, while the remaining $14,196 can be carried forward indefinitely. The Company also has gross state research and development tax credits and other state credit carryforwards of approximately $20,501, which expire between 2026 and 2045.</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and 2025, the Company’s liabilities for unrecognized tax benefits, which would impact the Company’s effective tax rate if recognized, are presented below. The Company will include applicable penalties and interest when the benefit is recognized: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the year</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7"/>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 at end of year</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r>
      <w:tr>
        <w:trPr>
          <w:trHeight w:val="21"/>
        </w:trPr>
        <w:tc>
          <w:tcPr>
            <w:tcW w:w="8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with the United States federal government and various state jurisdictions. Certain tax years remain open for federal and state tax reporting jurisdictions in which the Company does business due to net operating loss and tax credit carryforwards from such years or utilized in a period remaining open for audit under normal statute of limitations relating to income tax liabilities. The Company, including its domestic subsidiaries, files a consolidated federal income tax return. For years before fiscal year ended June 30, 2022, the Company is no longer subject to U.S. federal examination; however, the Internal Revenue Service (IRS) has the ability to review years prior to fiscal year 2022 to the extent the Company utilized tax attributes carried forward from those prior years. The statute of limitations on state filings is generally three to four years.</w:t>
      </w:r>
    </w:p>
    <w:p>
      <w:pPr>
        <w:spacing w:after="0" w:line="201"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Act includes changes to U.S. income tax law that will be applicable to the Company beginning in fiscal 2026. The Act includes significant provisions such as accelerated tax deductions for qualified property and research expenditures. While the Company is still assessing the effects of these provisions, it is expected to mostly impact the Company’s consolidated balance sheet with material impacts to deferred tax assets and liabilities and income taxes payable in fiscal 2026.</w:t>
      </w:r>
    </w:p>
    <w:p>
      <w:pPr>
        <w:spacing w:after="0" w:line="194" w:lineRule="exact"/>
        <w:rPr>
          <w:sz w:val="20"/>
          <w:szCs w:val="20"/>
          <w:color w:val="auto"/>
        </w:rPr>
      </w:pPr>
    </w:p>
    <w:p>
      <w:pPr>
        <w:ind w:left="660" w:right="9260" w:hanging="652"/>
        <w:spacing w:after="0" w:line="532" w:lineRule="auto"/>
        <w:tabs>
          <w:tab w:leader="none" w:pos="357"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Common Stock</w:t>
      </w:r>
    </w:p>
    <w:p>
      <w:pPr>
        <w:spacing w:after="0" w:line="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30, 2024, the Company's board of directors approved a share repurchase program (the "Repurchase Program") under which the Company is authorized to purchase (in the aggregate) up to $500,000 of its issued and outstanding common stock. Under the Repurchase Program, shares may be repurchased from time-to-time in open market transactions at prevailing market prices, privately negotiated transactions or by other means, including the use of Rule 10b5-1 trading plans entered into by the Company. The actual timing, number and value of shares repurchased under the Repurchase Program will depend on the market price of its common stock, trading volume, general market conditions and other corporate and economic considerations. The Repurchase Program does not obligate the Company to repurchase any specific number of shares and may be modified, suspended or terminated at any time. During the years ended June 30, 2024 and 2025, the Company repurchased 1,050 and 787 shares, respectively, for $150,000 and $149,638, respectively. All shares of common stock repurchased were retired.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maintained a 2014 Equity Incentive Plan (the “2014 Plan”) and continues to maintain a 2023 Equity Incentive Plan (the “2023 Plan”). The 2023 Plan serves as the successor to the 2014 Plan and permits the granting of restricted stock units (“RSUs”), performance stock units (“PSUs”), market stock units (“MSUs”) and other equity incentives at the discretion of the compensation committee of the Company’s board of directors (“the Committee”). No new awards have been or will be issued under the 2014 Plan since the effective date of the 2023 Plan. Outstanding awards under the 2014 Plan continue to be subject to the terms and conditions of the 2014 Plan.</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3,283 shares allocated to the plans, of which 1,583 shares were subject to outstanding options or awards. Generally, the Company issues previously unissued shares for the exercise of stock options or vesting of awards; however, shares previously subject to 2023 Plan grants or awards that are forfeited or net settled at exercise or release may be reissued to satisfy future issuances.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RSUs, PSUs, MSUs and the Employee Stock Purchase Plan (as described below) was included in the following line items in the accompanying Consolidated Statements of Operations and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$11,901, $14,376 and $12,996 of stock-based compensation expense in its capitalized internal-use software costs in the years ended June 30, 2023, 2024 and 2025,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stock option activity during the year ended June 30,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5"/>
                <w:szCs w:val="15"/>
                <w:color w:val="auto"/>
              </w:rPr>
            </w:pPr>
          </w:p>
        </w:tc>
        <w:tc>
          <w:tcPr>
            <w:tcW w:w="122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040" w:type="dxa"/>
            <w:vAlign w:val="bottom"/>
          </w:tcPr>
          <w:p>
            <w:pPr>
              <w:spacing w:after="0"/>
              <w:rPr>
                <w:sz w:val="17"/>
                <w:szCs w:val="17"/>
                <w:color w:val="auto"/>
              </w:rPr>
            </w:pP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60" w:type="dxa"/>
            <w:vAlign w:val="bottom"/>
          </w:tcPr>
          <w:p>
            <w:pPr>
              <w:spacing w:after="0"/>
              <w:rPr>
                <w:sz w:val="17"/>
                <w:szCs w:val="17"/>
                <w:color w:val="auto"/>
              </w:rPr>
            </w:pPr>
          </w:p>
        </w:tc>
        <w:tc>
          <w:tcPr>
            <w:tcW w:w="122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0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17,301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years ended June 30, 2023, 2024 or 2025. The total intrinsic value of options exercised during the years ended June 30, 2023, 2024 and 2025 was $52,985, $18,438 and $22,819,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grants RSUs under its equity incentive plans with terms determined at the discretion of the Committee. RSUs generally vest over four years following the grant date and have time-based vesting conditions. The following table represents restricted stock unit activity during the year ended June 30,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9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2024</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c>
          <w:tcPr>
            <w:tcW w:w="0" w:type="dxa"/>
            <w:vAlign w:val="bottom"/>
          </w:tcPr>
          <w:p>
            <w:pPr>
              <w:spacing w:after="0"/>
              <w:rPr>
                <w:sz w:val="1"/>
                <w:szCs w:val="1"/>
                <w:color w:val="auto"/>
              </w:rPr>
            </w:pPr>
          </w:p>
        </w:tc>
      </w:tr>
      <w:tr>
        <w:trPr>
          <w:trHeight w:val="24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0" w:type="dxa"/>
            <w:vAlign w:val="bottom"/>
          </w:tcPr>
          <w:p>
            <w:pPr>
              <w:spacing w:after="0"/>
              <w:rPr>
                <w:sz w:val="1"/>
                <w:szCs w:val="1"/>
                <w:color w:val="auto"/>
              </w:rPr>
            </w:pPr>
          </w:p>
        </w:tc>
      </w:tr>
      <w:tr>
        <w:trPr>
          <w:trHeight w:val="24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June 30,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PSUs under the 2023 Plan with terms determined at the discretion of the Committee. During the year ended June 30, 2025, the Company granted approximately 55 PSUs with a grant date fair value of $155.95 per share, all which remained outstanding at June 30, 2025. The actual number of PSUs that will be eligible to vest is based on the achievement of Recurring and other revenue targets over a one year period with vesting taking place annually over three years. Up to 200% of the target number of shares subject to each PSU are eligible to be earned.</w:t>
      </w:r>
    </w:p>
    <w:p>
      <w:pPr>
        <w:spacing w:after="0" w:line="1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also grants MSUs under its equity incentive plans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approximately three years. The MSUs cliff-vest at the end of the TSR measurement period, and up to 200% of the target number of shares subject to each MSU are eligible to be earned. The following table represents market share unit activity during the year ended June 30,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335.79</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w:t>
            </w:r>
          </w:p>
        </w:tc>
      </w:tr>
      <w:tr>
        <w:trPr>
          <w:trHeight w:val="26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361.87</w:t>
            </w:r>
          </w:p>
        </w:tc>
      </w:tr>
      <w:tr>
        <w:trPr>
          <w:trHeight w:val="26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339.60</w:t>
            </w:r>
          </w:p>
        </w:tc>
      </w:tr>
      <w:tr>
        <w:trPr>
          <w:trHeight w:val="276"/>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June 30, 2025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80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6"/>
        </w:trPr>
        <w:tc>
          <w:tcPr>
            <w:tcW w:w="610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6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7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51.0 - 52.7%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5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2.75 - 3.04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77"/>
        </w:trPr>
        <w:tc>
          <w:tcPr>
            <w:tcW w:w="61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3.11 - 4.01%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bl>
    <w:p>
      <w:pPr>
        <w:spacing w:after="0" w:line="29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At June 30, 2025, there was $108,846 of total unrecognized compensation cost, net of estimated forfeitures, related to unvested RSUs, PSUs and MSUs. That cost is expected to be recognized over a weighted average period of 1.6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total of excess income tax benefits for stock-based compensation arrangements was $113,903 and $9,374 for the years ended June 30, 2023 and 2024, respectively. The Company recognized a tax shortfall of $2,598 for stock-based compensation arrangements for the year ended June 30, 2025. The tax impacts for all years were recognized through Income tax expense (benefit).</w:t>
      </w:r>
    </w:p>
    <w:p>
      <w:pPr>
        <w:spacing w:after="0" w:line="172" w:lineRule="exact"/>
        <w:rPr>
          <w:sz w:val="20"/>
          <w:szCs w:val="20"/>
          <w:color w:val="auto"/>
        </w:rPr>
      </w:pPr>
    </w:p>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a total of 1,897 shares of common stock were reserved for future issuances under the ESPP.</w:t>
      </w:r>
    </w:p>
    <w:p>
      <w:pPr>
        <w:spacing w:after="0" w:line="225"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a total of 127 shares upon the completion of its six-month offering periods ending November 15, 2024 and May 15, 2025. The Company recorded compensation expense attributable to the ESPP of $6,393, $6,378 and $5,988 for the years ended June 30, 2023, 2024 and 2025, respectively, which is included in the summary of stock-based compensation expense above. The grant date fair values of the ESPP offering periods were estimated using the following assumptions: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60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630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3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41.1 - 57.5%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32.9 - 43.3%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31.3 - 33.4%</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3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1.54 - 5.26%</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5.26 - 5.41%</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4.30 - 5.41%</w:t>
            </w:r>
          </w:p>
        </w:tc>
      </w:tr>
    </w:tbl>
    <w:p>
      <w:pPr>
        <w:spacing w:after="0" w:line="288" w:lineRule="exact"/>
        <w:rPr>
          <w:sz w:val="20"/>
          <w:szCs w:val="20"/>
          <w:color w:val="auto"/>
        </w:rPr>
      </w:pPr>
    </w:p>
    <w:p>
      <w:pPr>
        <w:ind w:left="900" w:hanging="244"/>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401(k) plan with a matching provision that covers all eligible employees. The Company matches 50% of employees’ contributions up to 8% of their gross pay. Contributions were $15,083, $17,377 and $18,946 for the years ended June 30, 2023, 2024 and 2025, respectively.</w:t>
      </w:r>
    </w:p>
    <w:p>
      <w:pPr>
        <w:spacing w:after="0" w:line="172"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certain of its key officers. The agreements allow for annual compensation increases, participation in equity incentive plans and bonuses for annual performance as well as certain change of control events as defined in the agreements.</w:t>
      </w:r>
    </w:p>
    <w:p>
      <w:pPr>
        <w:spacing w:after="0" w:line="158" w:lineRule="exact"/>
        <w:rPr>
          <w:sz w:val="20"/>
          <w:szCs w:val="20"/>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sought statutory damages, attorney’s fees and other costs. On April 22, 2025, this matter was dismissed with prejudice. On May 21, 2025, the plaintiff filed a notice of appeal. The Company will continue to vigorously defend against this lawsuit on appeal.</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September 11, 2023, a second potential class action complaint was filed against the Company with the Circuit Court of Cook County that alleges violations of the Illinois Biometric Information Privacy Act that overlap with claims in the first action. On June 13, 2025, the Company settled this matter without a material impact on the Company’s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Additionally, 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Income Per Share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w:t>
      </w:r>
    </w:p>
    <w:p>
      <w:pPr>
        <w:spacing w:after="0" w:line="27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41910</wp:posOffset>
            </wp:positionV>
            <wp:extent cx="29489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5"/>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performance stock units and market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units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56,550</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stock units as of the balance sheet date that were excluded from the diluted per share calculation for the periods presented because to include them would have been anti-dilutive:</w:t>
      </w:r>
    </w:p>
    <w:p>
      <w:pPr>
        <w:spacing w:after="0" w:line="20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41910</wp:posOffset>
            </wp:positionV>
            <wp:extent cx="29489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6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stock units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6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4"/>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As disclosed in Note 2, the Company determined that it operates as one reportable segment and derives revenues from customers by providing its human capital management, payroll and spend management solutions. The Company’s chief operating decision maker (“CODM”) is its president and chief executive officer. The CODM utilizes consolidated net income and certain non-GAAP measures, including adjusted EBITDA, along with other information contained in the consolidated financial statements to assess the Company’s performance and guide decisions on allocation of resources. The segment’s total assets are reported on the consolidated balance sheet.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significant expenses and other segment items as included in consolidated net income: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1,595,221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(148,618)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(240,313)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227,127</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Other segment items primarily include amortization of capitalized internal-use software and acquired intangible assets and stock-based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July 2025, the Company’s board of directors approved an increase to the Company’s share repurchase program under which the Company is authorized to purchase (in the aggregate) an additional $500,000 of its issued and outstanding common stock. Refer to Note 15 for additional information about the Company’s share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21" w:right="339" w:bottom="1440" w:gutter="0" w:footer="0" w:header="0"/>
        </w:sectPr>
      </w:pPr>
    </w:p>
    <w:bookmarkStart w:id="88" w:name="page89"/>
    <w:bookmarkEnd w:id="88"/>
    <w:p>
      <w:pPr>
        <w:ind w:left="10020"/>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ind w:firstLine="634"/>
        <w:spacing w:after="0" w:line="231"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Paylocity Corporation, an Illinois corporation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Melissa King (“</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effective as of December 16,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agree as follows:</w:t>
      </w:r>
    </w:p>
    <w:p>
      <w:pPr>
        <w:spacing w:after="0" w:line="220" w:lineRule="exact"/>
        <w:rPr>
          <w:sz w:val="20"/>
          <w:szCs w:val="20"/>
          <w:color w:val="auto"/>
        </w:rPr>
      </w:pPr>
    </w:p>
    <w:p>
      <w:pPr>
        <w:ind w:firstLine="656"/>
        <w:spacing w:after="0" w:line="236"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Company hereby employs Employee, and Employee hereby accepts such employment, upon the terms and conditions set forth herein.</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Employee is employed as Senior Vice President, Product and Technology and shall have the duties and responsibilities assigned by Company’s Chief Executive Officer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Employee shall perform faithfully and</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diligently all duties assigned to Employee. Company reserves the right to modify Employee’s position and duties at any time in its sole and absolute discretion.</w:t>
      </w:r>
    </w:p>
    <w:p>
      <w:pPr>
        <w:spacing w:after="0" w:line="190"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Best Efforts/Full-time</w:t>
      </w:r>
      <w:r>
        <w:rPr>
          <w:rFonts w:ascii="Times New Roman" w:cs="Times New Roman" w:eastAsia="Times New Roman" w:hAnsi="Times New Roman"/>
          <w:sz w:val="22"/>
          <w:szCs w:val="22"/>
          <w:color w:val="auto"/>
        </w:rPr>
        <w:t>. Employee will expend Employee’s best efforts on behalf of Company, and will abide by all policies and decisions made by Company, as well as all applicable federal, state and local laws, regulations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ordinances. Employee will act in the best interest of Company at all times. Employee shall devote Employee’s full business time and efforts to the performance of Employee’s assigned duties for Company, unless Employee notifies the CEO in advance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Employee’s intent to engage in other paid work and receives the CEO’s express written consent to do so. Notwithstanding the foregoing, Employee will be permitted to serve as an outside director on the board of directors for nonprofit or charitable entities</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or managing Employee’s personal financial and legal affairs, so long as the foregoing activities, provided such entities are not competitive with Company and subject to the provisions of Section 10 below.</w:t>
      </w:r>
    </w:p>
    <w:p>
      <w:pPr>
        <w:spacing w:after="0" w:line="190" w:lineRule="exact"/>
        <w:rPr>
          <w:sz w:val="20"/>
          <w:szCs w:val="20"/>
          <w:color w:val="auto"/>
        </w:rPr>
      </w:pPr>
    </w:p>
    <w:p>
      <w:pPr>
        <w:jc w:val="both"/>
        <w:ind w:firstLine="656"/>
        <w:spacing w:after="0" w:line="219"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Employee’s employment with Company is at-will and not for any specified period and may be terminated at any time, with or without cause (as defined below) or advance notice, by either Employee or Company. No representative of Company, other than the CEO or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has the authority to alter the at-will employment relationship. Any change to the at-will employment relationship must be by specific, written agreement signed by Employee and the CEO or a duly-authorized representative of the Board. Nothing in this Agreement is intended to or should be construed to contradict, modify or alter this at-will relationship.</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compensation for Employee’s performance of Employee’s duties hereunder, Company shall pay to Employee an annual base salary of $425,000 less required deductions for state and federal withholding tax, social</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security and all other employment taxes and payroll deductions, payable in accordance with the normal payroll practices of Company. Beginning in fiscal year 2025, the Compensation Committee of the Board shall conduct an annual review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Employee’s base salary based on third party comparison data and internal management</w:t>
      </w:r>
    </w:p>
    <w:p>
      <w:pPr>
        <w:sectPr>
          <w:pgSz w:w="11900" w:h="16838" w:orient="portrait"/>
          <w:cols w:equalWidth="0" w:num="1">
            <w:col w:w="11240"/>
          </w:cols>
          <w:pgMar w:left="320" w:top="109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recommendations. The salary change, if any, will be consistent with the timing of the salary adjustments of other senior Employees of Company. In the event Employee’s employment under this Agreement is terminated by either party, for any reason,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will earn the base salary prorated to the date of termination.</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 Employee will be eligible to earn an annual incentive bonus, the target amount of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which shall be a percentage as determined by the Company’s Compensation Committee (“</w:t>
      </w:r>
      <w:r>
        <w:rPr>
          <w:rFonts w:ascii="Times New Roman" w:cs="Times New Roman" w:eastAsia="Times New Roman" w:hAnsi="Times New Roman"/>
          <w:sz w:val="21"/>
          <w:szCs w:val="21"/>
          <w:b w:val="1"/>
          <w:bCs w:val="1"/>
          <w:i w:val="1"/>
          <w:iCs w:val="1"/>
          <w:color w:val="auto"/>
        </w:rPr>
        <w:t>Annual Bonus</w:t>
      </w:r>
      <w:r>
        <w:rPr>
          <w:rFonts w:ascii="Times New Roman" w:cs="Times New Roman" w:eastAsia="Times New Roman" w:hAnsi="Times New Roman"/>
          <w:sz w:val="21"/>
          <w:szCs w:val="21"/>
          <w:color w:val="auto"/>
        </w:rPr>
        <w:t>”). The target amount of the Annual Bonus for fiscal year 2025 shall be 75% of Employee’s annualized base salary and pro-rated based on start date.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Annual Bonus will be based on Employee’s achievement of certain goals, as well as Company metrics which shall be established by the Company’s Board. The Annual Bonus shall be less all required taxes and withholdings and will be paid out within 60 days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the end of the fiscal year in which it is earned.</w:t>
      </w:r>
    </w:p>
    <w:p>
      <w:pPr>
        <w:spacing w:after="0" w:line="182"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Equity Incentive Grants</w:t>
      </w:r>
      <w:r>
        <w:rPr>
          <w:rFonts w:ascii="Times New Roman" w:cs="Times New Roman" w:eastAsia="Times New Roman" w:hAnsi="Times New Roman"/>
          <w:sz w:val="22"/>
          <w:szCs w:val="22"/>
          <w:color w:val="auto"/>
        </w:rPr>
        <w:t>. Beginning in fiscal 2025, Employee shall be eligible to receive long-term equity incentives, as determined during the annual review conducted by the Compensation Committee and the Board.</w:t>
      </w:r>
    </w:p>
    <w:p>
      <w:pPr>
        <w:spacing w:after="0" w:line="172" w:lineRule="exact"/>
        <w:rPr>
          <w:sz w:val="20"/>
          <w:szCs w:val="20"/>
          <w:color w:val="auto"/>
        </w:rPr>
      </w:pPr>
    </w:p>
    <w:p>
      <w:pPr>
        <w:jc w:val="both"/>
        <w:ind w:firstLine="2114"/>
        <w:spacing w:after="0" w:line="221" w:lineRule="auto"/>
        <w:tabs>
          <w:tab w:leader="none" w:pos="258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the consummation of a Change in Control, the vesting of all unvested shares subject to outstanding equity awards with time-based vesting issued to Employee by Parent shall be accelerated in full and, if applicable, such equity awards shall become exercisable or shall be settled in full immediately prior to such Change in Control provided that Employee’s employment with Company or Parent has not terminated prior to such Change in Control. For the purposes of this Agreement,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shall have the meaning set forth in Company’s 2023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2114"/>
        <w:spacing w:after="0" w:line="217" w:lineRule="auto"/>
        <w:tabs>
          <w:tab w:leader="none" w:pos="258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employment with Company terminates due to Employee’s death or Employee’s Disability (as such term is defined in the Plan), (i) the vesting of all unvested shares subject to outstanding equity awards with time-based vesting issued to Employee by Parent shall be accelerated in full and, if applicable, such equity awards shall become exercisable or shall be settled in full and (ii) the unvested shares subject to outstanding equity awards with performance-based vesting shall remain outstanding, and vest based on actual achievement of the underlying performance goals, with Employee receiving a pro-rated portion of the performance-based award (based on the number of calendar days in the performance period that Employee was employed over the total number of calendar days in the performance period), and, if applicable, such equity awards shall become exercisable or shall be settled to the extent vested upon such determination.</w:t>
      </w:r>
    </w:p>
    <w:p>
      <w:pPr>
        <w:spacing w:after="0" w:line="195" w:lineRule="exact"/>
        <w:rPr>
          <w:rFonts w:ascii="Times New Roman" w:cs="Times New Roman" w:eastAsia="Times New Roman" w:hAnsi="Times New Roman"/>
          <w:sz w:val="22"/>
          <w:szCs w:val="22"/>
          <w:color w:val="auto"/>
        </w:rPr>
      </w:pPr>
    </w:p>
    <w:p>
      <w:pPr>
        <w:jc w:val="both"/>
        <w:ind w:firstLine="656"/>
        <w:spacing w:after="0" w:line="223"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Customary Fringe Benefits</w:t>
      </w:r>
      <w:r>
        <w:rPr>
          <w:rFonts w:ascii="Times New Roman" w:cs="Times New Roman" w:eastAsia="Times New Roman" w:hAnsi="Times New Roman"/>
          <w:sz w:val="22"/>
          <w:szCs w:val="22"/>
          <w:color w:val="auto"/>
        </w:rPr>
        <w:t>. Employee will be eligible for all customary and usual fringe benefits generally available to Employees of Company subject to the terms and conditions of Company’s benefit plan documents. Company reserves the right to change or eliminate the fringe benefits on a prospective basis, at any time, effective upon notice to Employee.</w:t>
      </w:r>
    </w:p>
    <w:p>
      <w:pPr>
        <w:spacing w:after="0" w:line="193" w:lineRule="exact"/>
        <w:rPr>
          <w:rFonts w:ascii="Times New Roman" w:cs="Times New Roman" w:eastAsia="Times New Roman" w:hAnsi="Times New Roman"/>
          <w:sz w:val="22"/>
          <w:szCs w:val="22"/>
          <w:color w:val="auto"/>
        </w:rPr>
      </w:pPr>
    </w:p>
    <w:p>
      <w:pPr>
        <w:jc w:val="both"/>
        <w:ind w:firstLine="656"/>
        <w:spacing w:after="0" w:line="230"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Employee will be reimbursed for all reasonable, out-of-pocket business expenses incurred in the performance of Employee’s duties on behalf of Company, including reasonable out-of-pocket expenses associated with Employee’s travel as approved by the</w:t>
      </w:r>
    </w:p>
    <w:p>
      <w:pPr>
        <w:sectPr>
          <w:pgSz w:w="11900" w:h="16838" w:orient="portrait"/>
          <w:cols w:equalWidth="0" w:num="1">
            <w:col w:w="11240"/>
          </w:cols>
          <w:pgMar w:left="320" w:top="109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CEO. To obtain reimbursement, expenses must be submitted promptly with appropriate supporting documentation and will be reimbursed in accordance with Company’s policies. Any reimbursement Employee is entitled to receive shall (a) be paid no later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than the last day of Employee’s tax year following the tax year in which the expense was incurred, (b) not be affected by any other expenses that are eligible for reimbursement in any tax year and (c) not be subject to liquidation or exchange for another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benefit.</w:t>
      </w:r>
    </w:p>
    <w:p>
      <w:pPr>
        <w:spacing w:after="0" w:line="182"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Employee’s Employment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Termination for Cause by Company</w:t>
      </w:r>
      <w:r>
        <w:rPr>
          <w:rFonts w:ascii="Times New Roman" w:cs="Times New Roman" w:eastAsia="Times New Roman" w:hAnsi="Times New Roman"/>
          <w:sz w:val="22"/>
          <w:szCs w:val="22"/>
          <w:color w:val="auto"/>
        </w:rPr>
        <w:t>. Company may terminate Employee’s employment immediately at any time for Cause. For purposes of this Agreement,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is defined as: (i) material dishonest or fraudulent behavior, or convictions of a felony; (ii) the material breach of any covenant contained or referred to in this Agreement; (iii) the failure of Employee to meet fair and reasonable performance standards established by Company from time to time; (iv) Employee’s failure or refusal to perform specific directives of CEO, which directives are consistent with the scope and nature of Employee’s duties and responsibilities, and which are not remedied by Employee within thirty (30) days after written notice; (v) any violation of the covenant not to disclose confidential information regarding the business of Company and its products as set forth in Section 7 of this Agreement; or (vi) any act of material dishonesty by Employee which adversely affects the business of Company. In the event Employee’s employment is terminated in accordance with this subsection 7.1, Employee shall be entitled to receive only Employee’s base salary then in effect, prorated to the date of termination and all benefits accrued through the date of termination (“</w:t>
      </w:r>
      <w:r>
        <w:rPr>
          <w:rFonts w:ascii="Times New Roman" w:cs="Times New Roman" w:eastAsia="Times New Roman" w:hAnsi="Times New Roman"/>
          <w:sz w:val="22"/>
          <w:szCs w:val="22"/>
          <w:b w:val="1"/>
          <w:bCs w:val="1"/>
          <w:i w:val="1"/>
          <w:iCs w:val="1"/>
          <w:color w:val="auto"/>
        </w:rPr>
        <w:t>Accrued Benefits</w:t>
      </w:r>
      <w:r>
        <w:rPr>
          <w:rFonts w:ascii="Times New Roman" w:cs="Times New Roman" w:eastAsia="Times New Roman" w:hAnsi="Times New Roman"/>
          <w:sz w:val="22"/>
          <w:szCs w:val="22"/>
          <w:color w:val="auto"/>
        </w:rPr>
        <w:t>”). All other Company obligations to Employee pursuant to this Agreement will become automatically terminated and completely extinguished. Employee will not be entitled to receive the Severance Payment described in subsection 7.2 below.</w:t>
      </w:r>
    </w:p>
    <w:p>
      <w:pPr>
        <w:spacing w:after="0" w:line="19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Termination Without Cause by Company/Severance</w:t>
      </w:r>
      <w:r>
        <w:rPr>
          <w:rFonts w:ascii="Times New Roman" w:cs="Times New Roman" w:eastAsia="Times New Roman" w:hAnsi="Times New Roman"/>
          <w:sz w:val="22"/>
          <w:szCs w:val="22"/>
          <w:color w:val="auto"/>
        </w:rPr>
        <w:t>. Company may terminate Employee’s employment under this Agreement without Cause at any time on thirty (30) days’ advance written notice to Employee. In the event of such termination, Employee will receive Employee’s base salary then in effect, prorated to the date of termination, and Accrued</w:t>
      </w:r>
    </w:p>
    <w:p>
      <w:pPr>
        <w:spacing w:after="0" w:line="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2"/>
          <w:szCs w:val="22"/>
          <w:color w:val="auto"/>
        </w:rPr>
        <w:t>Benefits. In addition, Employee will receive a “</w:t>
      </w:r>
      <w:r>
        <w:rPr>
          <w:rFonts w:ascii="Times New Roman" w:cs="Times New Roman" w:eastAsia="Times New Roman" w:hAnsi="Times New Roman"/>
          <w:sz w:val="22"/>
          <w:szCs w:val="22"/>
          <w:b w:val="1"/>
          <w:bCs w:val="1"/>
          <w:i w:val="1"/>
          <w:iCs w:val="1"/>
          <w:color w:val="auto"/>
        </w:rPr>
        <w:t>Severance Payment</w:t>
      </w:r>
      <w:r>
        <w:rPr>
          <w:rFonts w:ascii="Times New Roman" w:cs="Times New Roman" w:eastAsia="Times New Roman" w:hAnsi="Times New Roman"/>
          <w:sz w:val="22"/>
          <w:szCs w:val="22"/>
          <w:color w:val="auto"/>
        </w:rPr>
        <w:t>” equivalent to twelve (12) months of Employee’s base salary then in effect on the date of termination, payable as salary continuation in equal installments in accordance with Company’s regular payroll cycle over a twelve (12) month period, beginning on the first regular payday occurring 60 days following the termination date. Employee will only receive the Severance Payment if Employee executes a full general release in a form acceptable to Company, releasing all claims, known or unknown, that Employee may have against Company arising out of or any way related to Employee’s employment or termination of employment with Company, and such release has become effective in accordance with its terms prior to the 60th day following the termination date. All other Company obligations to Employee will be automatically terminated and completely extinguished. If Employee’s employment with Company terminates due to Employee’s death or Employee’s inability to perform the essential functions of Employee’s position with or without reasonable accommodation, Employee shall not be entitled to the Severance Payment described above.</w:t>
      </w:r>
    </w:p>
    <w:p>
      <w:pPr>
        <w:sectPr>
          <w:pgSz w:w="11900" w:h="16838" w:orient="portrait"/>
          <w:cols w:equalWidth="0" w:num="1">
            <w:col w:w="11240"/>
          </w:cols>
          <w:pgMar w:left="320" w:top="109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Voluntary Resignation by Employee</w:t>
      </w:r>
      <w:r>
        <w:rPr>
          <w:rFonts w:ascii="Times New Roman" w:cs="Times New Roman" w:eastAsia="Times New Roman" w:hAnsi="Times New Roman"/>
          <w:sz w:val="22"/>
          <w:szCs w:val="22"/>
          <w:color w:val="auto"/>
        </w:rPr>
        <w:t>. Employee may voluntarily resign Employee’s position with Company at any time on thirty (30) days’ advance written notice. In the event of Employee’s voluntary resignation, Employee will be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entitled to receive only Accrued Benefits for the thirty-day notice period and no other amount. All other Company obligations to Employee pursuant to this Agreement will become automatically terminated and completely extinguished. In addition, Employee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 not be entitled to receive the Severance Payment described in subsection 7.2 above.</w:t>
      </w:r>
    </w:p>
    <w:p>
      <w:pPr>
        <w:spacing w:after="0" w:line="182" w:lineRule="exact"/>
        <w:rPr>
          <w:sz w:val="20"/>
          <w:szCs w:val="20"/>
          <w:color w:val="auto"/>
        </w:rPr>
      </w:pPr>
    </w:p>
    <w:p>
      <w:pPr>
        <w:jc w:val="both"/>
        <w:ind w:firstLine="656"/>
        <w:spacing w:after="0" w:line="230"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Board or Other Positions</w:t>
      </w:r>
      <w:r>
        <w:rPr>
          <w:rFonts w:ascii="Times New Roman" w:cs="Times New Roman" w:eastAsia="Times New Roman" w:hAnsi="Times New Roman"/>
          <w:sz w:val="22"/>
          <w:szCs w:val="22"/>
          <w:color w:val="auto"/>
        </w:rPr>
        <w:t>. Upon the termination of Employee’s employment for any reason, Employee agrees to immediately resign all other positions (including Board membership) Employee may hold on behalf of Company.</w:t>
      </w:r>
    </w:p>
    <w:p>
      <w:pPr>
        <w:spacing w:after="0" w:line="19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114"/>
        <w:spacing w:after="0" w:line="224" w:lineRule="auto"/>
        <w:tabs>
          <w:tab w:leader="none" w:pos="258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Times New Roman" w:cs="Times New Roman" w:eastAsia="Times New Roman" w:hAnsi="Times New Roman"/>
          <w:sz w:val="22"/>
          <w:szCs w:val="22"/>
          <w:b w:val="1"/>
          <w:bCs w:val="1"/>
          <w:i w:val="1"/>
          <w:iCs w:val="1"/>
          <w:color w:val="auto"/>
        </w:rPr>
        <w:t>Section 409A Regulations</w:t>
      </w:r>
      <w:r>
        <w:rPr>
          <w:rFonts w:ascii="Times New Roman" w:cs="Times New Roman" w:eastAsia="Times New Roman" w:hAnsi="Times New Roman"/>
          <w:sz w:val="22"/>
          <w:szCs w:val="22"/>
          <w:color w:val="auto"/>
        </w:rPr>
        <w:t>”) shall be paid unless and until Employee has incurred a “separation from service” within the meaning of the Section 409A Regulations. Furthermore, to the extent that Employee is a “specified employee” within the meaning of the Section 409A Regulations as of the date of Employee’s separation from service, no amount that constitutes a deferral of compensation which is payable on account of Employee’s separation from service shall be paid to Employee before the date (the “</w:t>
      </w:r>
      <w:r>
        <w:rPr>
          <w:rFonts w:ascii="Times New Roman" w:cs="Times New Roman" w:eastAsia="Times New Roman" w:hAnsi="Times New Roman"/>
          <w:sz w:val="22"/>
          <w:szCs w:val="22"/>
          <w:b w:val="1"/>
          <w:bCs w:val="1"/>
          <w:i w:val="1"/>
          <w:iCs w:val="1"/>
          <w:color w:val="auto"/>
        </w:rPr>
        <w:t>Delayed Payment Date</w:t>
      </w:r>
      <w:r>
        <w:rPr>
          <w:rFonts w:ascii="Times New Roman" w:cs="Times New Roman" w:eastAsia="Times New Roman" w:hAnsi="Times New Roman"/>
          <w:sz w:val="22"/>
          <w:szCs w:val="22"/>
          <w:color w:val="auto"/>
        </w:rPr>
        <w:t>”) which is first day of the seventh month after the date of Employee’s separation from service or, if earlier, the date of Employee’s death following such separation from service. All such amounts that would, but for this Section, become payable prior to the Delayed Payment Date will be accumulated and paid on the Delayed Payment Date.</w:t>
      </w:r>
    </w:p>
    <w:p>
      <w:pPr>
        <w:spacing w:after="0" w:line="176" w:lineRule="exact"/>
        <w:rPr>
          <w:rFonts w:ascii="Times New Roman" w:cs="Times New Roman" w:eastAsia="Times New Roman" w:hAnsi="Times New Roman"/>
          <w:sz w:val="22"/>
          <w:szCs w:val="22"/>
          <w:color w:val="auto"/>
        </w:rPr>
      </w:pPr>
    </w:p>
    <w:p>
      <w:pPr>
        <w:jc w:val="both"/>
        <w:ind w:firstLine="2114"/>
        <w:spacing w:after="0" w:line="232" w:lineRule="auto"/>
        <w:tabs>
          <w:tab w:leader="none" w:pos="258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Company intends that income provided to Employee pursuant to this Agreement will not be subject to taxation under Section 409A of the Code. The provisions of this Agreement shall be interpreted and construed in favor of satisfying any applicable requirements of Section 409A of the Code. </w:t>
      </w:r>
      <w:r>
        <w:rPr>
          <w:rFonts w:ascii="Times New Roman" w:cs="Times New Roman" w:eastAsia="Times New Roman" w:hAnsi="Times New Roman"/>
          <w:sz w:val="21"/>
          <w:szCs w:val="21"/>
          <w:b w:val="1"/>
          <w:bCs w:val="1"/>
          <w:color w:val="auto"/>
        </w:rPr>
        <w:t>However, Company does not guarantee any particular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tax effect for income provided to Employee pursuant to this Agreement. </w:t>
      </w:r>
      <w:r>
        <w:rPr>
          <w:rFonts w:ascii="Times New Roman" w:cs="Times New Roman" w:eastAsia="Times New Roman" w:hAnsi="Times New Roman"/>
          <w:sz w:val="21"/>
          <w:szCs w:val="21"/>
          <w:color w:val="auto"/>
        </w:rPr>
        <w:t>In any event, except for Company’s responsibility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withhold applicable income and employment taxes from compensation paid or provided to Employee, Company shall not be responsible for the payment of any applicable taxes on compensation paid or provided to Employee pursuant to this Agreement.</w:t>
      </w:r>
    </w:p>
    <w:p>
      <w:pPr>
        <w:spacing w:after="0" w:line="178" w:lineRule="exact"/>
        <w:rPr>
          <w:rFonts w:ascii="Times New Roman" w:cs="Times New Roman" w:eastAsia="Times New Roman" w:hAnsi="Times New Roman"/>
          <w:sz w:val="21"/>
          <w:szCs w:val="21"/>
          <w:color w:val="auto"/>
        </w:rPr>
      </w:pPr>
    </w:p>
    <w:p>
      <w:pPr>
        <w:jc w:val="both"/>
        <w:ind w:firstLine="2114"/>
        <w:spacing w:after="0" w:line="230" w:lineRule="auto"/>
        <w:tabs>
          <w:tab w:leader="none" w:pos="258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Company’s applicable policies, but in no event later than the end of the year after the year in which such expense was incurred; and (3) the right to reimbursement or in-kind benefits shall not be subject to liquidation or exchange for another benefit</w:t>
      </w:r>
      <w:r>
        <w:rPr>
          <w:rFonts w:ascii="Times New Roman" w:cs="Times New Roman" w:eastAsia="Times New Roman" w:hAnsi="Times New Roman"/>
          <w:sz w:val="21"/>
          <w:szCs w:val="21"/>
          <w:b w:val="1"/>
          <w:bCs w:val="1"/>
          <w:color w:val="auto"/>
        </w:rPr>
        <w:t>.</w:t>
      </w:r>
    </w:p>
    <w:p>
      <w:pPr>
        <w:sectPr>
          <w:pgSz w:w="11900" w:h="16838" w:orient="portrait"/>
          <w:cols w:equalWidth="0" w:num="1">
            <w:col w:w="11240"/>
          </w:cols>
          <w:pgMar w:left="320" w:top="109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2114"/>
        <w:spacing w:after="0" w:line="245" w:lineRule="auto"/>
        <w:tabs>
          <w:tab w:leader="none" w:pos="2587"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of the Code, the right to a series of installment payments under this Agreement shall be treated as a right to a series of separate payments.</w:t>
      </w:r>
    </w:p>
    <w:p>
      <w:pPr>
        <w:spacing w:after="0" w:line="172"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 of Interest</w:t>
      </w:r>
      <w:r>
        <w:rPr>
          <w:rFonts w:ascii="Times New Roman" w:cs="Times New Roman" w:eastAsia="Times New Roman" w:hAnsi="Times New Roman"/>
          <w:sz w:val="22"/>
          <w:szCs w:val="22"/>
          <w:color w:val="auto"/>
        </w:rPr>
        <w:t>. During the term of Employee’s employment with Company, Employee agrees not to engage in any work, paid or unpaid, or other activities that create a conflict of interest. Such work and/or activities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Employee’s employment with Company, as may be determined by Company in its sole discretion. If Company believes such a conflict exists during the term of this Agreement, Company may ask Employee to, and Employee shall, discontinue the other work and/or activities or resign employment with Company.</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Employee agrees that during Employee’s employment with Company and for a period of twelve</w:t>
      </w:r>
    </w:p>
    <w:p>
      <w:pPr>
        <w:ind w:left="440" w:hanging="432"/>
        <w:spacing w:after="0" w:line="228" w:lineRule="auto"/>
        <w:tabs>
          <w:tab w:leader="none" w:pos="4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immediately following termination of such employment for any reason (the “</w:t>
      </w:r>
      <w:r>
        <w:rPr>
          <w:rFonts w:ascii="Times New Roman" w:cs="Times New Roman" w:eastAsia="Times New Roman" w:hAnsi="Times New Roman"/>
          <w:sz w:val="21"/>
          <w:szCs w:val="21"/>
          <w:b w:val="1"/>
          <w:bCs w:val="1"/>
          <w:i w:val="1"/>
          <w:iCs w:val="1"/>
          <w:color w:val="auto"/>
        </w:rPr>
        <w:t>Non-competition Period</w:t>
      </w:r>
      <w:r>
        <w:rPr>
          <w:rFonts w:ascii="Times New Roman" w:cs="Times New Roman" w:eastAsia="Times New Roman" w:hAnsi="Times New Roman"/>
          <w:sz w:val="21"/>
          <w:szCs w:val="21"/>
          <w:color w:val="auto"/>
        </w:rPr>
        <w:t>”), Employee</w:t>
      </w:r>
    </w:p>
    <w:p>
      <w:pPr>
        <w:jc w:val="both"/>
        <w:spacing w:after="0" w:line="211" w:lineRule="auto"/>
        <w:rPr>
          <w:sz w:val="20"/>
          <w:szCs w:val="20"/>
          <w:color w:val="auto"/>
        </w:rPr>
      </w:pPr>
      <w:r>
        <w:rPr>
          <w:rFonts w:ascii="Times New Roman" w:cs="Times New Roman" w:eastAsia="Times New Roman" w:hAnsi="Times New Roman"/>
          <w:sz w:val="22"/>
          <w:szCs w:val="22"/>
          <w:color w:val="auto"/>
        </w:rPr>
        <w:t>shall not in any manner, directly or indirectly, through any person, firm or corporation, alone or as a member of a partnership or as an officer, director, stockholder, investor or employee of or consultant to any other corporation or enterprise or otherwise,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engage or be engaged, or assist any other person, firm, corporation or enterprise in engaging or being engaged, in any business, in which Employee was involved or had knowledge, being conducted by, or contemplated by, Company or any of its subsidiaries as</w:t>
      </w:r>
    </w:p>
    <w:p>
      <w:pPr>
        <w:spacing w:after="0" w:line="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of the termination of Employee’s employment in any geographic area in which Company or any of its subsidiaries is then conducting such business.</w:t>
      </w:r>
    </w:p>
    <w:p>
      <w:pPr>
        <w:spacing w:after="0" w:line="190" w:lineRule="exact"/>
        <w:rPr>
          <w:sz w:val="20"/>
          <w:szCs w:val="20"/>
          <w:color w:val="auto"/>
        </w:rPr>
      </w:pPr>
    </w:p>
    <w:p>
      <w:pPr>
        <w:jc w:val="both"/>
        <w:ind w:firstLine="656"/>
        <w:spacing w:after="0" w:line="223"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Employee acknowledges that Company’s relationship with its clients, employees, vendors, suppliers and other persons with whom Company has a business relationship (hereinafter referred to as “</w:t>
      </w:r>
      <w:r>
        <w:rPr>
          <w:rFonts w:ascii="Times New Roman" w:cs="Times New Roman" w:eastAsia="Times New Roman" w:hAnsi="Times New Roman"/>
          <w:sz w:val="22"/>
          <w:szCs w:val="22"/>
          <w:b w:val="1"/>
          <w:bCs w:val="1"/>
          <w:i w:val="1"/>
          <w:iCs w:val="1"/>
          <w:color w:val="auto"/>
        </w:rPr>
        <w:t>Prohibited Persons</w:t>
      </w:r>
      <w:r>
        <w:rPr>
          <w:rFonts w:ascii="Times New Roman" w:cs="Times New Roman" w:eastAsia="Times New Roman" w:hAnsi="Times New Roman"/>
          <w:sz w:val="22"/>
          <w:szCs w:val="22"/>
          <w:color w:val="auto"/>
        </w:rPr>
        <w:t>”), are special and unique, and that Company’s relationship with the Prohibited Persons may not be able to be replaced by Company. Employee further acknowledges that the protection of Company’s Prohibited Persons is essential.</w:t>
      </w:r>
    </w:p>
    <w:p>
      <w:pPr>
        <w:spacing w:after="0" w:line="194" w:lineRule="exact"/>
        <w:rPr>
          <w:sz w:val="20"/>
          <w:szCs w:val="20"/>
          <w:color w:val="auto"/>
        </w:rPr>
      </w:pPr>
    </w:p>
    <w:p>
      <w:pPr>
        <w:jc w:val="both"/>
        <w:ind w:firstLine="972"/>
        <w:spacing w:after="0" w:line="222" w:lineRule="auto"/>
        <w:rPr>
          <w:sz w:val="20"/>
          <w:szCs w:val="20"/>
          <w:color w:val="auto"/>
        </w:rPr>
      </w:pPr>
      <w:r>
        <w:rPr>
          <w:rFonts w:ascii="Times New Roman" w:cs="Times New Roman" w:eastAsia="Times New Roman" w:hAnsi="Times New Roman"/>
          <w:sz w:val="22"/>
          <w:szCs w:val="22"/>
          <w:color w:val="auto"/>
        </w:rPr>
        <w:t>Therefore, Employee expressly covenants and agrees that during Employee’s employment with Company and for a period of twenty-four (24) months immediately following termination of Employee’s employment for any reason (the “</w:t>
      </w:r>
      <w:r>
        <w:rPr>
          <w:rFonts w:ascii="Times New Roman" w:cs="Times New Roman" w:eastAsia="Times New Roman" w:hAnsi="Times New Roman"/>
          <w:sz w:val="22"/>
          <w:szCs w:val="22"/>
          <w:b w:val="1"/>
          <w:bCs w:val="1"/>
          <w:i w:val="1"/>
          <w:iCs w:val="1"/>
          <w:color w:val="auto"/>
        </w:rPr>
        <w:t>Non-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i w:val="1"/>
          <w:iCs w:val="1"/>
          <w:color w:val="auto"/>
        </w:rPr>
        <w:t>solicitation Period</w:t>
      </w:r>
      <w:r>
        <w:rPr>
          <w:rFonts w:ascii="Times New Roman" w:cs="Times New Roman" w:eastAsia="Times New Roman" w:hAnsi="Times New Roman"/>
          <w:sz w:val="22"/>
          <w:szCs w:val="22"/>
          <w:color w:val="auto"/>
        </w:rPr>
        <w:t>”), Employee will not at any time for himself or on behalf of any other person, firm, partnership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corporation: (1) induce, or attempt to induce, any Prohibited Persons either to refrain, or to cease doing business with Company; or (2) directly or indirectly solicit, hire, induce or otherwise engage a Prohibited Person in any competitive business.</w:t>
      </w:r>
    </w:p>
    <w:p>
      <w:pPr>
        <w:spacing w:after="0" w:line="191"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13.1.</w:t>
        <w:tab/>
        <w:t>Employee  recognizes  that  the  knowledge  and  information  about,  and  relationships  with  business</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associates, customers, clients and agents of Company and its affiliated companies, and the business methods, systems, plans, and policies of Company and of its affiliated companies, which Employee may receive, obtain, or establish as an employee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are</w:t>
      </w:r>
    </w:p>
    <w:p>
      <w:pPr>
        <w:sectPr>
          <w:pgSz w:w="11900" w:h="16838" w:orient="portrait"/>
          <w:cols w:equalWidth="0" w:num="1">
            <w:col w:w="11240"/>
          </w:cols>
          <w:pgMar w:left="320" w:top="109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valuable and unique assets of Company or its affiliates. Employee agrees that, during any Employment Period and thereafter, Employee shall not disclose or remove, without the written consent of Company, (i) any material or substantial, confidential, or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proprietary know-how, data, or information, including, but not limited to software, data, information relating to customers, pricing, safety manuals, training manuals, Quality Assurance/Quality Control manuals, mandatory processes and means or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techniques pertaining to Company or its affiliates, and (ii) any business plans, strategies, targets, or directives, to any person, firm, corporation, or any other entity, for any reason or purpose whatsoever. Employee acknowledges and agrees that all</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memoranda, notes, records, clients lists, client information and other documents, computer software, data or material in any form made or compiled by Employee or made available to Employee concerning Company’s business is and shall be Company’s</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exclusive property and shall be delivered by Employee to Company upon termination of Employee’s employment or at any other time upon the request of Company.</w:t>
      </w:r>
    </w:p>
    <w:p>
      <w:pPr>
        <w:spacing w:after="0" w:line="190"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13.2 The restrictions in the above paragraph shall not apply to: (1) information that at the time of disclosure is in the public domain through no fault of Employee’s;(2) information received from a third party outside of Company that was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disclosed without a breach of any confidentiality obligation; (3) information approved for release by written authorization of Company; or (4) information that may be required by law or an order of any court, agency or proceeding to be disclosed.</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Employee shall provide Company notice of any such required disclosure once Employee has knowledge of it and will help Company to the extent reasonable to obtain an appropriate protective order.</w:t>
      </w:r>
    </w:p>
    <w:p>
      <w:pPr>
        <w:spacing w:after="0" w:line="19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13.3 Company acknowledges that Employee has had significant prior work experience in the industry in which Company is engaged, and that Employee enters into this Agreement with significant prior knowledge, information and relationships in such industry.</w:t>
      </w:r>
    </w:p>
    <w:p>
      <w:pPr>
        <w:spacing w:after="0" w:line="193"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Remedies, Construction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1"/>
          <w:szCs w:val="21"/>
          <w:color w:val="auto"/>
        </w:rPr>
        <w:t>14.1 Employee covenants, agrees, and recognizes the breach or threatened breach of the covenants, or any of them, contained in Sections 11, 12 and 13 will result in immediate and irreparable injury to Company and that Company shall be entitled to an injunction restraining Employee or any of his affiliates from any violation of Sections 11, 12 and 13 to the fullest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extent allowed by law. Employee further covenants and agrees that in the event of a violation of any of his respective covenants and agreements contained in Sections 11, 12 and 13 hereof, Company shall be entitled to an accounting of all profits,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compensation, commissions, remunerations or benefits which Employee directly or indirectly has realized and/or may realize as a result of, growing out of or in connection with any such violation and shall be entitled to receive all such amounts to which</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Company would be entitled as damages under law or at equity. Nothing herein shall be construed as prohibiting Company from pursuing any other legal or equitable remedies that may be available to it for any such breach or threatened breach.</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Employee agrees that in the event he breaches the covenants, or any of them, contained in Sections 11 and</w:t>
      </w:r>
    </w:p>
    <w:p>
      <w:pPr>
        <w:spacing w:after="0" w:line="217" w:lineRule="auto"/>
        <w:rPr>
          <w:sz w:val="20"/>
          <w:szCs w:val="20"/>
          <w:color w:val="auto"/>
        </w:rPr>
      </w:pPr>
      <w:r>
        <w:rPr>
          <w:rFonts w:ascii="Times New Roman" w:cs="Times New Roman" w:eastAsia="Times New Roman" w:hAnsi="Times New Roman"/>
          <w:sz w:val="22"/>
          <w:szCs w:val="22"/>
          <w:color w:val="auto"/>
        </w:rPr>
        <w:t>12, then the Non-competition Period or Non-solicitation Period, as applicable, shall be automatically extended by the length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any such breach remains continuing.</w:t>
      </w:r>
    </w:p>
    <w:p>
      <w:pPr>
        <w:sectPr>
          <w:pgSz w:w="11900" w:h="16838" w:orient="portrait"/>
          <w:cols w:equalWidth="0" w:num="1">
            <w:col w:w="11240"/>
          </w:cols>
          <w:pgMar w:left="320" w:top="109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color w:val="auto"/>
        </w:rPr>
        <w:t>Employee hereby expressly acknowledges and agrees as follows</w:t>
      </w:r>
    </w:p>
    <w:p>
      <w:pPr>
        <w:spacing w:after="0" w:line="206" w:lineRule="exact"/>
        <w:rPr>
          <w:sz w:val="20"/>
          <w:szCs w:val="20"/>
          <w:color w:val="auto"/>
        </w:rPr>
      </w:pPr>
    </w:p>
    <w:p>
      <w:pPr>
        <w:jc w:val="both"/>
        <w:ind w:firstLine="1952"/>
        <w:spacing w:after="0" w:line="230" w:lineRule="auto"/>
        <w:tabs>
          <w:tab w:leader="none" w:pos="258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he has read the covenants set forth above in Sections 11, 12 and 13, has had an opportunity to discuss them with an attorney and that such covenants are reasonable in all respects and are necessary to protect the legitimate business and competitive interests of Company; and</w:t>
      </w:r>
    </w:p>
    <w:p>
      <w:pPr>
        <w:spacing w:after="0" w:line="190" w:lineRule="exact"/>
        <w:rPr>
          <w:rFonts w:ascii="Times New Roman" w:cs="Times New Roman" w:eastAsia="Times New Roman" w:hAnsi="Times New Roman"/>
          <w:sz w:val="22"/>
          <w:szCs w:val="22"/>
          <w:color w:val="auto"/>
        </w:rPr>
      </w:pPr>
    </w:p>
    <w:p>
      <w:pPr>
        <w:jc w:val="both"/>
        <w:ind w:firstLine="1952"/>
        <w:spacing w:after="0" w:line="226" w:lineRule="auto"/>
        <w:tabs>
          <w:tab w:leader="none" w:pos="258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each of the covenants set forth in Sections 11, 12 and 13 and the subdivisions thereof are separately and independently given, and each such covenant is intended to be enforceable separately and independently of the other such covenants, including, without limitation, enforcement by injunction without the necessity of proving actual damages or posting any bond or other security; provided, however, that the invalidity or unenforceability of this Agreement in any respect shall not affect the validity or enforceability of this Agreement in any other respect. In the event that any provision of this Agreement shall be held invalid or unenforceable by a court of competent jurisdiction by reason of the geographic or business scope or the duration thereof or for any other reason, such invalidity or unenforceability shall attach only to the particular aspect of such provision found invalid or unenforceable as applied and shall not affect or render invalid or unenforceable any other provision of this Agreement or the enforcement of such provision in other circumstances, and, to the fullest extent permitted by law, this Agreement shall be construed as if the geographic or business scope or the duration of such provision or other basis on which such provision has been challenged had been more narrowly drafted so as not to be invalid or unenforceable.</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14.4</w:t>
        <w:tab/>
        <w:t>Nothing in Sections 10 and 11 shall prohibit Employee from being (i) a stockholder in a mutual fund or a</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diversified investment company or (ii) an owner of not more than two percent of the outstanding stock of any class of a corporation, any securities of which are publicly traded, so long as Employee has no active participation in the business of such corporation.</w:t>
      </w:r>
    </w:p>
    <w:p>
      <w:pPr>
        <w:spacing w:after="0" w:line="191"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rights and obligations of Company under this Agreement shall inure to the</w:t>
      </w:r>
    </w:p>
    <w:p>
      <w:pPr>
        <w:spacing w:after="0" w:line="2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benefit of and shall be binding upon the successors and assigns of Company. Employee shall not be entitled to assign any of Employee’s rights or obligations under this Agreement.</w:t>
      </w:r>
    </w:p>
    <w:p>
      <w:pPr>
        <w:spacing w:after="0" w:line="190"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Either party’s failure to enforce any provision of this Agreement shall not in any way be construed as a waiver of any such provision, or prevent that party thereafter from enforcing each and every other provision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right="20" w:firstLine="1296"/>
        <w:spacing w:after="0" w:line="245"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Each side will bear its own attorneys’ fees in any dispute unless a statutory section at issue, if any, authorizes the award of attorneys’ fees to the prevailing party.</w:t>
      </w:r>
    </w:p>
    <w:p>
      <w:pPr>
        <w:spacing w:after="0" w:line="172"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Agreement is found to be unenforceable by a court of competent jurisdiction, such provision shall be deemed modified to the</w:t>
      </w:r>
    </w:p>
    <w:p>
      <w:pPr>
        <w:sectPr>
          <w:pgSz w:w="11900" w:h="16838" w:orient="portrait"/>
          <w:cols w:equalWidth="0" w:num="1">
            <w:col w:w="11240"/>
          </w:cols>
          <w:pgMar w:left="320" w:top="109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extent necessary to allow enforceability of the provision as so limited, it being intended that the parties shall receive the benefit contemplated herein to the fullest extent permitted by law. If a deemed modification is not satisfactory in the judgment of such</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court, the unenforceable provision shall be deemed deleted, and the validity and enforceability of the remaining provisions shall not be affected thereby.</w:t>
      </w:r>
    </w:p>
    <w:p>
      <w:pPr>
        <w:spacing w:after="0" w:line="190"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15.5 </w:t>
      </w: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The headings set forth in this Agreement are for convenience only and shall not be used in interpreting this Agreement. This Agreement has been drafted by legal counsel representing Company, but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Employee has participated in the negotiation of its terms. Furthermore, Employee acknowledges that Employee has had an opportunity to review and revise the Agreement and have it reviewed by legal counsel, if desired, and, therefore, the normal rule</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of construction to the effect that any ambiguities are to be resolved against the drafting party shall not be employed in the interpretation of this Agreement.</w:t>
      </w:r>
    </w:p>
    <w:p>
      <w:pPr>
        <w:spacing w:after="0" w:line="19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1"/>
          <w:szCs w:val="21"/>
          <w:color w:val="auto"/>
        </w:rPr>
        <w:t xml:space="preserve">15.6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governed by and construed in accordance with the laws of the United States and the State of Illinois. Each party consents to the jurisdiction and venue of the state or federal courts in Chicago,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 if applicable, in any action, suit, or proceeding arising out of or relating to this Agreement.</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by this Agreement shall be in writing and shall be delivered as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follows with notice deemed given as indicated: (a) by personal delivery when delivered personally; (b) by overnight courier upon written verification of receipt; (c) by telecopy or facsimile transmission upon acknowledgment of receipt of electronic</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transmission; or (d) by certified or registered mail, return receipt requested, upon verification of receipt. All notices shall be addressed as follows: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Melissa King</w:t>
      </w:r>
    </w:p>
    <w:p>
      <w:pPr>
        <w:spacing w:after="0"/>
        <w:rPr>
          <w:sz w:val="20"/>
          <w:szCs w:val="20"/>
          <w:color w:val="auto"/>
        </w:rPr>
      </w:pPr>
      <w:r>
        <w:rPr>
          <w:rFonts w:ascii="Times New Roman" w:cs="Times New Roman" w:eastAsia="Times New Roman" w:hAnsi="Times New Roman"/>
          <w:sz w:val="22"/>
          <w:szCs w:val="22"/>
          <w:color w:val="auto"/>
        </w:rPr>
        <w:t>[REDACTED]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17" w:lineRule="auto"/>
        <w:rPr>
          <w:sz w:val="20"/>
          <w:szCs w:val="20"/>
          <w:color w:val="auto"/>
        </w:rPr>
      </w:pPr>
      <w:r>
        <w:rPr>
          <w:rFonts w:ascii="Times New Roman" w:cs="Times New Roman" w:eastAsia="Times New Roman" w:hAnsi="Times New Roman"/>
          <w:sz w:val="22"/>
          <w:szCs w:val="22"/>
          <w:color w:val="auto"/>
        </w:rPr>
        <w:t>Paylocity Corporation</w:t>
      </w:r>
    </w:p>
    <w:p>
      <w:pPr>
        <w:spacing w:after="0" w:line="205" w:lineRule="auto"/>
        <w:rPr>
          <w:sz w:val="20"/>
          <w:szCs w:val="20"/>
          <w:color w:val="auto"/>
        </w:rPr>
      </w:pPr>
      <w:r>
        <w:rPr>
          <w:rFonts w:ascii="Times New Roman" w:cs="Times New Roman" w:eastAsia="Times New Roman" w:hAnsi="Times New Roman"/>
          <w:sz w:val="22"/>
          <w:szCs w:val="22"/>
          <w:color w:val="auto"/>
        </w:rPr>
        <w:t>1400 American LN</w:t>
      </w:r>
    </w:p>
    <w:p>
      <w:pPr>
        <w:spacing w:after="0" w:line="218" w:lineRule="auto"/>
        <w:rPr>
          <w:sz w:val="20"/>
          <w:szCs w:val="20"/>
          <w:color w:val="auto"/>
        </w:rPr>
      </w:pPr>
      <w:r>
        <w:rPr>
          <w:rFonts w:ascii="Times New Roman" w:cs="Times New Roman" w:eastAsia="Times New Roman" w:hAnsi="Times New Roman"/>
          <w:sz w:val="22"/>
          <w:szCs w:val="22"/>
          <w:color w:val="auto"/>
        </w:rPr>
        <w:t>Schaumburg, IL 60173</w:t>
      </w:r>
    </w:p>
    <w:p>
      <w:pPr>
        <w:spacing w:after="0"/>
        <w:rPr>
          <w:sz w:val="20"/>
          <w:szCs w:val="20"/>
          <w:color w:val="auto"/>
        </w:rPr>
      </w:pPr>
      <w:r>
        <w:rPr>
          <w:rFonts w:ascii="Times New Roman" w:cs="Times New Roman" w:eastAsia="Times New Roman" w:hAnsi="Times New Roman"/>
          <w:sz w:val="22"/>
          <w:szCs w:val="22"/>
          <w:color w:val="auto"/>
        </w:rPr>
        <w:t>Attention: Amber Livingston, General Counsel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at such changed addresses as the parties may designate in writing.</w:t>
      </w:r>
    </w:p>
    <w:p>
      <w:pPr>
        <w:spacing w:after="0" w:line="22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1"/>
          <w:szCs w:val="21"/>
          <w:color w:val="auto"/>
        </w:rPr>
        <w:t xml:space="preserve">15.8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Sections 7.2 (Termination Without Cause by Company/Severance), 9 (Application of Section 409A), 10 (“No Conflict of Interest”), 11 (“Non-Competition”), 12 (“NonSolicitation”), 13 (“Nondisclosure of Confidential Information”),</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14 (“Enforcement, Remedies and Construction”), 15 (“General Provisions”) and 16 (“Entire Agreement”) of this Agreement shall survive Employee’s employment by Company.</w:t>
      </w:r>
    </w:p>
    <w:p>
      <w:pPr>
        <w:sectPr>
          <w:pgSz w:w="11900" w:h="16838" w:orient="portrait"/>
          <w:cols w:equalWidth="0" w:num="1">
            <w:col w:w="11240"/>
          </w:cols>
          <w:pgMar w:left="320" w:top="109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56"/>
        <w:spacing w:after="0" w:line="223" w:lineRule="auto"/>
        <w:tabs>
          <w:tab w:leader="none" w:pos="136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Employee and the Company. No oral waiver, amendment or modification will be effective under any circumstances whatsoever.</w:t>
      </w:r>
    </w:p>
    <w:p>
      <w:pPr>
        <w:spacing w:after="0" w:line="1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appear on following page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9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THE PARTIES TO THIS AGREEMENT HAVE READ THE FOREGOING AGREEMENT AND FULLY UNDERSTAND EACH AND EVERY PROVISION CONTAINED HEREIN. WHEREFORE, THE PARTIES HAVE EXECUTED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ON THE DATES SHOWN BELOW.</w:t>
      </w:r>
    </w:p>
    <w:p>
      <w:pPr>
        <w:spacing w:after="0" w:line="2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Melissa King</w:t>
      </w:r>
    </w:p>
    <w:p>
      <w:pPr>
        <w:spacing w:after="0" w:line="28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/s/ Melissa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19685</wp:posOffset>
            </wp:positionV>
            <wp:extent cx="33261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Paylocity Corporation</w:t>
      </w:r>
    </w:p>
    <w:p>
      <w:pPr>
        <w:spacing w:after="0" w:line="28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By: /s/ Toby J. Williams</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Name: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-160020</wp:posOffset>
            </wp:positionV>
            <wp:extent cx="33261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ectPr>
          <w:pgSz w:w="11900" w:h="16838" w:orient="portrait"/>
          <w:cols w:equalWidth="0" w:num="1">
            <w:col w:w="11240"/>
          </w:cols>
          <w:pgMar w:left="320" w:top="109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56" w:lineRule="exact"/>
        <w:rPr>
          <w:sz w:val="20"/>
          <w:szCs w:val="20"/>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Paylocity Corporation, an Illinois corporation</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Administration Technologies, Inc., a Delaware corporation</w:t>
      </w:r>
    </w:p>
    <w:p>
      <w:pPr>
        <w:spacing w:after="0" w:line="3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VidGrid Inc., a Delaware corporation</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Samepage Labs Inc., a Delaware corporation</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Paylocity s.r.o., a Czech Republic company</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Marble Payroll, LLC, an Illinois limited liability company</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Cloudsnap, Inc., a Delaware corporation</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TraceHQ.com, Inc., a Delaware corporation</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Paylocity Canada ULC, a Canada unlimited liability company</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Airbase Inc., a Delaware corporation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Airbase Services, LLC, a Delaware limited liability company</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Airbase Card Services, LLC, a Delaware limited liability company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Airbase Labs India Private Limited, an India company</w:t>
      </w:r>
    </w:p>
    <w:p>
      <w:pPr>
        <w:sectPr>
          <w:pgSz w:w="11900" w:h="16838" w:orient="portrait"/>
          <w:cols w:equalWidth="0" w:num="1">
            <w:col w:w="10908"/>
          </w:cols>
          <w:pgMar w:left="652" w:top="141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333-194840, No. 333-201983, No. 333-209520, No. 333-216001, No. 333-222959, No. 333-252779, No. 333-262514, No. 333-269548, No. 333-275800 and No. 333-276961) on Form S-8 of our report dated August 6, 2025, with respect to the consolidated financial statements of Paylocity Holding Corporation and the effectiveness of internal control over financial reporting.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rPr>
          <w:sz w:val="20"/>
          <w:szCs w:val="20"/>
          <w:color w:val="auto"/>
        </w:rPr>
      </w:pPr>
      <w:r>
        <w:rPr>
          <w:rFonts w:ascii="Times New Roman" w:cs="Times New Roman" w:eastAsia="Times New Roman" w:hAnsi="Times New Roman"/>
          <w:sz w:val="18"/>
          <w:szCs w:val="18"/>
          <w:color w:val="auto"/>
        </w:rPr>
        <w:t>August 6, 2025</w:t>
      </w:r>
    </w:p>
    <w:p>
      <w:pPr>
        <w:sectPr>
          <w:pgSz w:w="11900" w:h="16838" w:orient="portrait"/>
          <w:cols w:equalWidth="0" w:num="1">
            <w:col w:w="11240"/>
          </w:cols>
          <w:pgMar w:left="320" w:top="1076"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225"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644"/>
        <w:spacing w:after="0" w:line="266" w:lineRule="auto"/>
        <w:tabs>
          <w:tab w:leader="none" w:pos="161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62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312" w:lineRule="auto"/>
        <w:tabs>
          <w:tab w:leader="none" w:pos="1613"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 w:firstLine="644"/>
        <w:spacing w:after="0" w:line="266" w:lineRule="auto"/>
        <w:tabs>
          <w:tab w:leader="none" w:pos="162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656"/>
        <w:spacing w:after="0" w:line="28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60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1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 and</w:t>
            </w:r>
          </w:p>
        </w:tc>
      </w:tr>
      <w:tr>
        <w:trPr>
          <w:trHeight w:val="243"/>
        </w:trPr>
        <w:tc>
          <w:tcPr>
            <w:tcW w:w="576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ectPr>
          <w:pgSz w:w="11900" w:h="16838" w:orient="portrait"/>
          <w:cols w:equalWidth="0" w:num="1">
            <w:col w:w="11240"/>
          </w:cols>
          <w:pgMar w:left="320" w:top="114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225"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644"/>
        <w:spacing w:after="0" w:line="266" w:lineRule="auto"/>
        <w:tabs>
          <w:tab w:leader="none" w:pos="161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62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312" w:lineRule="auto"/>
        <w:tabs>
          <w:tab w:leader="none" w:pos="161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 w:firstLine="644"/>
        <w:spacing w:after="0" w:line="266" w:lineRule="auto"/>
        <w:tabs>
          <w:tab w:leader="none" w:pos="162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656"/>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60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1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tc>
      </w:tr>
    </w:tbl>
    <w:p>
      <w:pPr>
        <w:sectPr>
          <w:pgSz w:w="11900" w:h="16838" w:orient="portrait"/>
          <w:cols w:equalWidth="0" w:num="1">
            <w:col w:w="11240"/>
          </w:cols>
          <w:pgMar w:left="320" w:top="114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2025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 and</w:t>
            </w:r>
          </w:p>
        </w:tc>
      </w:tr>
      <w:tr>
        <w:trPr>
          <w:trHeight w:val="243"/>
        </w:trPr>
        <w:tc>
          <w:tcPr>
            <w:tcW w:w="576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pacing w:after="0" w:line="34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2025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tc>
      </w:tr>
    </w:tbl>
    <w:p>
      <w:pPr>
        <w:spacing w:after="0" w:line="33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lowerLetter"/>
      <w:start w:val="2"/>
    </w:lvl>
  </w:abstractNum>
  <w:abstractNum w:abstractNumId="18">
    <w:nsid w:val="725A06FB"/>
    <w:multiLevelType w:val="hybridMultilevel"/>
    <w:lvl w:ilvl="0">
      <w:lvlJc w:val="left"/>
      <w:lvlText w:val="(%1)"/>
      <w:numFmt w:val="lowerLetter"/>
      <w:start w:val="3"/>
    </w:lvl>
  </w:abstractNum>
  <w:abstractNum w:abstractNumId="19">
    <w:nsid w:val="2CD89A32"/>
    <w:multiLevelType w:val="hybridMultilevel"/>
    <w:lvl w:ilvl="0">
      <w:lvlJc w:val="left"/>
      <w:lvlText w:val="(%1)"/>
      <w:numFmt w:val="lowerLetter"/>
      <w:start w:val="4"/>
    </w:lvl>
  </w:abstractNum>
  <w:abstractNum w:abstractNumId="20">
    <w:nsid w:val="57E4CCAF"/>
    <w:multiLevelType w:val="hybridMultilevel"/>
    <w:lvl w:ilvl="0">
      <w:lvlJc w:val="left"/>
      <w:lvlText w:val="(%1)"/>
      <w:numFmt w:val="lowerLetter"/>
      <w:start w:val="5"/>
    </w:lvl>
  </w:abstractNum>
  <w:abstractNum w:abstractNumId="21">
    <w:nsid w:val="7A6D8D3C"/>
    <w:multiLevelType w:val="hybridMultilevel"/>
    <w:lvl w:ilvl="0">
      <w:lvlJc w:val="left"/>
      <w:lvlText w:val="(%1)"/>
      <w:numFmt w:val="lowerLetter"/>
      <w:start w:val="6"/>
    </w:lvl>
  </w:abstractNum>
  <w:abstractNum w:abstractNumId="22">
    <w:nsid w:val="4B588F54"/>
    <w:multiLevelType w:val="hybridMultilevel"/>
    <w:lvl w:ilvl="0">
      <w:lvlJc w:val="left"/>
      <w:lvlText w:val="(%1)"/>
      <w:numFmt w:val="lowerLetter"/>
      <w:start w:val="7"/>
    </w:lvl>
  </w:abstractNum>
  <w:abstractNum w:abstractNumId="23">
    <w:nsid w:val="542289EC"/>
    <w:multiLevelType w:val="hybridMultilevel"/>
    <w:lvl w:ilvl="0">
      <w:lvlJc w:val="left"/>
      <w:lvlText w:val="(%1)"/>
      <w:numFmt w:val="lowerLetter"/>
      <w:start w:val="8"/>
    </w:lvl>
  </w:abstractNum>
  <w:abstractNum w:abstractNumId="24">
    <w:nsid w:val="6DE91B18"/>
    <w:multiLevelType w:val="hybridMultilevel"/>
    <w:lvl w:ilvl="0">
      <w:lvlJc w:val="left"/>
      <w:lvlText w:val="(%1)"/>
      <w:numFmt w:val="lowerRoman"/>
      <w:start w:val="1"/>
    </w:lvl>
  </w:abstractNum>
  <w:abstractNum w:abstractNumId="25">
    <w:nsid w:val="38437FDB"/>
    <w:multiLevelType w:val="hybridMultilevel"/>
    <w:lvl w:ilvl="0">
      <w:lvlJc w:val="left"/>
      <w:lvlText w:val="(%1)"/>
      <w:numFmt w:val="lowerLetter"/>
      <w:start w:val="10"/>
    </w:lvl>
  </w:abstractNum>
  <w:abstractNum w:abstractNumId="26">
    <w:nsid w:val="7644A45C"/>
    <w:multiLevelType w:val="hybridMultilevel"/>
    <w:lvl w:ilvl="0">
      <w:lvlJc w:val="left"/>
      <w:lvlText w:val="(%1)"/>
      <w:numFmt w:val="lowerLetter"/>
      <w:start w:val="11"/>
    </w:lvl>
  </w:abstractNum>
  <w:abstractNum w:abstractNumId="27">
    <w:nsid w:val="32FFF902"/>
    <w:multiLevelType w:val="hybridMultilevel"/>
    <w:lvl w:ilvl="0">
      <w:lvlJc w:val="left"/>
      <w:lvlText w:val="(%1)"/>
      <w:numFmt w:val="lowerLetter"/>
      <w:start w:val="12"/>
    </w:lvl>
  </w:abstractNum>
  <w:abstractNum w:abstractNumId="28">
    <w:nsid w:val="684A481A"/>
    <w:multiLevelType w:val="hybridMultilevel"/>
    <w:lvl w:ilvl="0">
      <w:lvlJc w:val="left"/>
      <w:lvlText w:val="(%1)"/>
      <w:numFmt w:val="lowerLetter"/>
      <w:start w:val="13"/>
    </w:lvl>
  </w:abstractNum>
  <w:abstractNum w:abstractNumId="29">
    <w:nsid w:val="579478FE"/>
    <w:multiLevelType w:val="hybridMultilevel"/>
    <w:lvl w:ilvl="0">
      <w:lvlJc w:val="left"/>
      <w:lvlText w:val="(%1)"/>
      <w:numFmt w:val="lowerLetter"/>
      <w:start w:val="14"/>
    </w:lvl>
  </w:abstractNum>
  <w:abstractNum w:abstractNumId="30">
    <w:nsid w:val="749ABB43"/>
    <w:multiLevelType w:val="hybridMultilevel"/>
    <w:lvl w:ilvl="0">
      <w:lvlJc w:val="left"/>
      <w:lvlText w:val="(%1)"/>
      <w:numFmt w:val="lowerLetter"/>
      <w:start w:val="15"/>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lowerLetter"/>
      <w:start w:val="16"/>
    </w:lvl>
  </w:abstractNum>
  <w:abstractNum w:abstractNumId="33">
    <w:nsid w:val="79A1DEAA"/>
    <w:multiLevelType w:val="hybridMultilevel"/>
    <w:lvl w:ilvl="0">
      <w:lvlJc w:val="left"/>
      <w:lvlText w:val="(%1)"/>
      <w:numFmt w:val="lowerLetter"/>
      <w:start w:val="17"/>
    </w:lvl>
  </w:abstractNum>
  <w:abstractNum w:abstractNumId="34">
    <w:nsid w:val="75C6C33A"/>
    <w:multiLevelType w:val="hybridMultilevel"/>
    <w:lvl w:ilvl="0">
      <w:lvlJc w:val="left"/>
      <w:lvlText w:val="(%1)"/>
      <w:numFmt w:val="lowerLetter"/>
      <w:start w:val="18"/>
    </w:lvl>
  </w:abstractNum>
  <w:abstractNum w:abstractNumId="35">
    <w:nsid w:val="12E685FB"/>
    <w:multiLevelType w:val="hybridMultilevel"/>
    <w:lvl w:ilvl="0">
      <w:lvlJc w:val="left"/>
      <w:lvlText w:val="(%1)"/>
      <w:numFmt w:val="lowerLetter"/>
      <w:start w:val="19"/>
    </w:lvl>
  </w:abstractNum>
  <w:abstractNum w:abstractNumId="36">
    <w:nsid w:val="70C6A529"/>
    <w:multiLevelType w:val="hybridMultilevel"/>
    <w:lvl w:ilvl="0">
      <w:lvlJc w:val="left"/>
      <w:lvlText w:val="(%1)"/>
      <w:numFmt w:val="lowerLetter"/>
      <w:start w:val="20"/>
    </w:lvl>
  </w:abstractNum>
  <w:abstractNum w:abstractNumId="37">
    <w:nsid w:val="520EEDD1"/>
    <w:multiLevelType w:val="hybridMultilevel"/>
    <w:lvl w:ilvl="0">
      <w:lvlJc w:val="left"/>
      <w:lvlText w:val="(%1)"/>
      <w:numFmt w:val="lowerLetter"/>
      <w:start w:val="21"/>
    </w:lvl>
  </w:abstractNum>
  <w:abstractNum w:abstractNumId="38">
    <w:nsid w:val="374A3FE6"/>
    <w:multiLevelType w:val="hybridMultilevel"/>
    <w:lvl w:ilvl="0">
      <w:lvlJc w:val="left"/>
      <w:lvlText w:val="(%1)"/>
      <w:numFmt w:val="lowerRoman"/>
      <w:start w:val="5"/>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decimal"/>
      <w:start w:val="14"/>
    </w:lvl>
    <w:lvl w:ilvl="1">
      <w:lvlJc w:val="left"/>
      <w:lvlText w:val="(%2)"/>
      <w:numFmt w:val="lowerLetter"/>
      <w:start w:val="1"/>
    </w:lvl>
  </w:abstractNum>
  <w:abstractNum w:abstractNumId="43">
    <w:nsid w:val="39386575"/>
    <w:multiLevelType w:val="hybridMultilevel"/>
    <w:lvl w:ilvl="0">
      <w:lvlJc w:val="left"/>
      <w:lvlText w:val="(%1)"/>
      <w:numFmt w:val="lowerLetter"/>
      <w:start w:val="2"/>
    </w:lvl>
  </w:abstractNum>
  <w:abstractNum w:abstractNumId="44">
    <w:nsid w:val="1CF10FD8"/>
    <w:multiLevelType w:val="hybridMultilevel"/>
    <w:lvl w:ilvl="0">
      <w:lvlJc w:val="left"/>
      <w:lvlText w:val="(%1)"/>
      <w:numFmt w:val="lowerLetter"/>
      <w:start w:val="3"/>
    </w:lvl>
  </w:abstractNum>
  <w:abstractNum w:abstractNumId="45">
    <w:nsid w:val="180115BE"/>
    <w:multiLevelType w:val="hybridMultilevel"/>
    <w:lvl w:ilvl="0">
      <w:lvlJc w:val="left"/>
      <w:lvlText w:val="(%1)"/>
      <w:numFmt w:val="decimal"/>
      <w:start w:val="15"/>
    </w:lvl>
  </w:abstractNum>
  <w:abstractNum w:abstractNumId="46">
    <w:nsid w:val="235BA861"/>
    <w:multiLevelType w:val="hybridMultilevel"/>
    <w:lvl w:ilvl="0">
      <w:lvlJc w:val="left"/>
      <w:lvlText w:val="(%1)"/>
      <w:numFmt w:val="decimal"/>
      <w:start w:val="16"/>
    </w:lvl>
    <w:lvl w:ilvl="1">
      <w:lvlJc w:val="left"/>
      <w:lvlText w:val="(%2)"/>
      <w:numFmt w:val="lowerLetter"/>
      <w:start w:val="1"/>
    </w:lvl>
  </w:abstractNum>
  <w:abstractNum w:abstractNumId="47">
    <w:nsid w:val="47398C89"/>
    <w:multiLevelType w:val="hybridMultilevel"/>
    <w:lvl w:ilvl="0">
      <w:lvlJc w:val="left"/>
      <w:lvlText w:val="(%1)"/>
      <w:numFmt w:val="lowerLetter"/>
      <w:start w:val="2"/>
    </w:lvl>
  </w:abstractNum>
  <w:abstractNum w:abstractNumId="48">
    <w:nsid w:val="354FE9F9"/>
    <w:multiLevelType w:val="hybridMultilevel"/>
    <w:lvl w:ilvl="0">
      <w:lvlJc w:val="left"/>
      <w:lvlText w:val="(%1)"/>
      <w:numFmt w:val="lowerLetter"/>
      <w:start w:val="3"/>
    </w:lvl>
  </w:abstractNum>
  <w:abstractNum w:abstractNumId="49">
    <w:nsid w:val="15B5AF5C"/>
    <w:multiLevelType w:val="hybridMultilevel"/>
    <w:lvl w:ilvl="0">
      <w:lvlJc w:val="left"/>
      <w:lvlText w:val="(%1)"/>
      <w:numFmt w:val="decimal"/>
      <w:start w:val="17"/>
    </w:lvl>
    <w:lvl w:ilvl="1">
      <w:lvlJc w:val="left"/>
      <w:lvlText w:val="(%2)"/>
      <w:numFmt w:val="lowerLetter"/>
      <w:start w:val="1"/>
    </w:lvl>
  </w:abstractNum>
  <w:abstractNum w:abstractNumId="50">
    <w:nsid w:val="741226BB"/>
    <w:multiLevelType w:val="hybridMultilevel"/>
    <w:lvl w:ilvl="0">
      <w:lvlJc w:val="left"/>
      <w:lvlText w:val="(%1)"/>
      <w:numFmt w:val="lowerLetter"/>
      <w:start w:val="2"/>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3"/>
    </w:lvl>
  </w:abstractNum>
  <w:abstractNum w:abstractNumId="53">
    <w:nsid w:val="3F6AB60F"/>
    <w:multiLevelType w:val="hybridMultilevel"/>
    <w:lvl w:ilvl="0">
      <w:lvlJc w:val="left"/>
      <w:lvlText w:val="%1"/>
      <w:numFmt w:val="decimal"/>
      <w:start w:val="1"/>
    </w:lvl>
    <w:lvl w:ilvl="1">
      <w:lvlJc w:val="left"/>
      <w:lvlText w:val="(%2)"/>
      <w:numFmt w:val="lowerLetter"/>
      <w:start w:val="1"/>
    </w:lvl>
  </w:abstractNum>
  <w:abstractNum w:abstractNumId="54">
    <w:nsid w:val="61574095"/>
    <w:multiLevelType w:val="hybridMultilevel"/>
    <w:lvl w:ilvl="0">
      <w:lvlJc w:val="left"/>
      <w:lvlText w:val="%1."/>
      <w:numFmt w:val="decimal"/>
      <w:start w:val="5"/>
    </w:lvl>
    <w:lvl w:ilvl="1">
      <w:lvlJc w:val="left"/>
      <w:lvlText w:val="%2"/>
      <w:numFmt w:val="lowerLetter"/>
      <w:start w:val="1"/>
    </w:lvl>
  </w:abstractNum>
  <w:abstractNum w:abstractNumId="55">
    <w:nsid w:val="7E0C57B1"/>
    <w:multiLevelType w:val="hybridMultilevel"/>
    <w:lvl w:ilvl="0">
      <w:lvlJc w:val="left"/>
      <w:lvlText w:val="%1."/>
      <w:numFmt w:val="decimal"/>
      <w:start w:val="7"/>
    </w:lvl>
  </w:abstractNum>
  <w:abstractNum w:abstractNumId="56">
    <w:nsid w:val="77AE35EB"/>
    <w:multiLevelType w:val="hybridMultilevel"/>
    <w:lvl w:ilvl="0">
      <w:lvlJc w:val="left"/>
      <w:lvlText w:val="%1."/>
      <w:numFmt w:val="decimal"/>
      <w:start w:val="8"/>
    </w:lvl>
    <w:lvl w:ilvl="1">
      <w:lvlJc w:val="left"/>
      <w:lvlText w:val="(%2)"/>
      <w:numFmt w:val="lowerLetter"/>
      <w:start w:val="1"/>
    </w:lvl>
  </w:abstractNum>
  <w:abstractNum w:abstractNumId="57">
    <w:nsid w:val="579BE4F1"/>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58">
    <w:nsid w:val="310C50B3"/>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59">
    <w:nsid w:val="5FF87E05"/>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60">
    <w:nsid w:val="2F305DEF"/>
    <w:multiLevelType w:val="hybridMultilevel"/>
    <w:lvl w:ilvl="0">
      <w:lvlJc w:val="left"/>
      <w:lvlText w:val="%1."/>
      <w:numFmt w:val="decimal"/>
      <w:start w:val="12"/>
    </w:lvl>
  </w:abstractNum>
  <w:abstractNum w:abstractNumId="61">
    <w:nsid w:val="25A70BF7"/>
    <w:multiLevelType w:val="hybridMultilevel"/>
    <w:lvl w:ilvl="0">
      <w:lvlJc w:val="left"/>
      <w:lvlText w:val="%1."/>
      <w:numFmt w:val="decimal"/>
      <w:start w:val="13"/>
    </w:lvl>
  </w:abstractNum>
  <w:abstractNum w:abstractNumId="62">
    <w:nsid w:val="1DBABF00"/>
    <w:multiLevelType w:val="hybridMultilevel"/>
    <w:lvl w:ilvl="0">
      <w:lvlJc w:val="left"/>
      <w:lvlText w:val="%1."/>
      <w:numFmt w:val="decimal"/>
      <w:start w:val="14"/>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decimal"/>
      <w:start w:val="15"/>
    </w:lvl>
  </w:abstractNum>
  <w:abstractNum w:abstractNumId="65">
    <w:nsid w:val="1381823A"/>
    <w:multiLevelType w:val="hybridMultilevel"/>
    <w:lvl w:ilvl="0">
      <w:lvlJc w:val="left"/>
      <w:lvlText w:val="%1."/>
      <w:numFmt w:val="decimal"/>
      <w:start w:val="16"/>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56" Type="http://schemas.openxmlformats.org/officeDocument/2006/relationships/hyperlink" Target="https://www.sec.gov/ix?doc=/Archives/edgar/data/0001591698/000159169824000151/pcty-20240630.htm" TargetMode="External"/><Relationship Id="rId80" Type="http://schemas.openxmlformats.org/officeDocument/2006/relationships/hyperlink" Target="https://www.sec.gov/Archives/edgar/data/1591698/000159169823000278/pcty-20231130xexhibit31.htm" TargetMode="External"/><Relationship Id="rId81" Type="http://schemas.openxmlformats.org/officeDocument/2006/relationships/hyperlink" Target="https://www.sec.gov/Archives/edgar/data/1591698/000159169823000278/pcty-20231130xexhibit32.htm" TargetMode="External"/><Relationship Id="rId82" Type="http://schemas.openxmlformats.org/officeDocument/2006/relationships/hyperlink" Target="https://www.sec.gov/Archives/edgar/data/1591698/000104746914000464/a2218017zex-4_1.htm" TargetMode="External"/><Relationship Id="rId83" Type="http://schemas.openxmlformats.org/officeDocument/2006/relationships/hyperlink" Target="https://www.sec.gov/Archives/edgar/data/1591698/000159169824000151/pcty-20240630xexx42.htm" TargetMode="External"/><Relationship Id="rId84" Type="http://schemas.openxmlformats.org/officeDocument/2006/relationships/hyperlink" Target="https://www.sec.gov/Archives/edgar/data/1591698/000104746914000464/a2218017zex-10_2.htm" TargetMode="External"/><Relationship Id="rId85" Type="http://schemas.openxmlformats.org/officeDocument/2006/relationships/hyperlink" Target="https://www.sec.gov/Archives/edgar/data/1591698/000104746914000931/a2218171zex-10_4.htm" TargetMode="External"/><Relationship Id="rId86" Type="http://schemas.openxmlformats.org/officeDocument/2006/relationships/hyperlink" Target="https://www.sec.gov/Archives/edgar/data/0001591698/000110465920096509/tm2027535d1_ex10-1.htm" TargetMode="External"/><Relationship Id="rId87" Type="http://schemas.openxmlformats.org/officeDocument/2006/relationships/hyperlink" Target="https://www.sec.gov/Archives/edgar/data/1591698/000159169822000064/pcty-20220331x10qex105.htm" TargetMode="External"/><Relationship Id="rId88" Type="http://schemas.openxmlformats.org/officeDocument/2006/relationships/hyperlink" Target="https://www.sec.gov/Archives/edgar/data/1591698/000159169823000278/pcty-20231130xex1012023equ.htm" TargetMode="External"/><Relationship Id="rId89" Type="http://schemas.openxmlformats.org/officeDocument/2006/relationships/hyperlink" Target="https://www.sec.gov/Archives/edgar/data/1591698/000159169823000278/pcty-20231130xex102executi.htm" TargetMode="External"/><Relationship Id="rId90" Type="http://schemas.openxmlformats.org/officeDocument/2006/relationships/hyperlink" Target="https://www.sec.gov/Archives/edgar/data/1591698/000159169823000278/pcty-20231130xex103msuform.htm" TargetMode="External"/><Relationship Id="rId91" Type="http://schemas.openxmlformats.org/officeDocument/2006/relationships/hyperlink" Target="https://www.sec.gov/Archives/edgar/data/1591698/000159169824000277/pcty-20240930x10qex101.htm" TargetMode="External"/><Relationship Id="rId92" Type="http://schemas.openxmlformats.org/officeDocument/2006/relationships/hyperlink" Target="https://www.sec.gov/Archives/edgar/data/1591698/000159169824000277/pcty-20240930x10qex102.htm" TargetMode="External"/><Relationship Id="rId93" Type="http://schemas.openxmlformats.org/officeDocument/2006/relationships/hyperlink" Target="https://www.sec.gov/Archives/edgar/data/1591698/000159169824000277/pcty-20240930x10qex103.htm" TargetMode="External"/><Relationship Id="rId94" Type="http://schemas.openxmlformats.org/officeDocument/2006/relationships/hyperlink" Target="https://www.sec.gov/Archives/edgar/data/1591698/000159169824000277/pcty-20240930x10qex104.htm" TargetMode="External"/><Relationship Id="rId95" Type="http://schemas.openxmlformats.org/officeDocument/2006/relationships/hyperlink" Target="https://www.sec.gov/Archives/edgar/data/1591698/000159169824000277/pcty-20240930x10qex105.htm" TargetMode="External"/><Relationship Id="rId96" Type="http://schemas.openxmlformats.org/officeDocument/2006/relationships/hyperlink" Target="https://www.sec.gov/Archives/edgar/data/1591698/000104746914000931/a2218171zex-10_9.htm" TargetMode="External"/><Relationship Id="rId97" Type="http://schemas.openxmlformats.org/officeDocument/2006/relationships/hyperlink" Target="https://www.sec.gov/Archives/edgar/data/1591698/000159169824000277/pcty-20240930x10qex107.htm" TargetMode="External"/><Relationship Id="rId100" Type="http://schemas.openxmlformats.org/officeDocument/2006/relationships/hyperlink" Target="https://www.sec.gov/Archives/edgar/data/1591698/000159169824000277/pcty-20240930x10qex106.htm" TargetMode="External"/><Relationship Id="rId101" Type="http://schemas.openxmlformats.org/officeDocument/2006/relationships/hyperlink" Target="https://www.sec.gov/Archives/edgar/data/1591698/000159169822000045/pcty-202203118xkexhibit102.htm" TargetMode="External"/><Relationship Id="rId102" Type="http://schemas.openxmlformats.org/officeDocument/2006/relationships/hyperlink" Target="https://www.sec.gov/Archives/edgar/data/1591698/000159169823000115/pcty-20230630xexx1015.htm" TargetMode="External"/><Relationship Id="rId103" Type="http://schemas.openxmlformats.org/officeDocument/2006/relationships/hyperlink" Target="https://www.sec.gov/Archives/edgar/data/1591698/000159169824000151/pcty-20240630xexx1010.htm" TargetMode="External"/><Relationship Id="rId104" Type="http://schemas.openxmlformats.org/officeDocument/2006/relationships/hyperlink" Target="https://www.sec.gov/Archives/edgar/data/1591698/000110465916125126/a16-12426_1ex10d1.htm" TargetMode="External"/><Relationship Id="rId105" Type="http://schemas.openxmlformats.org/officeDocument/2006/relationships/hyperlink" Target="https://www.sec.gov/Archives/edgar/data/1591698/000159169824000014/pcty-20231231x10qex104.htm" TargetMode="External"/><Relationship Id="rId106" Type="http://schemas.openxmlformats.org/officeDocument/2006/relationships/hyperlink" Target="https://www.sec.gov/Archives/edgar/data/0001591698/000110465919040751/a19-12817_1ex10d1.htm" TargetMode="External"/><Relationship Id="rId107" Type="http://schemas.openxmlformats.org/officeDocument/2006/relationships/hyperlink" Target="https://www.sec.gov/Archives/edgar/data/1591698/000159169822000144/pcty-202208198kxex101.htm" TargetMode="External"/><Relationship Id="rId108" Type="http://schemas.openxmlformats.org/officeDocument/2006/relationships/hyperlink" Target="https://www.sec.gov/Archives/edgar/data/1591698/000159169825000010/pcty-20241231x10qex101.htm" TargetMode="External"/><Relationship Id="rId109" Type="http://schemas.openxmlformats.org/officeDocument/2006/relationships/hyperlink" Target="https://www.sec.gov/Archives/edgar/data/1591698/000159169824000222/pcty-202408298xkxexhibit21.htm" TargetMode="External"/><Relationship Id="rId112" Type="http://schemas.openxmlformats.org/officeDocument/2006/relationships/hyperlink" Target="https://www.sec.gov/Archives/edgar/data/1591698/000159169824000151/pcty-20240630xexx191.htm" TargetMode="External"/><Relationship Id="rId113" Type="http://schemas.openxmlformats.org/officeDocument/2006/relationships/hyperlink" Target="https://www.sec.gov/Archives/edgar/data/1591698/000159169824000151/pcty-20240630x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2025-08-06T09:05:55Z</dcterms:created>
  <dcterms:modified xsi:type="dcterms:W3CDTF">2025-08-06T09:05:55Z</dcterms:modified>
</cp:coreProperties>
</file>