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180"/>
        <w:spacing w:after="0"/>
        <w:tabs>
          <w:tab w:leader="none" w:pos="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PAYLOCITY HOLDING CORPORATION</w:t>
      </w:r>
    </w:p>
    <w:p>
      <w:pPr>
        <w:spacing w:after="0" w:line="40"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6400" w:type="dxa"/>
            <w:vAlign w:val="bottom"/>
            <w:gridSpan w:val="3"/>
          </w:tcPr>
          <w:p>
            <w:pPr>
              <w:jc w:val="center"/>
              <w:ind w:left="2190"/>
              <w:spacing w:after="0"/>
              <w:rPr>
                <w:sz w:val="20"/>
                <w:szCs w:val="20"/>
                <w:color w:val="auto"/>
              </w:rPr>
            </w:pPr>
            <w:r>
              <w:rPr>
                <w:rFonts w:ascii="Arial" w:cs="Arial" w:eastAsia="Arial" w:hAnsi="Arial"/>
                <w:sz w:val="18"/>
                <w:szCs w:val="18"/>
                <w:color w:val="auto"/>
                <w:w w:val="90"/>
              </w:rPr>
              <w:t>(Exact name of registrant as specified in its charter)</w:t>
            </w:r>
          </w:p>
        </w:tc>
        <w:tc>
          <w:tcPr>
            <w:tcW w:w="1520" w:type="dxa"/>
            <w:vAlign w:val="bottom"/>
          </w:tcPr>
          <w:p>
            <w:pPr>
              <w:spacing w:after="0"/>
              <w:rPr>
                <w:sz w:val="20"/>
                <w:szCs w:val="20"/>
                <w:color w:val="auto"/>
              </w:rPr>
            </w:pPr>
          </w:p>
        </w:tc>
      </w:tr>
      <w:tr>
        <w:trPr>
          <w:trHeight w:val="308"/>
        </w:trPr>
        <w:tc>
          <w:tcPr>
            <w:tcW w:w="29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19"/>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46-4066644</w:t>
            </w:r>
          </w:p>
        </w:tc>
      </w:tr>
      <w:tr>
        <w:trPr>
          <w:trHeight w:val="216"/>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3"/>
              </w:rPr>
              <w:t>3850 N. Wilke Road</w:t>
            </w:r>
          </w:p>
        </w:tc>
        <w:tc>
          <w:tcPr>
            <w:tcW w:w="1520" w:type="dxa"/>
            <w:vAlign w:val="bottom"/>
          </w:tcPr>
          <w:p>
            <w:pPr>
              <w:spacing w:after="0"/>
              <w:rPr>
                <w:sz w:val="24"/>
                <w:szCs w:val="24"/>
                <w:color w:val="auto"/>
              </w:rPr>
            </w:pPr>
          </w:p>
        </w:tc>
      </w:tr>
      <w:tr>
        <w:trPr>
          <w:trHeight w:val="22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b w:val="1"/>
                <w:bCs w:val="1"/>
                <w:color w:val="auto"/>
                <w:w w:val="92"/>
              </w:rPr>
              <w:t>Arlington Heights, Illinois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60004</w:t>
            </w:r>
          </w:p>
        </w:tc>
      </w:tr>
      <w:tr>
        <w:trPr>
          <w:trHeight w:val="230"/>
        </w:trPr>
        <w:tc>
          <w:tcPr>
            <w:tcW w:w="6400" w:type="dxa"/>
            <w:vAlign w:val="bottom"/>
            <w:gridSpan w:val="3"/>
          </w:tcPr>
          <w:p>
            <w:pPr>
              <w:jc w:val="center"/>
              <w:ind w:right="354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578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0"/>
              </w:rPr>
              <w:t>(847) 463-3200</w:t>
            </w: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6400" w:type="dxa"/>
            <w:vAlign w:val="bottom"/>
            <w:gridSpan w:val="3"/>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0" w:firstLine="44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to submit and post such files). Yes x No o</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 of “accelerated filer” and “large accelerated filer” in Rule 12b-2 of the Exchange Act. (Check one):</w:t>
      </w:r>
    </w:p>
    <w:p>
      <w:pPr>
        <w:sectPr>
          <w:pgSz w:w="11900" w:h="16838" w:orient="portrait"/>
          <w:cols w:equalWidth="0" w:num="1">
            <w:col w:w="11400"/>
          </w:cols>
          <w:pgMar w:left="240" w:top="233" w:right="259" w:bottom="0" w:gutter="0" w:footer="0" w:header="0"/>
        </w:sectPr>
      </w:pP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720" w:space="720"/>
            <w:col w:w="4360" w:space="720"/>
            <w:col w:w="2780" w:space="720"/>
            <w:col w:w="380"/>
          </w:cols>
          <w:pgMar w:left="240" w:top="233" w:right="25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tabs>
          <w:tab w:leader="none" w:pos="280" w:val="left"/>
        </w:tabs>
        <w:rPr>
          <w:sz w:val="20"/>
          <w:szCs w:val="20"/>
          <w:color w:val="auto"/>
        </w:rPr>
      </w:pPr>
      <w:r>
        <w:rPr>
          <w:rFonts w:ascii="Arial" w:cs="Arial" w:eastAsia="Arial" w:hAnsi="Arial"/>
          <w:sz w:val="16"/>
          <w:szCs w:val="16"/>
          <w:color w:val="auto"/>
        </w:rPr>
        <w:t>x</w:t>
        <w:tab/>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720" w:space="720"/>
            <w:col w:w="4360" w:space="720"/>
            <w:col w:w="2780" w:space="720"/>
            <w:col w:w="380"/>
          </w:cols>
          <w:pgMar w:left="240" w:top="233" w:right="259" w:bottom="0" w:gutter="0" w:footer="0" w:header="0"/>
          <w:type w:val="continuous"/>
        </w:sectPr>
      </w:pPr>
    </w:p>
    <w:p>
      <w:pPr>
        <w:spacing w:after="0" w:line="3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580" w:firstLine="441"/>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50,486,538 shares of Common Stock, $0.001 par value per share, as of January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318"/>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11"/>
          </w:tcPr>
          <w:p>
            <w:pPr>
              <w:jc w:val="center"/>
              <w:ind w:right="1780"/>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PART I. FINANCIAL INFORMATION</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398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FINANCIAL STATEMENTS</w:t>
              </w:r>
            </w:hyperlink>
          </w:p>
        </w:tc>
        <w:tc>
          <w:tcPr>
            <w:tcW w:w="2860" w:type="dxa"/>
            <w:vAlign w:val="bottom"/>
            <w:tcBorders>
              <w:top w:val="single" w:sz="8" w:color="0000EE"/>
            </w:tcBorders>
            <w:gridSpan w:val="7"/>
          </w:tcPr>
          <w:p>
            <w:pPr>
              <w:spacing w:after="0"/>
              <w:rPr>
                <w:sz w:val="24"/>
                <w:szCs w:val="24"/>
                <w:color w:val="auto"/>
              </w:rPr>
            </w:pPr>
          </w:p>
        </w:tc>
        <w:tc>
          <w:tcPr>
            <w:tcW w:w="178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412"/>
        </w:trPr>
        <w:tc>
          <w:tcPr>
            <w:tcW w:w="61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Unaudited Consolidated Balance Sheets as of June 30, 2014 and December 31, 2014</w:t>
              </w:r>
            </w:hyperlink>
          </w:p>
        </w:tc>
        <w:tc>
          <w:tcPr>
            <w:tcW w:w="2520" w:type="dxa"/>
            <w:vAlign w:val="bottom"/>
            <w:gridSpan w:val="8"/>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8620" w:type="dxa"/>
            <w:vAlign w:val="bottom"/>
            <w:gridSpan w:val="23"/>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Unaudited Consolidated Statements of Operations for the three and six months ended December 31, 2013 and 2014</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r>
      <w:tr>
        <w:trPr>
          <w:trHeight w:val="412"/>
        </w:trPr>
        <w:tc>
          <w:tcPr>
            <w:tcW w:w="8620" w:type="dxa"/>
            <w:vAlign w:val="bottom"/>
            <w:gridSpan w:val="2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Consolidated Statements of Changes in Stockholders’ Equity for the six months ended December 31, 2014</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r>
      <w:tr>
        <w:trPr>
          <w:trHeight w:val="412"/>
        </w:trPr>
        <w:tc>
          <w:tcPr>
            <w:tcW w:w="8480" w:type="dxa"/>
            <w:vAlign w:val="bottom"/>
            <w:tcBorders>
              <w:top w:val="single" w:sz="8" w:color="0000EE"/>
            </w:tcBorders>
            <w:gridSpan w:val="2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Unaudited Consolidated Statements of Cash Flows for the six months ended December 31, 2013 and 2014</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42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Unaudited Consolidated Financial Statements</w:t>
              </w:r>
            </w:hyperlink>
          </w:p>
        </w:tc>
        <w:tc>
          <w:tcPr>
            <w:tcW w:w="3440" w:type="dxa"/>
            <w:vAlign w:val="bottom"/>
            <w:tcBorders>
              <w:top w:val="single" w:sz="8" w:color="0000EE"/>
            </w:tcBorders>
            <w:gridSpan w:val="6"/>
          </w:tcPr>
          <w:p>
            <w:pPr>
              <w:spacing w:after="0"/>
              <w:rPr>
                <w:sz w:val="24"/>
                <w:szCs w:val="24"/>
                <w:color w:val="auto"/>
              </w:rPr>
            </w:pPr>
          </w:p>
        </w:tc>
        <w:tc>
          <w:tcPr>
            <w:tcW w:w="9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r>
      <w:tr>
        <w:trPr>
          <w:trHeight w:val="412"/>
        </w:trPr>
        <w:tc>
          <w:tcPr>
            <w:tcW w:w="10200" w:type="dxa"/>
            <w:vAlign w:val="bottom"/>
            <w:gridSpan w:val="2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r>
      <w:tr>
        <w:trPr>
          <w:trHeight w:val="412"/>
        </w:trPr>
        <w:tc>
          <w:tcPr>
            <w:tcW w:w="68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3. QUANTITATIVE AND QUALITATIVE DISCLOSURES ABOUT MARKET RISK</w:t>
              </w:r>
            </w:hyperlink>
          </w:p>
        </w:tc>
        <w:tc>
          <w:tcPr>
            <w:tcW w:w="1800" w:type="dxa"/>
            <w:vAlign w:val="bottom"/>
            <w:tcBorders>
              <w:top w:val="single" w:sz="8" w:color="0000EE"/>
            </w:tcBorders>
            <w:gridSpan w:val="5"/>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r>
      <w:tr>
        <w:trPr>
          <w:trHeight w:val="412"/>
        </w:trPr>
        <w:tc>
          <w:tcPr>
            <w:tcW w:w="862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CONTROLS AND PROCEDURES</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r>
      <w:tr>
        <w:trPr>
          <w:trHeight w:val="412"/>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3"/>
          </w:tcPr>
          <w:p>
            <w:pPr>
              <w:jc w:val="cente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PART II. OTHER INFORMATION</w:t>
              </w:r>
            </w:hyperlink>
          </w:p>
        </w:tc>
        <w:tc>
          <w:tcPr>
            <w:tcW w:w="19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862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 LEGAL PROCEEDINGS</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r>
      <w:tr>
        <w:trPr>
          <w:trHeight w:val="412"/>
        </w:trPr>
        <w:tc>
          <w:tcPr>
            <w:tcW w:w="2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ITEM 1A. RISK FACTORS</w:t>
              </w:r>
            </w:hyperlink>
          </w:p>
        </w:tc>
        <w:tc>
          <w:tcPr>
            <w:tcW w:w="480" w:type="dxa"/>
            <w:vAlign w:val="bottom"/>
            <w:tcBorders>
              <w:top w:val="single" w:sz="8" w:color="0000EE"/>
            </w:tcBorders>
          </w:tcPr>
          <w:p>
            <w:pPr>
              <w:spacing w:after="0"/>
              <w:rPr>
                <w:sz w:val="24"/>
                <w:szCs w:val="24"/>
                <w:color w:val="auto"/>
              </w:rPr>
            </w:pPr>
          </w:p>
        </w:tc>
        <w:tc>
          <w:tcPr>
            <w:tcW w:w="6080" w:type="dxa"/>
            <w:vAlign w:val="bottom"/>
            <w:gridSpan w:val="17"/>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r>
      <w:tr>
        <w:trPr>
          <w:trHeight w:val="412"/>
        </w:trPr>
        <w:tc>
          <w:tcPr>
            <w:tcW w:w="862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UNREGISTERED SALES OF EQUITY SECURITIES AND USE OF PROCEEDS</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3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6"/>
          </w:tcPr>
          <w:p>
            <w:pPr>
              <w:spacing w:after="0"/>
              <w:rPr>
                <w:sz w:val="24"/>
                <w:szCs w:val="24"/>
                <w:color w:val="auto"/>
              </w:rPr>
            </w:pPr>
          </w:p>
        </w:tc>
        <w:tc>
          <w:tcPr>
            <w:tcW w:w="188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31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ITEM 4. MINE SAFETY DISCLOSURES</w:t>
              </w:r>
            </w:hyperlink>
          </w:p>
        </w:tc>
        <w:tc>
          <w:tcPr>
            <w:tcW w:w="5500" w:type="dxa"/>
            <w:vAlign w:val="bottom"/>
            <w:gridSpan w:val="14"/>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25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ITEM 5. OTHER INFORMATION</w:t>
              </w:r>
            </w:hyperlink>
          </w:p>
        </w:tc>
        <w:tc>
          <w:tcPr>
            <w:tcW w:w="6060" w:type="dxa"/>
            <w:vAlign w:val="bottom"/>
            <w:gridSpan w:val="16"/>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15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6. EXHIBITS</w:t>
              </w:r>
            </w:hyperlink>
          </w:p>
        </w:tc>
        <w:tc>
          <w:tcPr>
            <w:tcW w:w="7120" w:type="dxa"/>
            <w:vAlign w:val="bottom"/>
            <w:gridSpan w:val="19"/>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862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49</w:t>
            </w: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0" w:type="dxa"/>
            <w:vAlign w:val="bottom"/>
            <w:gridSpan w:val="13"/>
          </w:tcPr>
          <w:p>
            <w:pPr>
              <w:jc w:val="center"/>
              <w:ind w:left="4130"/>
              <w:spacing w:after="0"/>
              <w:rPr>
                <w:sz w:val="20"/>
                <w:szCs w:val="20"/>
                <w:color w:val="auto"/>
              </w:rPr>
            </w:pPr>
            <w:r>
              <w:rPr>
                <w:rFonts w:ascii="Arial" w:cs="Arial" w:eastAsia="Arial" w:hAnsi="Arial"/>
                <w:sz w:val="18"/>
                <w:szCs w:val="18"/>
                <w:color w:val="auto"/>
                <w:w w:val="99"/>
              </w:rPr>
              <w:t>2</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00" w:type="dxa"/>
            <w:vAlign w:val="bottom"/>
            <w:tcBorders>
              <w:bottom w:val="single" w:sz="8" w:color="010101"/>
            </w:tcBorders>
            <w:gridSpan w:val="2"/>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862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4"/>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60" w:type="dxa"/>
            <w:vAlign w:val="bottom"/>
            <w:gridSpan w:val="22"/>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11"/>
          </w:tcPr>
          <w:p>
            <w:pPr>
              <w:jc w:val="center"/>
              <w:ind w:right="1160"/>
              <w:spacing w:after="0"/>
              <w:rPr>
                <w:sz w:val="20"/>
                <w:szCs w:val="20"/>
                <w:color w:val="auto"/>
              </w:rPr>
            </w:pPr>
            <w:r>
              <w:rPr>
                <w:rFonts w:ascii="Arial" w:cs="Arial" w:eastAsia="Arial" w:hAnsi="Arial"/>
                <w:sz w:val="18"/>
                <w:szCs w:val="18"/>
                <w:b w:val="1"/>
                <w:bCs w:val="1"/>
                <w:color w:val="auto"/>
              </w:rPr>
              <w:t>PAYLOCITY HOLDING CORPORATION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gridSpan w:val="10"/>
          </w:tcPr>
          <w:p>
            <w:pPr>
              <w:jc w:val="center"/>
              <w:ind w:right="132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9"/>
          </w:tcPr>
          <w:p>
            <w:pPr>
              <w:jc w:val="center"/>
              <w:ind w:right="13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24"/>
                <w:szCs w:val="24"/>
                <w:color w:val="auto"/>
              </w:rPr>
            </w:pPr>
          </w:p>
        </w:tc>
        <w:tc>
          <w:tcPr>
            <w:tcW w:w="11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20" w:type="dxa"/>
            <w:vAlign w:val="bottom"/>
            <w:gridSpan w:val="2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78,848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89,480</w:t>
            </w:r>
          </w:p>
        </w:tc>
        <w:tc>
          <w:tcPr>
            <w:tcW w:w="40" w:type="dxa"/>
            <w:vAlign w:val="bottom"/>
          </w:tcPr>
          <w:p>
            <w:pPr>
              <w:spacing w:after="0"/>
              <w:rPr>
                <w:sz w:val="18"/>
                <w:szCs w:val="18"/>
                <w:color w:val="auto"/>
              </w:rPr>
            </w:pPr>
          </w:p>
        </w:tc>
      </w:tr>
      <w:tr>
        <w:trPr>
          <w:trHeight w:val="216"/>
        </w:trPr>
        <w:tc>
          <w:tcPr>
            <w:tcW w:w="8620" w:type="dxa"/>
            <w:vAlign w:val="bottom"/>
            <w:gridSpan w:val="23"/>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r>
      <w:tr>
        <w:trPr>
          <w:trHeight w:val="216"/>
        </w:trPr>
        <w:tc>
          <w:tcPr>
            <w:tcW w:w="86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2,978</w:t>
            </w:r>
          </w:p>
        </w:tc>
        <w:tc>
          <w:tcPr>
            <w:tcW w:w="40" w:type="dxa"/>
            <w:vAlign w:val="bottom"/>
          </w:tcPr>
          <w:p>
            <w:pPr>
              <w:spacing w:after="0"/>
              <w:rPr>
                <w:sz w:val="18"/>
                <w:szCs w:val="18"/>
                <w:color w:val="auto"/>
              </w:rPr>
            </w:pPr>
          </w:p>
        </w:tc>
      </w:tr>
      <w:tr>
        <w:trPr>
          <w:trHeight w:val="216"/>
        </w:trPr>
        <w:tc>
          <w:tcPr>
            <w:tcW w:w="8620" w:type="dxa"/>
            <w:vAlign w:val="bottom"/>
            <w:gridSpan w:val="23"/>
          </w:tcPr>
          <w:p>
            <w:pPr>
              <w:ind w:left="180"/>
              <w:spacing w:after="0"/>
              <w:rPr>
                <w:sz w:val="20"/>
                <w:szCs w:val="20"/>
                <w:color w:val="auto"/>
              </w:rPr>
            </w:pPr>
            <w:r>
              <w:rPr>
                <w:rFonts w:ascii="Arial" w:cs="Arial" w:eastAsia="Arial" w:hAnsi="Arial"/>
                <w:sz w:val="18"/>
                <w:szCs w:val="18"/>
                <w:color w:val="auto"/>
              </w:rPr>
              <w:t>Deferred income tax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684</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20" w:type="dxa"/>
            <w:vAlign w:val="bottom"/>
            <w:gridSpan w:val="23"/>
          </w:tcPr>
          <w:p>
            <w:pPr>
              <w:ind w:left="360"/>
              <w:spacing w:after="0"/>
              <w:rPr>
                <w:sz w:val="20"/>
                <w:szCs w:val="20"/>
                <w:color w:val="auto"/>
              </w:rPr>
            </w:pPr>
            <w:r>
              <w:rPr>
                <w:rFonts w:ascii="Arial" w:cs="Arial" w:eastAsia="Arial" w:hAnsi="Arial"/>
                <w:sz w:val="18"/>
                <w:szCs w:val="18"/>
                <w:color w:val="auto"/>
              </w:rPr>
              <w:t>Total current assets before funds held for clients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83,004</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94,172</w:t>
            </w:r>
          </w:p>
        </w:tc>
        <w:tc>
          <w:tcPr>
            <w:tcW w:w="40" w:type="dxa"/>
            <w:vAlign w:val="bottom"/>
          </w:tcPr>
          <w:p>
            <w:pPr>
              <w:spacing w:after="0"/>
              <w:rPr>
                <w:sz w:val="18"/>
                <w:szCs w:val="18"/>
                <w:color w:val="auto"/>
              </w:rPr>
            </w:pPr>
          </w:p>
        </w:tc>
      </w:tr>
      <w:tr>
        <w:trPr>
          <w:trHeight w:val="216"/>
        </w:trPr>
        <w:tc>
          <w:tcPr>
            <w:tcW w:w="86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417,261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858,139</w:t>
            </w:r>
          </w:p>
        </w:tc>
        <w:tc>
          <w:tcPr>
            <w:tcW w:w="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20" w:type="dxa"/>
            <w:vAlign w:val="bottom"/>
            <w:gridSpan w:val="23"/>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500,265</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952,311</w:t>
            </w:r>
          </w:p>
        </w:tc>
        <w:tc>
          <w:tcPr>
            <w:tcW w:w="40" w:type="dxa"/>
            <w:vAlign w:val="bottom"/>
          </w:tcPr>
          <w:p>
            <w:pPr>
              <w:spacing w:after="0"/>
              <w:rPr>
                <w:sz w:val="18"/>
                <w:szCs w:val="18"/>
                <w:color w:val="auto"/>
              </w:rPr>
            </w:pPr>
          </w:p>
        </w:tc>
      </w:tr>
      <w:tr>
        <w:trPr>
          <w:trHeight w:val="210"/>
        </w:trPr>
        <w:tc>
          <w:tcPr>
            <w:tcW w:w="8620" w:type="dxa"/>
            <w:vAlign w:val="bottom"/>
            <w:gridSpan w:val="23"/>
          </w:tcPr>
          <w:p>
            <w:pPr>
              <w:spacing w:after="0"/>
              <w:rPr>
                <w:sz w:val="20"/>
                <w:szCs w:val="20"/>
                <w:color w:val="auto"/>
              </w:rPr>
            </w:pPr>
            <w:r>
              <w:rPr>
                <w:rFonts w:ascii="Arial" w:cs="Arial" w:eastAsia="Arial" w:hAnsi="Arial"/>
                <w:sz w:val="18"/>
                <w:szCs w:val="18"/>
                <w:color w:val="auto"/>
              </w:rPr>
              <w:t>Long-term prepaid expenses</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2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Capitalized software,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5,704</w:t>
            </w:r>
          </w:p>
        </w:tc>
        <w:tc>
          <w:tcPr>
            <w:tcW w:w="40" w:type="dxa"/>
            <w:vAlign w:val="bottom"/>
          </w:tcPr>
          <w:p>
            <w:pPr>
              <w:spacing w:after="0"/>
              <w:rPr>
                <w:sz w:val="18"/>
                <w:szCs w:val="18"/>
                <w:color w:val="auto"/>
              </w:rPr>
            </w:pPr>
          </w:p>
        </w:tc>
      </w:tr>
      <w:tr>
        <w:trPr>
          <w:trHeight w:val="216"/>
        </w:trPr>
        <w:tc>
          <w:tcPr>
            <w:tcW w:w="8620" w:type="dxa"/>
            <w:vAlign w:val="bottom"/>
            <w:gridSpan w:val="23"/>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15,216</w:t>
            </w:r>
          </w:p>
        </w:tc>
        <w:tc>
          <w:tcPr>
            <w:tcW w:w="40" w:type="dxa"/>
            <w:vAlign w:val="bottom"/>
          </w:tcPr>
          <w:p>
            <w:pPr>
              <w:spacing w:after="0"/>
              <w:rPr>
                <w:sz w:val="18"/>
                <w:szCs w:val="18"/>
                <w:color w:val="auto"/>
              </w:rPr>
            </w:pPr>
          </w:p>
        </w:tc>
      </w:tr>
      <w:tr>
        <w:trPr>
          <w:trHeight w:val="216"/>
        </w:trPr>
        <w:tc>
          <w:tcPr>
            <w:tcW w:w="862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5,940</w:t>
            </w:r>
          </w:p>
        </w:tc>
        <w:tc>
          <w:tcPr>
            <w:tcW w:w="4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3,035</w:t>
            </w:r>
          </w:p>
        </w:tc>
        <w:tc>
          <w:tcPr>
            <w:tcW w:w="40" w:type="dxa"/>
            <w:vAlign w:val="bottom"/>
          </w:tcPr>
          <w:p>
            <w:pPr>
              <w:spacing w:after="0"/>
              <w:rPr>
                <w:sz w:val="18"/>
                <w:szCs w:val="18"/>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-4314825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-4314825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528,151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982,428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2,133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Consideration related to acquisition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2,985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 before client fund obligations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15,867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Client fund obligations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417,261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858,139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433,128</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873,651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Deferred income tax liabilities, net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714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437,017</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877,287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10"/>
          </w:tcPr>
          <w:p>
            <w:pPr>
              <w:ind w:left="160"/>
              <w:spacing w:after="0" w:line="201" w:lineRule="exact"/>
              <w:rPr>
                <w:sz w:val="20"/>
                <w:szCs w:val="20"/>
                <w:color w:val="auto"/>
              </w:rPr>
            </w:pPr>
            <w:r>
              <w:rPr>
                <w:rFonts w:ascii="Arial" w:cs="Arial" w:eastAsia="Arial" w:hAnsi="Arial"/>
                <w:sz w:val="18"/>
                <w:szCs w:val="18"/>
                <w:color w:val="auto"/>
                <w:w w:val="97"/>
              </w:rPr>
              <w:t>Preferred stock, $0.001 par value, 5,000 authorized, no shares issued and outstanding at June 30, 2014 and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December 31, 2014</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10"/>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$0.001 par value, 155,000 shares authorized at June 30, and December 31, 2014, 49,564 shares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10"/>
            <w:shd w:val="clear" w:color="auto" w:fill="CCEEFF"/>
          </w:tcPr>
          <w:p>
            <w:pPr>
              <w:ind w:left="340"/>
              <w:spacing w:after="0"/>
              <w:rPr>
                <w:sz w:val="20"/>
                <w:szCs w:val="20"/>
                <w:color w:val="auto"/>
              </w:rPr>
            </w:pPr>
            <w:r>
              <w:rPr>
                <w:rFonts w:ascii="Arial" w:cs="Arial" w:eastAsia="Arial" w:hAnsi="Arial"/>
                <w:sz w:val="18"/>
                <w:szCs w:val="18"/>
                <w:color w:val="auto"/>
                <w:w w:val="96"/>
              </w:rPr>
              <w:t>issued and outstanding at June 30, 2014; and 50,487 shares issued and outstanding at December 31, 2014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125,255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(34,171)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91,134</w:t>
            </w:r>
          </w:p>
        </w:tc>
        <w:tc>
          <w:tcPr>
            <w:tcW w:w="3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105,141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528,151</w:t>
            </w:r>
          </w:p>
        </w:tc>
        <w:tc>
          <w:tcPr>
            <w:tcW w:w="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982,428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80" w:type="dxa"/>
            <w:vAlign w:val="bottom"/>
            <w:gridSpan w:val="9"/>
            <w:vMerge w:val="restart"/>
          </w:tcPr>
          <w:p>
            <w:pPr>
              <w:jc w:val="center"/>
              <w:ind w:left="141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4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4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40" w:type="dxa"/>
            <w:vAlign w:val="bottom"/>
            <w:gridSpan w:val="7"/>
          </w:tcPr>
          <w:p>
            <w:pPr>
              <w:jc w:val="center"/>
              <w:ind w:left="2350"/>
              <w:spacing w:after="0"/>
              <w:rPr>
                <w:sz w:val="20"/>
                <w:szCs w:val="20"/>
                <w:color w:val="auto"/>
              </w:rPr>
            </w:pPr>
            <w:r>
              <w:rPr>
                <w:rFonts w:ascii="Arial" w:cs="Arial" w:eastAsia="Arial" w:hAnsi="Arial"/>
                <w:sz w:val="18"/>
                <w:szCs w:val="18"/>
                <w:b w:val="1"/>
                <w:bCs w:val="1"/>
                <w:color w:val="auto"/>
              </w:rPr>
              <w:t>PAYLOCITY HOLDING CORPORATION</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40" w:type="dxa"/>
            <w:vAlign w:val="bottom"/>
            <w:gridSpan w:val="7"/>
          </w:tcPr>
          <w:p>
            <w:pPr>
              <w:jc w:val="center"/>
              <w:ind w:left="2330"/>
              <w:spacing w:after="0"/>
              <w:rPr>
                <w:sz w:val="20"/>
                <w:szCs w:val="20"/>
                <w:color w:val="auto"/>
              </w:rPr>
            </w:pPr>
            <w:r>
              <w:rPr>
                <w:rFonts w:ascii="Arial" w:cs="Arial" w:eastAsia="Arial" w:hAnsi="Arial"/>
                <w:sz w:val="18"/>
                <w:szCs w:val="18"/>
                <w:b w:val="1"/>
                <w:bCs w:val="1"/>
                <w:color w:val="auto"/>
                <w:w w:val="89"/>
              </w:rPr>
              <w:t>Unaudited Consolidated Statements of Operations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Recurring fees</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22,145</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32,055</w:t>
            </w: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42,883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on funds held for clients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recurring revenues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43,614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Implementation services and other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2,660</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23,905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34,313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46,274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Recurring revenues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17,074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Implementation services and other</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25,065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21,209</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10,612</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9,139</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22,733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24,054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Operating loss</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52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(2,795)</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(2,293)</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(3,118)</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 stockholders, basic and diluted</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-5954395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-5954395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shares used in computing net loss per share attributable to</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31,988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49,775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49,670</w:t>
            </w:r>
          </w:p>
        </w:tc>
      </w:tr>
      <w:tr>
        <w:trPr>
          <w:trHeight w:val="217"/>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p>
        </w:tc>
        <w:tc>
          <w:tcPr>
            <w:tcW w:w="1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340" w:type="dxa"/>
            <w:vAlign w:val="bottom"/>
            <w:gridSpan w:val="3"/>
            <w:vMerge w:val="restart"/>
          </w:tcPr>
          <w:p>
            <w:pPr>
              <w:jc w:val="right"/>
              <w:ind w:right="49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0"/>
                <w:szCs w:val="10"/>
                <w:color w:val="auto"/>
              </w:rPr>
            </w:pPr>
          </w:p>
        </w:tc>
        <w:tc>
          <w:tcPr>
            <w:tcW w:w="10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49,564</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Follow-on offering, net of issuance costs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750</w:t>
            </w: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18,384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 restricted</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 stock</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purchase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 price related to</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2,924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 expense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equipment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Prepaid expenses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accounts payable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Capitalized internally developed software costs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(1,859)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Payments for acquisition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funds held for clients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(135,858)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(140,504)</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client funds obligation</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135,858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follow-on offering, net of cash paid for issuance costs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initial public offering costs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Taxes paid related to net share settlement of equity awards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134,847</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Change in Cash and Cash Equivalents</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(4,765)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7,594</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78,848</w:t>
            </w:r>
          </w:p>
        </w:tc>
        <w:tc>
          <w:tcPr>
            <w:tcW w:w="0" w:type="dxa"/>
            <w:vAlign w:val="bottom"/>
          </w:tcPr>
          <w:p>
            <w:pPr>
              <w:spacing w:after="0"/>
              <w:rPr>
                <w:sz w:val="1"/>
                <w:szCs w:val="1"/>
                <w:color w:val="auto"/>
              </w:rPr>
            </w:pPr>
          </w:p>
        </w:tc>
      </w:tr>
      <w:tr>
        <w:trPr>
          <w:trHeight w:val="210"/>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4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Build-out allowance received from landlord</w:t>
            </w:r>
          </w:p>
        </w:tc>
        <w:tc>
          <w:tcPr>
            <w:tcW w:w="21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Deferred offering costs included in accounts payable</w:t>
            </w:r>
          </w:p>
        </w:tc>
        <w:tc>
          <w:tcPr>
            <w:tcW w:w="17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4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863</w:t>
            </w:r>
          </w:p>
        </w:tc>
        <w:tc>
          <w:tcPr>
            <w:tcW w:w="3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0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Unpaid follow-on offering costs included in accrued expenses</w:t>
            </w:r>
          </w:p>
        </w:tc>
        <w:tc>
          <w:tcPr>
            <w:tcW w:w="17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Purchase of property and equipment, accrued but not paid</w:t>
            </w:r>
          </w:p>
        </w:tc>
        <w:tc>
          <w:tcPr>
            <w:tcW w:w="17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4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w:t>
            </w:r>
          </w:p>
        </w:tc>
        <w:tc>
          <w:tcPr>
            <w:tcW w:w="3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 of cash flow information</w:t>
            </w:r>
          </w:p>
        </w:tc>
        <w:tc>
          <w:tcPr>
            <w:tcW w:w="1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04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21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7"/>
        </w:trPr>
        <w:tc>
          <w:tcPr>
            <w:tcW w:w="70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December 2014, the Company completed a follow-on offering in which it issued and sold 750 shares of common stock and existing shareholders sold 3,850 shares of common stock at a public offering price of $26.25 per share. The Company did not receive any proceeds from the sale of common stock by the existing shareholders. The Company received net proceeds of $18,384 after deducting underwriting discounts and commissions of $935 and other offering expenses of $368.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8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software developed for internal use,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results of operations, financial position, changes in stockholders’ equity and cash flows. The results of operations for the three-month and six-month periods ended December 31, 2014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2014 included in the Company’s Annual Report on Form 10-K filed with the SEC on August 22, 2014.</w:t>
      </w:r>
    </w:p>
    <w:p>
      <w:pPr>
        <w:spacing w:after="0" w:line="19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Differences in the normal relationship between the income tax expense (benefit) and pre-tax income (loss) materially result from the existence of a valuation allowance recorded against the preponderance of the net deferred tax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5" w:gutter="0" w:footer="0" w:header="0"/>
        </w:sectPr>
      </w:pPr>
    </w:p>
    <w:bookmarkStart w:id="5" w:name="page6"/>
    <w:bookmarkEnd w:id="5"/>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8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May 2014, the Financial Accounting Standard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“full retrospective” adoption or a “modified retrospective” adoption. The Company is currently evaluating which adoption method it will use. Early application is not permitted. The Company plans on adopting ASU 2014-09 beginning July 1, 2017 and is currently assessing the potential effects of these changes to its consolidated financial statements.</w:t>
      </w:r>
    </w:p>
    <w:p>
      <w:pPr>
        <w:spacing w:after="0" w:line="178"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(3) Balance Sheet Information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660"/>
              <w:spacing w:after="0"/>
              <w:rPr>
                <w:sz w:val="20"/>
                <w:szCs w:val="20"/>
                <w:color w:val="auto"/>
              </w:rPr>
            </w:pPr>
            <w:r>
              <w:rPr>
                <w:rFonts w:ascii="Arial" w:cs="Arial" w:eastAsia="Arial" w:hAnsi="Arial"/>
                <w:sz w:val="18"/>
                <w:szCs w:val="18"/>
                <w:color w:val="auto"/>
              </w:rPr>
              <w:t>The following tables provide details of selected consolidated balance sheet items: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660"/>
              <w:spacing w:after="0"/>
              <w:rPr>
                <w:sz w:val="20"/>
                <w:szCs w:val="20"/>
                <w:color w:val="auto"/>
              </w:rPr>
            </w:pPr>
            <w:r>
              <w:rPr>
                <w:rFonts w:ascii="Arial" w:cs="Arial" w:eastAsia="Arial" w:hAnsi="Arial"/>
                <w:sz w:val="18"/>
                <w:szCs w:val="18"/>
                <w:color w:val="auto"/>
              </w:rPr>
              <w:t>Activity in the allowance for doubtful accounts was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126</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660"/>
              <w:spacing w:after="0"/>
              <w:rPr>
                <w:sz w:val="20"/>
                <w:szCs w:val="20"/>
                <w:color w:val="auto"/>
              </w:rPr>
            </w:pPr>
            <w:r>
              <w:rPr>
                <w:rFonts w:ascii="Arial" w:cs="Arial" w:eastAsia="Arial" w:hAnsi="Arial"/>
                <w:sz w:val="18"/>
                <w:szCs w:val="18"/>
                <w:color w:val="auto"/>
              </w:rPr>
              <w:t>Capitalized software and accumulated amortization were as follows: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67"/>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67"/>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8"/>
                <w:szCs w:val="18"/>
                <w:color w:val="auto"/>
              </w:rPr>
            </w:pPr>
          </w:p>
        </w:tc>
        <w:tc>
          <w:tcPr>
            <w:tcW w:w="1460" w:type="dxa"/>
            <w:vAlign w:val="bottom"/>
            <w:gridSpan w:val="3"/>
          </w:tcPr>
          <w:p>
            <w:pPr>
              <w:jc w:val="right"/>
              <w:ind w:right="110"/>
              <w:spacing w:after="0"/>
              <w:rPr>
                <w:sz w:val="20"/>
                <w:szCs w:val="20"/>
                <w:color w:val="auto"/>
              </w:rPr>
            </w:pPr>
            <w:r>
              <w:rPr>
                <w:rFonts w:ascii="Arial" w:cs="Arial" w:eastAsia="Arial" w:hAnsi="Arial"/>
                <w:sz w:val="18"/>
                <w:szCs w:val="18"/>
                <w:color w:val="auto"/>
              </w:rPr>
              <w:t>(14,770)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software,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Amortization of capitalized internal-use software costs is included in Cost of Revenues-Recurring Revenues and amounted to $624 and $685 for the three months ended December 31, 2013 and 2014, respectively and $1,229 and $1,278 for the six months ended December 31, 2013 and 2014,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7,726</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11,059</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4,963</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5,133</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Time clocks rented by clients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2,360</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2,698</w:t>
            </w:r>
          </w:p>
        </w:tc>
      </w:tr>
      <w:tr>
        <w:trPr>
          <w:trHeight w:val="210"/>
        </w:trPr>
        <w:tc>
          <w:tcPr>
            <w:tcW w:w="6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(11,749)</w:t>
            </w: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(14,131)</w:t>
            </w:r>
          </w:p>
        </w:tc>
      </w:tr>
      <w:tr>
        <w:trPr>
          <w:trHeight w:val="21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Depreciation expense amounted to $909 and $1,354 for the three months ended December 31, 2013 and 2014, respectively and $1,695 and $2,502 for the six months ended December 31, 2013 and 2014,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expenses were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portion of deferred rent</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8"/>
                <w:szCs w:val="18"/>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w:t>
      </w:r>
    </w:p>
    <w:p>
      <w:pPr>
        <w:sectPr>
          <w:pgSz w:w="11900" w:h="16838" w:orient="portrait"/>
          <w:cols w:equalWidth="0" w:num="1">
            <w:col w:w="11420"/>
          </w:cols>
          <w:pgMar w:left="240" w:top="125" w:right="239" w:bottom="0" w:gutter="0" w:footer="0" w:header="0"/>
        </w:sectPr>
      </w:pPr>
    </w:p>
    <w:bookmarkStart w:id="6" w:name="page7"/>
    <w:bookmarkEnd w:id="6"/>
    <w:tbl>
      <w:tblPr>
        <w:tblLayout w:type="fixed"/>
        <w:tblInd w:w="9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June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December</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30, 2014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31, 2014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6,180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4"/>
              </w:rPr>
              <w:t>9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Non-solicitation agreement</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460" w:type="dxa"/>
            <w:vAlign w:val="bottom"/>
            <w:gridSpan w:val="2"/>
          </w:tcPr>
          <w:p>
            <w:pPr>
              <w:ind w:left="8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There was no amortization expense for acquired intangible assets for the three months or six months ended December 31, 2013. Amortization expense for acquired intangible assets was $190 for the three months and $380 for the six months ended December 31,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The Company applies the fair value measurement and disclosure provisions of ASC 820, Fair Value Measurements and Disclosures, and ASU 2011-04, </w:t>
      </w:r>
      <w:r>
        <w:rPr>
          <w:rFonts w:ascii="Arial" w:cs="Arial" w:eastAsia="Arial" w:hAnsi="Arial"/>
          <w:sz w:val="16"/>
          <w:szCs w:val="16"/>
          <w:i w:val="1"/>
          <w:iCs w:val="1"/>
          <w:color w:val="auto"/>
        </w:rPr>
        <w:t>Fair Value Measurement (Topic 820): Amendments to Achieve Common Fair Value Measurement and Disclosure Requirements in U.S. GAAP and IFRS</w:t>
      </w:r>
      <w:r>
        <w:rPr>
          <w:rFonts w:ascii="Arial" w:cs="Arial" w:eastAsia="Arial" w:hAnsi="Arial"/>
          <w:sz w:val="16"/>
          <w:szCs w:val="16"/>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5660" w:right="5100" w:hanging="4896"/>
        <w:spacing w:after="0" w:line="432" w:lineRule="auto"/>
        <w:tabs>
          <w:tab w:leader="none" w:pos="845"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1—Quoted prices in active markets for identical assets and liabilities.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60" w:right="520" w:firstLine="4"/>
        <w:spacing w:after="0" w:line="277" w:lineRule="auto"/>
        <w:tabs>
          <w:tab w:leader="none" w:pos="85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70" w:lineRule="exact"/>
        <w:rPr>
          <w:rFonts w:ascii="Arial" w:cs="Arial" w:eastAsia="Arial" w:hAnsi="Arial"/>
          <w:sz w:val="18"/>
          <w:szCs w:val="18"/>
          <w:color w:val="auto"/>
        </w:rPr>
      </w:pPr>
    </w:p>
    <w:p>
      <w:pPr>
        <w:ind w:left="760" w:firstLine="4"/>
        <w:spacing w:after="0" w:line="342" w:lineRule="auto"/>
        <w:tabs>
          <w:tab w:leader="none" w:pos="85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and accounts payable, to approximate the fair value of the respective assets and liabilities at June 30, 2014 and December 31, 2014 based upon the short-term nature of the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Benefit Plans</w:t>
      </w:r>
    </w:p>
    <w:p>
      <w:pPr>
        <w:spacing w:after="0" w:line="22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maintains a 2008 Equity Incentive Plan (the “2008 Plan”) and a 2014 Equity Incentive Plan (the “2014 Plan”) pursuant to which the Company has reserved 6,800 shares of its common stock for issuance to its employees, directors and non-employee third parties. The 2014 Plan serves as the successor to the 2008 plan and permits the granting of options to purchase common stock and other equity incentives at the discretion the compensation committee of the Company’s board of directors. No new awards will be issued under the 2008 Plan as of the effective date of the 2014 Plan. Outstanding awards under the 2008 Plan continue to be subject to the terms and conditions of the 2008 Plan.</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2008 and 2014 Plans, the exercise price of each option is not less than the fair value of a share of common stock on the grant date. As of December 31, 2014, the Company had 2,036 shares allocated to the 2014 Plan, but not yet issued or subject to outstanding options or awards. Generally, the Company issues previously unissued shares for the exercise of stock options; however, previously acquired shares may be reissued to satisfy future issuances. The options typically vest ratably over a three or four year period and expire 10 years from the grant date. Compensation expense for the fair value of the options at their grant date is recognized ratably over the vesting schedule.</w:t>
      </w:r>
    </w:p>
    <w:p>
      <w:pPr>
        <w:spacing w:after="0" w:line="188" w:lineRule="exact"/>
        <w:rPr>
          <w:sz w:val="20"/>
          <w:szCs w:val="20"/>
          <w:color w:val="auto"/>
        </w:rPr>
      </w:pPr>
    </w:p>
    <w:p>
      <w:pPr>
        <w:ind w:right="400" w:firstLine="1297"/>
        <w:spacing w:after="0" w:line="308" w:lineRule="auto"/>
        <w:rPr>
          <w:sz w:val="20"/>
          <w:szCs w:val="20"/>
          <w:color w:val="auto"/>
        </w:rPr>
      </w:pPr>
      <w:r>
        <w:rPr>
          <w:rFonts w:ascii="Arial" w:cs="Arial" w:eastAsia="Arial" w:hAnsi="Arial"/>
          <w:sz w:val="17"/>
          <w:szCs w:val="17"/>
          <w:color w:val="auto"/>
        </w:rPr>
        <w:t>Stock-based compensation expense related to stock options and the vesting of Restricted Stock Awards (“RSAs”) and Restricted Stock Units (“RSUs”) is included in the following line items in the accompanying unaudited consolidated statements of operations:</w:t>
      </w:r>
    </w:p>
    <w:p>
      <w:pPr>
        <w:spacing w:after="0" w:line="12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8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849</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1,259</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2,484</w:t>
            </w:r>
          </w:p>
        </w:tc>
        <w:tc>
          <w:tcPr>
            <w:tcW w:w="80" w:type="dxa"/>
            <w:vAlign w:val="bottom"/>
            <w:shd w:val="clear" w:color="auto" w:fill="CCEEFF"/>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addition, the Company capitalized $148 and $310 of stock compensation costs in its internal use software in the three-month and six-month periods ended December 31, 2014, respectively. No such amounts were capitalized in internal use software in the three and six month periods ended December 31, 2013.</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The Company utilizes the simplified method due to the lack of sufficient</w:t>
      </w:r>
    </w:p>
    <w:p>
      <w:pPr>
        <w:sectPr>
          <w:pgSz w:w="11900" w:h="16838" w:orient="portrait"/>
          <w:cols w:equalWidth="0" w:num="1">
            <w:col w:w="11400"/>
          </w:cols>
          <w:pgMar w:left="240" w:top="104" w:right="259" w:bottom="0" w:gutter="0" w:footer="0" w:header="0"/>
        </w:sectPr>
      </w:pPr>
    </w:p>
    <w:bookmarkStart w:id="7" w:name="page8"/>
    <w:bookmarkEnd w:id="7"/>
    <w:p>
      <w:pPr>
        <w:spacing w:after="0" w:line="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historical exercise data to provide a reasonable basis upon which to otherwise estimate the expected life of the stock options. The Company has a limited history of trading as a public company. Therefore, the expected volatility is based on historical volatilities for publicly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assumptions used for estimating the fair value of stock options granted for the six months ended December 31:</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Period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6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assumptions:</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changes during the quarter in the number of shares available for grant under our equity incentive plans:</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628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RSU’s granted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Shares withheld in settlement of taxes and exercise price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Shares removed</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r>
        <w:trPr>
          <w:trHeight w:val="210"/>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December 31,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Shares removed represents forfeitures of shares and shares withheld in settlement of taxes and payment of exercise price related to grants made under the 2008 Plan. As noted above, no new awards will be issued under the 2008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stock option activity during the six months ended December 31, 2014:</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Outstanding Options</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ind w:left="249"/>
              <w:spacing w:after="0" w:line="119" w:lineRule="exact"/>
              <w:rPr>
                <w:sz w:val="20"/>
                <w:szCs w:val="20"/>
                <w:color w:val="auto"/>
              </w:rPr>
            </w:pPr>
            <w:r>
              <w:rPr>
                <w:rFonts w:ascii="Arial" w:cs="Arial" w:eastAsia="Arial" w:hAnsi="Arial"/>
                <w:sz w:val="13"/>
                <w:szCs w:val="13"/>
                <w:b w:val="1"/>
                <w:bCs w:val="1"/>
                <w:color w:val="auto"/>
                <w:w w:val="99"/>
              </w:rPr>
              <w:t>Weighted</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60" w:type="dxa"/>
            <w:vAlign w:val="bottom"/>
          </w:tcPr>
          <w:p>
            <w:pPr>
              <w:jc w:val="center"/>
              <w:ind w:left="269"/>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5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94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840" w:type="dxa"/>
            <w:vAlign w:val="bottom"/>
          </w:tcPr>
          <w:p>
            <w:pPr>
              <w:jc w:val="center"/>
              <w:ind w:left="348"/>
              <w:spacing w:after="0"/>
              <w:rPr>
                <w:sz w:val="20"/>
                <w:szCs w:val="20"/>
                <w:color w:val="auto"/>
              </w:rPr>
            </w:pPr>
            <w:r>
              <w:rPr>
                <w:rFonts w:ascii="Arial" w:cs="Arial" w:eastAsia="Arial" w:hAnsi="Arial"/>
                <w:sz w:val="14"/>
                <w:szCs w:val="14"/>
                <w:b w:val="1"/>
                <w:bCs w:val="1"/>
                <w:color w:val="auto"/>
                <w:w w:val="84"/>
              </w:rPr>
              <w:t>shares</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left="340"/>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49"/>
              <w:spacing w:after="0"/>
              <w:rPr>
                <w:sz w:val="20"/>
                <w:szCs w:val="20"/>
                <w:color w:val="auto"/>
              </w:rPr>
            </w:pPr>
            <w:r>
              <w:rPr>
                <w:rFonts w:ascii="Arial" w:cs="Arial" w:eastAsia="Arial" w:hAnsi="Arial"/>
                <w:sz w:val="14"/>
                <w:szCs w:val="14"/>
                <w:b w:val="1"/>
                <w:bCs w:val="1"/>
                <w:color w:val="auto"/>
                <w:w w:val="98"/>
              </w:rPr>
              <w:t>term</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2014</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4,388</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10.00</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8.58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51,017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9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24.80</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12.62</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5.98</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11.05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8.15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66,065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Options exercisable at December 31, 2014</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1,341</w:t>
            </w:r>
          </w:p>
        </w:tc>
        <w:tc>
          <w:tcPr>
            <w:tcW w:w="30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ind w:right="76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w w:val="79"/>
              </w:rPr>
              <w:t>2.91</w:t>
            </w:r>
          </w:p>
        </w:tc>
        <w:tc>
          <w:tcPr>
            <w:tcW w:w="28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6.49</w:t>
            </w:r>
          </w:p>
        </w:tc>
        <w:tc>
          <w:tcPr>
            <w:tcW w:w="3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640"/>
              <w:spacing w:after="0" w:line="196" w:lineRule="exact"/>
              <w:rPr>
                <w:sz w:val="20"/>
                <w:szCs w:val="20"/>
                <w:color w:val="auto"/>
              </w:rPr>
            </w:pPr>
            <w:r>
              <w:rPr>
                <w:rFonts w:ascii="Arial" w:cs="Arial" w:eastAsia="Arial" w:hAnsi="Arial"/>
                <w:sz w:val="18"/>
                <w:szCs w:val="18"/>
                <w:color w:val="auto"/>
                <w:w w:val="83"/>
              </w:rPr>
              <w:t>31,102</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Options vested and expected to vest at December 31,</w:t>
            </w:r>
          </w:p>
        </w:tc>
        <w:tc>
          <w:tcPr>
            <w:tcW w:w="8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88"/>
              </w:rPr>
              <w:t>4,192</w:t>
            </w:r>
          </w:p>
        </w:tc>
        <w:tc>
          <w:tcPr>
            <w:tcW w:w="940" w:type="dxa"/>
            <w:vAlign w:val="bottom"/>
            <w:vMerge w:val="restart"/>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10.77</w:t>
            </w:r>
          </w:p>
        </w:tc>
        <w:tc>
          <w:tcPr>
            <w:tcW w:w="106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8.10</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64,319</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8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were no options granted during the three-month periods ended December 31, 2013 and 2014, respectively. The weighted average grant date fair value of options granted during the six-month periods ended December 31, 2013 and 2014 was $1.71 and $11.15, respectively. The total intrinsic value of options exercised during the three and six month periods ended December 31, 2014 was $1,839 and $2,063, respectively. There were no options exercised in the three-month or six-month periods ended December 31, 2013. At December 31, 2014, there was $9,640 of total unrecognized compensation cost, net of estimated forfeitures, related to unvested stock option granted under the Plan. That cost is expected to be recognized over a weighted average period of 1.73 years.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may also grant RSAs and RSUs under the 2014 Plan with terms determined at the discretion of the Compensation Committee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Board of Directors. The following table represents restricted stock unit activity during the six months ended December 31, 2014:</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8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2014</w:t>
            </w: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RSUs granted</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vested</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RSUs cancelled/forfeited</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December 31, 2014</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RSUs expected to vest at December 31, 2014</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w:t>
            </w:r>
          </w:p>
        </w:tc>
        <w:tc>
          <w:tcPr>
            <w:tcW w:w="2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24.55</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380"/>
          </w:cols>
          <w:pgMar w:left="240" w:top="125" w:right="279" w:bottom="0" w:gutter="0" w:footer="0" w:header="0"/>
        </w:sectPr>
      </w:pPr>
    </w:p>
    <w:bookmarkStart w:id="8" w:name="page9"/>
    <w:bookmarkEnd w:id="8"/>
    <w:p>
      <w:pPr>
        <w:spacing w:after="0" w:line="7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December 31, 2014, there was $6,483 of total unrecognized compensation cost, net of estimated forfeitures, related to unvested restricted stock awards granted under the Plan. That cost is expected to be recognized over a weighted average period of 2.13 years.</w:t>
      </w:r>
    </w:p>
    <w:p>
      <w:pPr>
        <w:spacing w:after="0" w:line="17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Company’s 2014 Employee Stock Purchase Plan (“ESPP”) was adopted by the Board of Directors and approved by the stockholders on February 6, 2014 and was effective upon completion of the Company’s initial public offering.</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Company’s ESPP, the Company can grant stock purchase rights to all eligible employees during specific offering periods not to exceed twenty-seven months. Each offering period will begin on the first trading day on or after May 16 and November 16 of each year, effective after the first offering period after the Company’s initial public offering (“IPO”).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total of one-million shares of common stock were reserved for future issuance under the ESPP, of which 36 have been issued as of December 31, 2014. The number of shares of common stock reserved for issuance under the ESPP will increase automatically each year, beginning on January 1, 2015 and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commenced its initial ESPP four-month offering period on July 16, 2014 and commenced a six-month offering period on November 16, 2014. The Company recorded compensation expense attributable to the ESPP of $154 and $284 for the three-month and six-month periods ended December 31, 2014, respectively, which is included in the summary of stock-based compensation expense above. The grant date fair value of the ESPP offering periods was estimated using the following weighted average assumptions:</w:t>
      </w:r>
    </w:p>
    <w:p>
      <w:pPr>
        <w:spacing w:after="0" w:line="179"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Period ended</w:t>
      </w:r>
    </w:p>
    <w:p>
      <w:pPr>
        <w:ind w:left="8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40" w:type="dxa"/>
            <w:vAlign w:val="bottom"/>
            <w:gridSpan w:val="2"/>
          </w:tcPr>
          <w:p>
            <w:pPr>
              <w:spacing w:after="0"/>
              <w:rPr>
                <w:sz w:val="12"/>
                <w:szCs w:val="12"/>
                <w:color w:val="auto"/>
              </w:rPr>
            </w:pPr>
          </w:p>
        </w:tc>
        <w:tc>
          <w:tcPr>
            <w:tcW w:w="9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6"/>
        </w:trPr>
        <w:tc>
          <w:tcPr>
            <w:tcW w:w="66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assumptions:</w:t>
            </w:r>
          </w:p>
        </w:tc>
        <w:tc>
          <w:tcPr>
            <w:tcW w:w="9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 – 41.7%</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0.3 – 0.5</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 – 0.06%</w:t>
            </w:r>
          </w:p>
        </w:tc>
        <w:tc>
          <w:tcPr>
            <w:tcW w:w="920" w:type="dxa"/>
            <w:vAlign w:val="bottom"/>
          </w:tcPr>
          <w:p>
            <w:pPr>
              <w:spacing w:after="0"/>
              <w:rPr>
                <w:sz w:val="18"/>
                <w:szCs w:val="18"/>
                <w:color w:val="auto"/>
              </w:rPr>
            </w:pPr>
          </w:p>
        </w:tc>
      </w:tr>
      <w:tr>
        <w:trPr>
          <w:trHeight w:val="432"/>
        </w:trPr>
        <w:tc>
          <w:tcPr>
            <w:tcW w:w="7240" w:type="dxa"/>
            <w:vAlign w:val="bottom"/>
            <w:gridSpan w:val="2"/>
          </w:tcPr>
          <w:p>
            <w:pPr>
              <w:jc w:val="right"/>
              <w:ind w:right="135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5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maintains a 401(k) plan with a safe harbor matching provision that covers all eligible employees. The Company matches 50% of the employees’ contributions up to 6% of their gross pay. Contributions were approximately $229 and $327 for the three-month periods ended December 31, 2013 and 2014, respectively and were approximately $477 and $709 for the six-month periods ended December 31, 2013 and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Reseller Agreements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had agreements with two organizations that sell the Company’s offerings and services in defined areas of the country, one of which was terminated in May 2014. The Company exercised its right to terminate the first reseller agreement and acquired substantially all of the assets of the reseller in May 2014 as described in Note 5 of the audited consolidated financial statements and related notes for the year ended June 30, 2014 included in the Company’s Annual Report on Form 10-K filed with the SEC on August 22, 2014. The Company paid the first reseller $737 and $1,351 during the three and six months ended December 31, 2013, respectively, under the terminated reseller agreement. The Company paid the first reseller $200 and $2,585 during the three and six months ended December 31, 2014, respectively, under the terms of the asset purchase agreement signed at closing in May 2014.</w:t>
      </w:r>
    </w:p>
    <w:p>
      <w:pPr>
        <w:spacing w:after="0" w:line="16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initial term of the second reseller agreement commenced in June 2009 and is set to expire in June 2016 unless renewed or terminated. The second reseller agreement originally provided that the reseller may terminate the agreement by providing nine months’ prior notice or upon an initial public offering by the Company. The Company amended this agreement in December of 2013 to provide that the reseller may not give a nine-month termination notice until after the earlier of (i) six months following the closing of an initial public offering by the Company or (ii) December 31, 2014. In addition, the Company, but not the reseller, has the right to terminate the agreement at any time. If a termination were to occur, the purchase price of the assets would be equal to 3.3 times the net revenues of the reseller for the 12 months preceding the termination effective date. The Company paid the second reseller $471 and $695 during the three-month periods ended December 31, 2013 and 2014, respectively and $963 and $1,330 during the six-month periods ended December 31, 2013 and 2014,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For the periods presented prior to the Company’s IPO, basic and diluted net loss per common share is presented in conformity with the two-class method required for participating securities. Concurrently with the closing of the Company’s IPO on March 24, 2014, all shares of outstanding Redeemable Convertible Preferred Stock automatically converted into 11,933 shares of the Company’s common stock. Following the date of the IPO, the two-class method was no longer required as the Company has one class of securities issued and outstanding.</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Prior to the conversion of the Redeemable Convertible Preferred Stock, holders of Series A and Series B Redeemable Convertible Preferred Stock each were entitled to liquidation preferences payable prior and in preference to any dividends on any shares of the Company’s common stock. In the event a dividend was paid on common stock, the holders of Redeemable Convertible Preferred Stock were entitled to a proportionate share of any such dividend as if</w:t>
      </w:r>
    </w:p>
    <w:p>
      <w:pPr>
        <w:sectPr>
          <w:pgSz w:w="11900" w:h="16912" w:orient="portrait"/>
          <w:cols w:equalWidth="0" w:num="1">
            <w:col w:w="11460"/>
          </w:cols>
          <w:pgMar w:left="240" w:top="341" w:right="199" w:bottom="0" w:gutter="0" w:footer="0" w:header="0"/>
        </w:sectPr>
      </w:pPr>
    </w:p>
    <w:bookmarkStart w:id="9" w:name="page10"/>
    <w:bookmarkEnd w:id="9"/>
    <w:p>
      <w:pPr>
        <w:spacing w:after="0" w:line="302" w:lineRule="auto"/>
        <w:rPr>
          <w:sz w:val="20"/>
          <w:szCs w:val="20"/>
          <w:color w:val="auto"/>
        </w:rPr>
      </w:pPr>
      <w:r>
        <w:rPr>
          <w:rFonts w:ascii="Arial" w:cs="Arial" w:eastAsia="Arial" w:hAnsi="Arial"/>
          <w:sz w:val="16"/>
          <w:szCs w:val="16"/>
          <w:color w:val="auto"/>
        </w:rPr>
        <w:t>they were holders of common stock (on an as-if converted basis). The holders of the Company’s Redeemable Convertible Preferred Stock did not have a contractual obligation to share in the losses of the Company. The Company considered its Redeemable Convertible Preferred Stock to be participating securities and, in accordance with the two-class method, earnings allocated to Redeemable Convertible Preferred Stock and the related number of outstanding shares of Redeemable Convertible Preferred Stock have been excluded from the computation of basic and diluted net loss per common share.</w:t>
      </w:r>
    </w:p>
    <w:p>
      <w:pPr>
        <w:spacing w:after="0" w:line="154"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Under the two-class method, net loss attributable to common stockholders is determined by allocating undistributed earnings, calculated as net loss less current period Redeemable Convertible Preferred Stock cumulative dividends, between common stock and Redeemable Convertible Preferred Stock. In computing diluted net loss attributable to common stockholders, undistributed earnings are re-allocated to reflect the potential impact of dilutive securities.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Basic net loss per common share is computed using the weighted-average number of common shares outstanding during the period. Since the Series A and Series B Redeemable Convertible Preferred Stock were entitled to participate should any common stock dividends have been declared but were not obligated to participate in any losses generated by the Company, basic net income per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share is computed using the weighted-average number of common shares outstanding during the period plus the Series A and Series B Redeemable Convertible Preferred Stock on a weighted-average basis.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Diluted net loss per share is computed using the weighted-average number of common shares outstanding during the period and, if dilutive, potential common shares outstanding during the period. Since the Series A and Series B Redeemable Convertible Preferred Stock were entitled to participate should any common stock dividends be declared but were not obligated to participate in any losses generated by the Company, diluted net income per share is computed using the weighted-average number of common shares plus the Series A and Series B Redeemable Convertible Preferred Stock on a weighted-average basis and, if dilutive, potential common shares outstanding during the period. The Company’s potential common shares consist of the incremental common shares issuable upon the exercise of stock options. The dilutive effect of outstanding stock options is reflected in diluted earnings per share by application of the treasury stock method.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loss per share: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loss per share: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(1,512)</w:t>
            </w:r>
          </w:p>
        </w:tc>
        <w:tc>
          <w:tcPr>
            <w:tcW w:w="62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5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ind w:left="160"/>
              <w:spacing w:after="0" w:line="201" w:lineRule="exact"/>
              <w:rPr>
                <w:sz w:val="20"/>
                <w:szCs w:val="20"/>
                <w:color w:val="auto"/>
              </w:rPr>
            </w:pPr>
            <w:r>
              <w:rPr>
                <w:rFonts w:ascii="Arial" w:cs="Arial" w:eastAsia="Arial" w:hAnsi="Arial"/>
                <w:sz w:val="18"/>
                <w:szCs w:val="18"/>
                <w:color w:val="auto"/>
                <w:w w:val="96"/>
              </w:rPr>
              <w:t>Less: Preferred dividend rights attributable to</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participating securities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Net loss attributable to common stockholders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w w:val="92"/>
              </w:rPr>
              <w:t>Weighted-average shares used in computing net</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loss per share attributable to common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(in thousands)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31,988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w w:val="99"/>
              </w:rPr>
              <w:t>Weighted-average effect of potentially dilutive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Employee stock options and restricted stock</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units (in thousands)</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Diluted (in thousands)</w:t>
            </w: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31,988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08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following table summarizes the outstanding employee stock options, restricted stock units, shares purchasable via the employee stock purchase plan as of the balance sheet date, and redeemable convertible preferred stock that were excluded from the diluted per share calculation for the periods presented because to include them would have been anti-dilutive:</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60" w:type="dxa"/>
            <w:vAlign w:val="bottom"/>
            <w:gridSpan w:val="3"/>
          </w:tcPr>
          <w:p>
            <w:pPr>
              <w:ind w:left="880"/>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3"/>
          </w:tcPr>
          <w:p>
            <w:pPr>
              <w:jc w:val="center"/>
              <w:ind w:left="817"/>
              <w:spacing w:after="0"/>
              <w:rPr>
                <w:sz w:val="20"/>
                <w:szCs w:val="20"/>
                <w:color w:val="auto"/>
              </w:rPr>
            </w:pPr>
            <w:r>
              <w:rPr>
                <w:rFonts w:ascii="Arial" w:cs="Arial" w:eastAsia="Arial" w:hAnsi="Arial"/>
                <w:sz w:val="14"/>
                <w:szCs w:val="14"/>
                <w:b w:val="1"/>
                <w:bCs w:val="1"/>
                <w:color w:val="auto"/>
                <w:w w:val="91"/>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11,933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11,933</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21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216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1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Employee stock options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2,376</w:t>
            </w: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4,387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2,376</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3"/>
              </w:rPr>
              <w:t>14,309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RSAs were excluded from both basic and diluted earnings per share calculations for the three-month and six-month periods ended December 31, 2013 as the vesting conditions had not been met as of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Company’s quarterly provision for income taxes is based on an estimated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ectPr>
          <w:pgSz w:w="11900" w:h="16838" w:orient="portrait"/>
          <w:cols w:equalWidth="0" w:num="1">
            <w:col w:w="11380"/>
          </w:cols>
          <w:pgMar w:left="240" w:top="125" w:right="27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recorded income tax (benefit) expense of $(877) and $34 for the three-month periods ended December 31, 2013 and 2014, respectively and $(1,239) and $62 for the six-month periods ended December 31, 2013 and 2014, respectively. The Company’s effective rate for the three and six months ended December 31, 2013 differed from statutory rates primarily due to federal and state research and development credits and expenses not deductible for income tax reporting purposes. The Company’s effective tax rate for the three and six months ended December 31, 2014 differ from statutory rates primarily due to the existence of a valuation allowance recorded against the preponderance of the net deferred tax assets.</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As of December 31, 2014, the Company had no unrecognized tax benefits.</w:t>
      </w:r>
    </w:p>
    <w:p>
      <w:pPr>
        <w:spacing w:after="0" w:line="17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September 13, 2013, the IRS issued final regulations and re-proposed regulations that provide guidance with respect to (i) the treatment of materials and supplies, (ii) capitalization of amounts paid to acquire or produce tangible property, (iii) the determination of whether an expenditure with respect to tangible property is a deductible repair or a capital expenditure, and (iv) dispositions of MACRS property. The final regulations will be effective for the fiscal year ending June 30, 2015. Management is reviewing the regulations, but does not believe there will be a material impact on the Company’s results of operations, financial position,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a Memorandum of Understanding (“Memorandum”) and a Non-Competition and Non-Solicitation Agreement (“Non-Compete”) with its Chairman Steve Sarowitz and Blue Marble, a separate legal entity owned by Mr. Sarowitz.</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Memorandum established the ongoing market based terms between the Company and Blue Marble for services provided to or on behalf of each other. In addition, Paylocity obtained a right of first refusal on the sale of Blue Marble, an option exercisable starting three years from the date of the Memorandum to purchase Blue Marble, and the right of first refusal to purchase any acquisition target of Blue Marble outside the United States of America, all at fair market value. The Memorandum requires Blue Marble to obtain written consent from Paylocity should Blue Marble intend to acquire an entity that provides or partners with other service providers to provide products and services to clients located in the United States of America. The Company provides no management guidance to the entity, has no equity interest in the entity, no obligation or intention to fund any of the entity’s operational shortfalls, and no right to any operational surpluses generated by the entity.</w:t>
      </w:r>
    </w:p>
    <w:p>
      <w:pPr>
        <w:spacing w:after="0" w:line="18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Non-Compete agreement outlines the permissible activities and ongoing responsibilities of Mr. Sarowitz and Blue Marble including an obligation not to compete with services offered by Paylocity and an obligation not to solicit employees of Paylocity.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January 1, 2015, pursuant to the provisions of the 2014 Equity Incentive Plan, the number of common shares in reserve increased by 2,272 shares automatically and, pursuant to the provisions of the 2014 Employee Stock Purchase Plan, the number of common shares in reserve increased by 137 shares as determined by the Board of Directors.</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January 2015, the underwriters for the Company’s follow-on offering exercised their option to purchase 360 additional shares from certain shareholders of the Company of the 690 available as described in the final prospectus filed with the SEC on December 12, 2014. The Company did not receive any proceeds from the sale of common stock by the existing shareholders.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has evaluated subsequent events from the balance sheet date through February 6, 2015, the date at which the financial statements were available to be issued and has determined that there are no such events that would have a material impact on the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elsewhere in this prospectus, particularly under the section titled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HR, payroll and finance capabilities of our clients.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ectPr>
          <w:pgSz w:w="11900" w:h="16838" w:orient="portrait"/>
          <w:cols w:equalWidth="0" w:num="1">
            <w:col w:w="11420"/>
          </w:cols>
          <w:pgMar w:left="240" w:top="341" w:right="239" w:bottom="0" w:gutter="0" w:footer="0" w:header="0"/>
        </w:sectPr>
      </w:pPr>
    </w:p>
    <w:bookmarkStart w:id="11" w:name="page12"/>
    <w:bookmarkEnd w:id="11"/>
    <w:p>
      <w:pPr>
        <w:spacing w:after="0" w:line="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negatively impacted by historically low interest rates.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have historically been, and are currently, conducted by Paylocity Corporation, and the operating financial results presented herein are entirely attributable to the results of its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$43.6 million for the six months ended December 31, 2013 to $62.0 million for the six months ended December 31, 2014, representing a 42% year-over-year increase. Recurring revenue represented 94% and 95% of total revenue during the six months ended December 31, 2013 and 2014, respectively. Recurring revenue increased from $22.5 million for the three months ended December 31, 2013 to $32.4 million for the three months ended December 31, 2014, representing a 44% year-over-year increase. Recurring revenue represented 95% of total revenue for both of the three month periods ended December 31, 2013 and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37% and 38% for the six-month periods ended December 31, 2013 and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5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loss or cash provided by operating activities,</w:t>
      </w:r>
    </w:p>
    <w:p>
      <w:pPr>
        <w:sectPr>
          <w:pgSz w:w="11900" w:h="16885" w:orient="portrait"/>
          <w:cols w:equalWidth="0" w:num="1">
            <w:col w:w="11420"/>
          </w:cols>
          <w:pgMar w:left="240" w:top="125" w:right="239" w:bottom="0" w:gutter="0" w:footer="0" w:header="0"/>
        </w:sectPr>
      </w:pPr>
    </w:p>
    <w:bookmarkStart w:id="12" w:name="page13"/>
    <w:bookmarkEnd w:id="12"/>
    <w:p>
      <w:pPr>
        <w:ind w:right="420"/>
        <w:spacing w:after="0" w:line="277" w:lineRule="auto"/>
        <w:rPr>
          <w:sz w:val="20"/>
          <w:szCs w:val="20"/>
          <w:color w:val="auto"/>
        </w:rPr>
      </w:pPr>
      <w:r>
        <w:rPr>
          <w:rFonts w:ascii="Arial" w:cs="Arial" w:eastAsia="Arial" w:hAnsi="Arial"/>
          <w:sz w:val="18"/>
          <w:szCs w:val="18"/>
          <w:color w:val="auto"/>
        </w:rPr>
        <w:t>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stock-based compensation expenses, and employer payroll tax related to stock releases and option exercises, if any. We define Adjusted Recurring Gross Profit as total recurring revenues after cost of recurring revenues and before amortization of capitalized internal-use software stock-based compensation expenses, and employer payroll tax related to stock releases and option exercises, if any. We define Adjusted EBITDA as net loss before interest expense (income), income tax expense (benefit), depreciation and amortization, stock-based compensation expenses, and employer payroll tax related to stock releases and option exercises, if any. The table below sets forth our Adjusted Gross Profit, Adjusted Recurring Gross Profit and Adjusted EBITDA for the periods presented.</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Profit(1)</w:t>
            </w:r>
          </w:p>
        </w:tc>
        <w:tc>
          <w:tcPr>
            <w:tcW w:w="10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11,211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22,438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34,695</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Adjusted Recurring Gross Profit(1)</w:t>
            </w:r>
          </w:p>
        </w:tc>
        <w:tc>
          <w:tcPr>
            <w:tcW w:w="10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14,066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21,643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27,769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42,032</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0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r>
      <w:tr>
        <w:trPr>
          <w:trHeight w:val="342"/>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Reconciliation from Gross Profit to Adjusted Gross Profit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Gross profit</w:t>
            </w:r>
          </w:p>
        </w:tc>
        <w:tc>
          <w:tcPr>
            <w:tcW w:w="10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10,587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16,267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21,209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31,924</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research and development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40" w:type="dxa"/>
            <w:vAlign w:val="bottom"/>
          </w:tcPr>
          <w:p>
            <w:pPr>
              <w:spacing w:after="0"/>
              <w:rPr>
                <w:sz w:val="18"/>
                <w:szCs w:val="18"/>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and employer payroll taxes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related to stock releases and option exercises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40" w:type="dxa"/>
            <w:vAlign w:val="bottom"/>
          </w:tcPr>
          <w:p>
            <w:pPr>
              <w:spacing w:after="0"/>
              <w:rPr>
                <w:sz w:val="20"/>
                <w:szCs w:val="20"/>
                <w:color w:val="auto"/>
              </w:rPr>
            </w:pPr>
          </w:p>
        </w:tc>
      </w:tr>
      <w:tr>
        <w:trPr>
          <w:trHeight w:val="210"/>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Gross Profit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8"/>
        </w:trPr>
        <w:tc>
          <w:tcPr>
            <w:tcW w:w="4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Reconciliation from Total Recurring Revenues to Adjusted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Recurring Gross Profit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10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22,523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32,445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43,614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61,950</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17,074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22,010</w:t>
            </w:r>
          </w:p>
        </w:tc>
        <w:tc>
          <w:tcPr>
            <w:tcW w:w="40" w:type="dxa"/>
            <w:vAlign w:val="bottom"/>
          </w:tcPr>
          <w:p>
            <w:pPr>
              <w:spacing w:after="0"/>
              <w:rPr>
                <w:sz w:val="18"/>
                <w:szCs w:val="18"/>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color w:val="auto"/>
              </w:rPr>
              <w:t>Recurring gross profit</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13,442</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26,540</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research and development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40" w:type="dxa"/>
            <w:vAlign w:val="bottom"/>
          </w:tcPr>
          <w:p>
            <w:pPr>
              <w:spacing w:after="0"/>
              <w:rPr>
                <w:sz w:val="18"/>
                <w:szCs w:val="18"/>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and employer payroll taxes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related to stock releases and option exercises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40" w:type="dxa"/>
            <w:vAlign w:val="bottom"/>
          </w:tcPr>
          <w:p>
            <w:pPr>
              <w:spacing w:after="0"/>
              <w:rPr>
                <w:sz w:val="20"/>
                <w:szCs w:val="20"/>
                <w:color w:val="auto"/>
              </w:rPr>
            </w:pPr>
          </w:p>
        </w:tc>
      </w:tr>
      <w:tr>
        <w:trPr>
          <w:trHeight w:val="210"/>
        </w:trPr>
        <w:tc>
          <w:tcPr>
            <w:tcW w:w="4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Recurring Gross Profit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14,066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2"/>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center"/>
              <w:ind w:left="498"/>
              <w:spacing w:after="0"/>
              <w:rPr>
                <w:sz w:val="20"/>
                <w:szCs w:val="20"/>
                <w:color w:val="auto"/>
              </w:rPr>
            </w:pPr>
            <w:r>
              <w:rPr>
                <w:rFonts w:ascii="Arial" w:cs="Arial" w:eastAsia="Arial" w:hAnsi="Arial"/>
                <w:sz w:val="14"/>
                <w:szCs w:val="14"/>
                <w:b w:val="1"/>
                <w:bCs w:val="1"/>
                <w:color w:val="auto"/>
                <w:w w:val="89"/>
              </w:rPr>
              <w:t>Six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Loss to Adjusted EBITDA</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(1,512)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(11,295)</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(1,239)</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w:t>
            </w:r>
          </w:p>
        </w:tc>
        <w:tc>
          <w:tcPr>
            <w:tcW w:w="40" w:type="dxa"/>
            <w:vAlign w:val="bottom"/>
          </w:tcPr>
          <w:p>
            <w:pPr>
              <w:spacing w:after="0"/>
              <w:rPr>
                <w:sz w:val="18"/>
                <w:szCs w:val="18"/>
                <w:color w:val="auto"/>
              </w:rPr>
            </w:pPr>
          </w:p>
        </w:tc>
      </w:tr>
      <w:tr>
        <w:trPr>
          <w:trHeight w:val="210"/>
        </w:trPr>
        <w:tc>
          <w:tcPr>
            <w:tcW w:w="4780" w:type="dxa"/>
            <w:vAlign w:val="bottom"/>
          </w:tcPr>
          <w:p>
            <w:pPr>
              <w:ind w:left="180"/>
              <w:spacing w:after="0"/>
              <w:rPr>
                <w:sz w:val="20"/>
                <w:szCs w:val="20"/>
                <w:color w:val="auto"/>
              </w:rPr>
            </w:pPr>
            <w:r>
              <w:rPr>
                <w:rFonts w:ascii="Arial" w:cs="Arial" w:eastAsia="Arial" w:hAnsi="Arial"/>
                <w:sz w:val="18"/>
                <w:szCs w:val="18"/>
                <w:color w:val="auto"/>
              </w:rPr>
              <w:t>EBITDA</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Stock-based compensation expense and employer payroll 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 releases and option exercises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w:t>
            </w:r>
          </w:p>
        </w:tc>
        <w:tc>
          <w:tcPr>
            <w:tcW w:w="40" w:type="dxa"/>
            <w:vAlign w:val="bottom"/>
          </w:tcPr>
          <w:p>
            <w:pPr>
              <w:spacing w:after="0"/>
              <w:rPr>
                <w:sz w:val="20"/>
                <w:szCs w:val="20"/>
                <w:color w:val="auto"/>
              </w:rPr>
            </w:pPr>
          </w:p>
        </w:tc>
      </w:tr>
      <w:tr>
        <w:trPr>
          <w:trHeight w:val="223"/>
        </w:trPr>
        <w:tc>
          <w:tcPr>
            <w:tcW w:w="478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clients have consistently had on average over 100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w:t>
      </w:r>
    </w:p>
    <w:p>
      <w:pPr>
        <w:sectPr>
          <w:pgSz w:w="11900" w:h="16838" w:orient="portrait"/>
          <w:cols w:equalWidth="0" w:num="1">
            <w:col w:w="11460"/>
          </w:cols>
          <w:pgMar w:left="240" w:top="125" w:right="199" w:bottom="0" w:gutter="0" w:footer="0" w:header="0"/>
        </w:sectPr>
      </w:pPr>
    </w:p>
    <w:bookmarkStart w:id="13" w:name="page14"/>
    <w:bookmarkEnd w:id="13"/>
    <w:p>
      <w:pPr>
        <w:spacing w:after="0" w:line="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93% of our total revenues during each of the three-month periods ended December 31, 2013 and 2014, and 93% and 94% of our total revenues during each of the six-month periods ended December 31, 2013 and 2014, respectively.</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six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Costs of recurring revenues are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software costs, as well as bank fees associated with client fund transfers. We expect to realize cost efficiencies over the long term as our business scales, resulting in improved operating leverage and increased margins.</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capitalize a portion of our costs for software developed for internal use, which are then all amortized as a cost of recurring revenues. We amortized $0.6 million and $0.7 million during each of the three months ended December 31, 2013 and 2014, respectively, and $1.2 million and $1.3 million during each of the six months ended December 31, 2013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Cost of implementation services and other consists almost entirely of employee-related expenses involved in the implementation of our payroll and other HCM solutions for new clients. Implementation costs are generally fixed in the short-term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8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benefits and bonuses. Additional expenses include costs related to the development, maintenance, quality assurance and testing of new technologies and ongoing refinement of our existing solutions. Research and development expenses, other than software development expenses qualifying for capitalization, are expensed as incurred.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December 31, 2013 and 2014, respectively.</w:t>
      </w:r>
    </w:p>
    <w:p>
      <w:pPr>
        <w:sectPr>
          <w:pgSz w:w="11900" w:h="16917" w:orient="portrait"/>
          <w:cols w:equalWidth="0" w:num="1">
            <w:col w:w="11420"/>
          </w:cols>
          <w:pgMar w:left="240" w:top="125" w:right="239" w:bottom="0" w:gutter="0" w:footer="0" w:header="0"/>
        </w:sectPr>
      </w:pPr>
    </w:p>
    <w:p>
      <w:pPr>
        <w:spacing w:after="0" w:line="173" w:lineRule="exact"/>
        <w:rPr>
          <w:sz w:val="20"/>
          <w:szCs w:val="20"/>
          <w:color w:val="auto"/>
        </w:rPr>
      </w:pPr>
    </w:p>
    <w:p>
      <w:pPr>
        <w:ind w:left="5000"/>
        <w:spacing w:after="0"/>
        <w:tabs>
          <w:tab w:leader="none" w:pos="83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Six months ended</w:t>
      </w:r>
    </w:p>
    <w:p>
      <w:pPr>
        <w:spacing w:after="0" w:line="4" w:lineRule="exact"/>
        <w:rPr>
          <w:sz w:val="20"/>
          <w:szCs w:val="20"/>
          <w:color w:val="auto"/>
        </w:rPr>
      </w:pPr>
    </w:p>
    <w:p>
      <w:pPr>
        <w:ind w:left="5220"/>
        <w:spacing w:after="0"/>
        <w:tabs>
          <w:tab w:leader="none" w:pos="852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sectPr>
          <w:pgSz w:w="11900" w:h="16917" w:orient="portrait"/>
          <w:cols w:equalWidth="0" w:num="1">
            <w:col w:w="11420"/>
          </w:cols>
          <w:pgMar w:left="240" w:top="125" w:right="239" w:bottom="0" w:gutter="0" w:footer="0" w:header="0"/>
          <w:type w:val="continuous"/>
        </w:sectPr>
      </w:pPr>
    </w:p>
    <w:bookmarkStart w:id="14" w:name="page15"/>
    <w:bookmarkEnd w:id="14"/>
    <w:tbl>
      <w:tblPr>
        <w:tblLayout w:type="fixed"/>
        <w:tblInd w:w="6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82"/>
        </w:trPr>
        <w:tc>
          <w:tcPr>
            <w:tcW w:w="2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Capitalized portion of research and</w:t>
            </w:r>
          </w:p>
        </w:tc>
        <w:tc>
          <w:tcPr>
            <w:tcW w:w="4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38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10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1,859</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Expensed portion of research and</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2,347</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5,271</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4,303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6,086</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General and administrative expenses consist primarily of other employee-related costs, including wages, benefits, stock-based compensation and bonuses for our administrative, finance, accounting, and human resources departments. Additional expenses include consulting and professional fees, insurance and other corporate expenses.</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expect our general and administrative expenses to increase in absolute dollars as a result of our operation as a public company. These expenses will also include costs associated with compliance with the Sarbanes Oxley Act and other regulations governing public companies, increased costs of directors’ and officers’ liability insurance and increased professional services expenses.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Other income (expense) consists primarily of interest income and expense. Interest income represents interest received on our cash and cash equivalents. Interest expense consists primarily of the interest incurred on borrowings under notes payable, if any. As of December 31, 2014, the Company had no notes payable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4"/>
          </w:tcPr>
          <w:p>
            <w:pPr>
              <w:jc w:val="center"/>
              <w:ind w:left="513"/>
              <w:spacing w:after="0"/>
              <w:rPr>
                <w:sz w:val="20"/>
                <w:szCs w:val="20"/>
                <w:color w:val="auto"/>
              </w:rPr>
            </w:pPr>
            <w:r>
              <w:rPr>
                <w:rFonts w:ascii="Arial" w:cs="Arial" w:eastAsia="Arial" w:hAnsi="Arial"/>
                <w:sz w:val="14"/>
                <w:szCs w:val="14"/>
                <w:b w:val="1"/>
                <w:bCs w:val="1"/>
                <w:color w:val="auto"/>
                <w:w w:val="91"/>
              </w:rPr>
              <w:t>Six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513"/>
              <w:spacing w:after="0"/>
              <w:rPr>
                <w:sz w:val="20"/>
                <w:szCs w:val="20"/>
                <w:color w:val="auto"/>
              </w:rPr>
            </w:pPr>
            <w:r>
              <w:rPr>
                <w:rFonts w:ascii="Arial" w:cs="Arial" w:eastAsia="Arial" w:hAnsi="Arial"/>
                <w:sz w:val="14"/>
                <w:szCs w:val="14"/>
                <w:b w:val="1"/>
                <w:bCs w:val="1"/>
                <w:color w:val="auto"/>
                <w:w w:val="90"/>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4"/>
          </w:tcPr>
          <w:p>
            <w:pPr>
              <w:jc w:val="center"/>
              <w:ind w:left="51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8"/>
        </w:trPr>
        <w:tc>
          <w:tcPr>
            <w:tcW w:w="66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Consolidated Statements of Operations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fees</w:t>
            </w:r>
          </w:p>
        </w:tc>
        <w:tc>
          <w:tcPr>
            <w:tcW w:w="108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22,145</w:t>
            </w:r>
          </w:p>
        </w:tc>
        <w:tc>
          <w:tcPr>
            <w:tcW w:w="6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32,055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42,883</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61,197</w:t>
            </w:r>
          </w:p>
        </w:tc>
        <w:tc>
          <w:tcPr>
            <w:tcW w:w="92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3160" w:type="dxa"/>
            <w:vAlign w:val="bottom"/>
          </w:tcPr>
          <w:p>
            <w:pPr>
              <w:ind w:left="180"/>
              <w:spacing w:after="0" w:line="201" w:lineRule="exact"/>
              <w:rPr>
                <w:sz w:val="20"/>
                <w:szCs w:val="20"/>
                <w:color w:val="auto"/>
              </w:rPr>
            </w:pPr>
            <w:r>
              <w:rPr>
                <w:rFonts w:ascii="Arial" w:cs="Arial" w:eastAsia="Arial" w:hAnsi="Arial"/>
                <w:sz w:val="18"/>
                <w:szCs w:val="18"/>
                <w:color w:val="auto"/>
              </w:rPr>
              <w:t>Interest income on funds held for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clients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9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recurring revenues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61,950</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1,382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1,868</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3,472</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65,422</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3160" w:type="dxa"/>
            <w:vAlign w:val="bottom"/>
          </w:tcPr>
          <w:p>
            <w:pPr>
              <w:spacing w:after="0" w:line="196" w:lineRule="exact"/>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22,010</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4,237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6,093</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7,991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11,488</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costs of revenues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33,498</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16,267</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31,924</w:t>
            </w:r>
          </w:p>
        </w:tc>
        <w:tc>
          <w:tcPr>
            <w:tcW w:w="8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r>
      <w:tr>
        <w:trPr>
          <w:trHeight w:val="196"/>
        </w:trPr>
        <w:tc>
          <w:tcPr>
            <w:tcW w:w="660" w:type="dxa"/>
            <w:vAlign w:val="bottom"/>
          </w:tcPr>
          <w:p>
            <w:pPr>
              <w:spacing w:after="0"/>
              <w:rPr>
                <w:sz w:val="17"/>
                <w:szCs w:val="17"/>
                <w:color w:val="auto"/>
              </w:rPr>
            </w:pPr>
          </w:p>
        </w:tc>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9,401</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18,479</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5,228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8,061</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9,139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15,509</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43,286</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9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(6,386)</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385"/>
              <w:spacing w:after="0"/>
              <w:rPr>
                <w:sz w:val="20"/>
                <w:szCs w:val="20"/>
                <w:color w:val="auto"/>
              </w:rPr>
            </w:pPr>
            <w:r>
              <w:rPr>
                <w:rFonts w:ascii="Arial" w:cs="Arial" w:eastAsia="Arial" w:hAnsi="Arial"/>
                <w:sz w:val="18"/>
                <w:szCs w:val="18"/>
                <w:color w:val="auto"/>
                <w:w w:val="99"/>
              </w:rPr>
              <w:t>21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as a percentage of revenue for each of the periods indicated.</w:t>
      </w:r>
    </w:p>
    <w:p>
      <w:pPr>
        <w:spacing w:after="0" w:line="204" w:lineRule="exact"/>
        <w:rPr>
          <w:sz w:val="20"/>
          <w:szCs w:val="20"/>
          <w:color w:val="auto"/>
        </w:rPr>
      </w:pPr>
    </w:p>
    <w:tbl>
      <w:tblPr>
        <w:tblLayout w:type="fixed"/>
        <w:tblInd w:w="5260" w:type="dxa"/>
        <w:tblCellMar>
          <w:top w:w="0" w:type="dxa"/>
          <w:left w:w="0" w:type="dxa"/>
          <w:bottom w:w="0" w:type="dxa"/>
          <w:right w:w="0" w:type="dxa"/>
        </w:tblCellMar>
      </w:tblPr>
      <w:tr>
        <w:trPr>
          <w:trHeight w:val="161"/>
        </w:trPr>
        <w:tc>
          <w:tcPr>
            <w:tcW w:w="2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680" w:type="dxa"/>
            <w:vAlign w:val="bottom"/>
          </w:tcPr>
          <w:p>
            <w:pPr>
              <w:spacing w:after="0"/>
              <w:rPr>
                <w:sz w:val="14"/>
                <w:szCs w:val="14"/>
                <w:color w:val="auto"/>
              </w:rPr>
            </w:pPr>
          </w:p>
        </w:tc>
        <w:tc>
          <w:tcPr>
            <w:tcW w:w="19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Pr>
          <w:p>
            <w:pPr>
              <w:spacing w:after="0"/>
              <w:rPr>
                <w:sz w:val="14"/>
                <w:szCs w:val="14"/>
                <w:color w:val="auto"/>
              </w:rPr>
            </w:pPr>
          </w:p>
        </w:tc>
        <w:tc>
          <w:tcPr>
            <w:tcW w:w="1660" w:type="dxa"/>
            <w:vAlign w:val="bottom"/>
          </w:tcPr>
          <w:p>
            <w:pPr>
              <w:jc w:val="center"/>
              <w:ind w:right="628"/>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r>
      <w:tr>
        <w:trPr>
          <w:trHeight w:val="144"/>
        </w:trPr>
        <w:tc>
          <w:tcPr>
            <w:tcW w:w="680" w:type="dxa"/>
            <w:vAlign w:val="bottom"/>
          </w:tcPr>
          <w:p>
            <w:pPr>
              <w:spacing w:after="0"/>
              <w:rPr>
                <w:sz w:val="12"/>
                <w:szCs w:val="12"/>
                <w:color w:val="auto"/>
              </w:rPr>
            </w:pPr>
          </w:p>
        </w:tc>
        <w:tc>
          <w:tcPr>
            <w:tcW w:w="1640" w:type="dxa"/>
            <w:vAlign w:val="bottom"/>
          </w:tcPr>
          <w:p>
            <w:pPr>
              <w:jc w:val="center"/>
              <w:ind w:right="608"/>
              <w:spacing w:after="0" w:line="144"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60" w:type="dxa"/>
            <w:vAlign w:val="bottom"/>
          </w:tcPr>
          <w:p>
            <w:pPr>
              <w:jc w:val="center"/>
              <w:ind w:right="628"/>
              <w:spacing w:after="0" w:line="144" w:lineRule="exact"/>
              <w:rPr>
                <w:sz w:val="20"/>
                <w:szCs w:val="20"/>
                <w:color w:val="auto"/>
              </w:rPr>
            </w:pPr>
            <w:r>
              <w:rPr>
                <w:rFonts w:ascii="Arial" w:cs="Arial" w:eastAsia="Arial" w:hAnsi="Arial"/>
                <w:sz w:val="14"/>
                <w:szCs w:val="14"/>
                <w:b w:val="1"/>
                <w:bCs w:val="1"/>
                <w:color w:val="auto"/>
                <w:w w:val="91"/>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27761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p>
      <w:pPr>
        <w:ind w:left="660"/>
        <w:spacing w:after="0"/>
        <w:rPr>
          <w:sz w:val="20"/>
          <w:szCs w:val="20"/>
          <w:color w:val="auto"/>
        </w:rPr>
      </w:pPr>
      <w:r>
        <w:rPr>
          <w:rFonts w:ascii="Arial" w:cs="Arial" w:eastAsia="Arial" w:hAnsi="Arial"/>
          <w:sz w:val="16"/>
          <w:szCs w:val="16"/>
          <w:b w:val="1"/>
          <w:bCs w:val="1"/>
          <w:color w:val="auto"/>
        </w:rPr>
        <w:t>Consolidated Statements of Operations Data:</w:t>
      </w:r>
    </w:p>
    <w:p>
      <w:pPr>
        <w:sectPr>
          <w:pgSz w:w="11900" w:h="16838" w:orient="portrait"/>
          <w:cols w:equalWidth="0" w:num="1">
            <w:col w:w="11460"/>
          </w:cols>
          <w:pgMar w:left="240" w:top="120" w:right="19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ind w:left="660"/>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fees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recurring revenues</w:t>
            </w:r>
          </w:p>
        </w:tc>
        <w:tc>
          <w:tcPr>
            <w:tcW w:w="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1"/>
              </w:rPr>
              <w:t>100%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700" w:type="dxa"/>
            <w:vAlign w:val="bottom"/>
          </w:tcPr>
          <w:p>
            <w:pPr>
              <w:spacing w:after="0" w:line="196" w:lineRule="exact"/>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costs of revenues</w:t>
            </w:r>
          </w:p>
        </w:tc>
        <w:tc>
          <w:tcPr>
            <w:tcW w:w="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tcPr>
          <w:p>
            <w:pPr>
              <w:ind w:left="360"/>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(17)%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w:t>
            </w:r>
          </w:p>
        </w:tc>
        <w:tc>
          <w:tcPr>
            <w:tcW w:w="5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1"/>
              </w:rPr>
              <w: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Comparison of Three Months Ended December 31, 2013 and 2014</w:t>
            </w: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6"/>
            <w:vMerge w:val="restart"/>
          </w:tcPr>
          <w:p>
            <w:pPr>
              <w:jc w:val="right"/>
              <w:ind w:right="1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Percentage of total revenues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378</w:t>
            </w:r>
          </w:p>
        </w:tc>
        <w:tc>
          <w:tcPr>
            <w:tcW w:w="5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Percentage of total revenues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1,382</w:t>
            </w:r>
          </w:p>
        </w:tc>
        <w:tc>
          <w:tcPr>
            <w:tcW w:w="5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1,868</w:t>
            </w:r>
          </w:p>
        </w:tc>
        <w:tc>
          <w:tcPr>
            <w:tcW w:w="2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486</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Percentage of total revenues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20"/>
                <w:szCs w:val="20"/>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Recurring fees for the three months ended December 31, 2014 increased by $9.9 million, or 45%, to $32.1 million from $22.1 million for the three months ended December 31, 2013. Recurring fees increased primarily as a result of revenue from new clients and increased revenue per client.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on funds held for clients for the three months ended December 31, 2014 was not materially different as compared to the three months ended December 31, 2013. The increase in interest income was due to an increase in the amount of funds held for clients, partially offset by declining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Implementation services and other revenue for the three months ended December 31, 2014 increased by $0.5 million, or 35%, to $1.9 million from $1.4 million for the three months ended December 31, 2013. Implementation services and other revenue increased primarily as a result of an increase in the number of new clients during the three months ended December 31, 2014 in comparison to the three months ended December 31,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5"/>
              </w:rPr>
              <w:t>Three Months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center"/>
              <w:ind w:left="557"/>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Percentage of recurring revenues</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4,237</w:t>
            </w: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6,093</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1,856</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implementation services and 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Cost of recurring revenues for the three months ended December 31, 2014 increased by $2.9 million, or 32%, to $12.0 million from $9.1 million for the three months ended December 31, 2013. Cost of recurring revenues increased primarily as a result of the continued growth of our business, in particular $1.4 million in employee-related costs resulting from additional personnel necessary to provide services to new and existing clients, $0.5 million stock-based compensation associated with our broad based equity incentive plan and $1.4 million of fees related to the delivery of our services, partially offset by a $0.5</w:t>
      </w:r>
    </w:p>
    <w:p>
      <w:pPr>
        <w:sectPr>
          <w:pgSz w:w="11900" w:h="16838" w:orient="portrait"/>
          <w:cols w:equalWidth="0" w:num="1">
            <w:col w:w="11420"/>
          </w:cols>
          <w:pgMar w:left="240" w:top="125" w:right="239" w:bottom="0" w:gutter="0" w:footer="0" w:header="0"/>
        </w:sectPr>
      </w:pPr>
    </w:p>
    <w:bookmarkStart w:id="16" w:name="page17"/>
    <w:bookmarkEnd w:id="16"/>
    <w:p>
      <w:pPr>
        <w:ind w:right="80"/>
        <w:spacing w:after="0" w:line="264" w:lineRule="auto"/>
        <w:rPr>
          <w:sz w:val="20"/>
          <w:szCs w:val="20"/>
          <w:color w:val="auto"/>
        </w:rPr>
      </w:pPr>
      <w:r>
        <w:rPr>
          <w:rFonts w:ascii="Arial" w:cs="Arial" w:eastAsia="Arial" w:hAnsi="Arial"/>
          <w:sz w:val="18"/>
          <w:szCs w:val="18"/>
          <w:color w:val="auto"/>
        </w:rPr>
        <w:t>million decrease in reseller expenses primarily due to our acquisition of substantially all of the assets of one of our resellers during fiscal 2014. Recurring gross margin increased from 60% for the three months ended December 31, 2013 to 63% for the three months ended December 31, 2014, primarily due to the reduction in reseller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Cost of implementation services and other for the three months ended December 31, 2014 increased by $1.9 million, or 44%, to $6.1 million from $4.2 million for the three months ended December 31, 2013. Cost of implementation services and other increased primarily due to an increase in new clients, along with a corresponding increase of $1.3 million in employee-related and other costs to implement our solutions for new clients and $0.4 million stock-based compensation during the three months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5"/>
              </w:rPr>
              <w:t>Three Months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40"/>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6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Sales and marketing expenses for the three months ended December 31, 2014 increased by $4.0 million, or 73%, to $9.4 million from $5.4 million for the three months ended December 31, 2013. The increase in sales and marketing expenses was primarily the result of $3.1 million of additional employee-related expenses incurred due to the expansion of our sales team, including management, direct sales and sales administration by 51 personnel, the addition of 15 sales lead generation personnel, and other miscellaneous sales and marketing related expenses. The increase was also attributable to $0.9 million of stock-based compensation expense during the three months ended December 31, 2014 associated with our broad based equity incentive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5"/>
              </w:rPr>
              <w:t>Three Months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4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Research and development for the three months ended December 31, 2014 increased by $2.9 million, or 125%, to $5.3 million from $2.3 million for the three months ended December 31, 2013. The increase in research and development expense was primarily as a result of $1.9 million in employee-related expenses related to 52 additional development personnel and $1.0 million of stock-based compensation associated with our broad based equity incentive plan. The Company’s emphasis is on hiring highly skilled technical personnel as well as expanding the management team in this area, resulting in higher average salaries and increased research and development expense per incremental employee for the three months ended December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w w:val="95"/>
              </w:rPr>
              <w:t>Three Months</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center"/>
              <w:ind w:left="542"/>
              <w:spacing w:after="0" w:line="149" w:lineRule="exact"/>
              <w:rPr>
                <w:sz w:val="20"/>
                <w:szCs w:val="20"/>
                <w:color w:val="auto"/>
              </w:rPr>
            </w:pPr>
            <w:r>
              <w:rPr>
                <w:rFonts w:ascii="Arial" w:cs="Arial" w:eastAsia="Arial" w:hAnsi="Arial"/>
                <w:sz w:val="14"/>
                <w:szCs w:val="14"/>
                <w:b w:val="1"/>
                <w:bCs w:val="1"/>
                <w:color w:val="auto"/>
                <w:w w:val="93"/>
              </w:rPr>
              <w:t>Ended</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three months ended December 31, 2014 increased by $2.8 million, or 54%, to $8.1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 million for the three months ended December 31, 2013. The increase was primarily the result of $1.5 million of additional employee-related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26 additional personnel, $1.1 million of additional stock-based compensation costs and $0.4 million of increased occupancy costs incurred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of our requirement for additional office space, partially offset by decrease of $0.8 million in professional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gridSpan w:val="4"/>
          </w:tcPr>
          <w:p>
            <w:pPr>
              <w:jc w:val="center"/>
              <w:ind w:right="499"/>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jc w:val="center"/>
              <w:ind w:right="499"/>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499"/>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Other income for the three months ended December 31, 2014 was not materially different as compared to the three months ended December 31, 2013. The slight increase in other income was primarily the result of reduced interest expense as we repaid approximately $1.3 million of debt since the three month period ended December 31, 2013 and did not have any notes payable outstanding during the three month period ended December 31, 2014.</w:t>
      </w:r>
    </w:p>
    <w:p>
      <w:pPr>
        <w:sectPr>
          <w:pgSz w:w="11900" w:h="16838" w:orient="portrait"/>
          <w:cols w:equalWidth="0" w:num="1">
            <w:col w:w="11460"/>
          </w:cols>
          <w:pgMar w:left="240" w:top="125" w:right="199" w:bottom="1" w:gutter="0" w:footer="0" w:header="0"/>
        </w:sectPr>
      </w:pP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gridSpan w:val="3"/>
          </w:tcPr>
          <w:p>
            <w:pPr>
              <w:jc w:val="center"/>
              <w:ind w:right="519"/>
              <w:spacing w:after="0"/>
              <w:rPr>
                <w:sz w:val="20"/>
                <w:szCs w:val="20"/>
                <w:color w:val="auto"/>
              </w:rPr>
            </w:pPr>
            <w:r>
              <w:rPr>
                <w:rFonts w:ascii="Arial" w:cs="Arial" w:eastAsia="Arial" w:hAnsi="Arial"/>
                <w:sz w:val="14"/>
                <w:szCs w:val="14"/>
                <w:b w:val="1"/>
                <w:bCs w:val="1"/>
                <w:color w:val="auto"/>
                <w:w w:val="93"/>
              </w:rPr>
              <w:t>Three Months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gridSpan w:val="3"/>
          </w:tcPr>
          <w:p>
            <w:pPr>
              <w:jc w:val="center"/>
              <w:ind w:right="499"/>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519"/>
              <w:spacing w:after="0"/>
              <w:rPr>
                <w:sz w:val="20"/>
                <w:szCs w:val="20"/>
                <w:color w:val="auto"/>
              </w:rPr>
            </w:pPr>
            <w:r>
              <w:rPr>
                <w:rFonts w:ascii="Arial" w:cs="Arial" w:eastAsia="Arial" w:hAnsi="Arial"/>
                <w:sz w:val="14"/>
                <w:szCs w:val="14"/>
                <w:b w:val="1"/>
                <w:bCs w:val="1"/>
                <w:color w:val="auto"/>
                <w:w w:val="90"/>
              </w:rPr>
              <w:t>December 31,</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Income tax expense for the three months ended December 31, 2014 increased by $0.9 million as compared to the three months ended December 31, 2013 due to the recognition of a deferred tax asset valuation allowance since the three month period ended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2013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42,883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61,197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Percentage of total revenues</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Percentage of total revenues</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2,660</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Percentage of total revenues</w:t>
            </w: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Recurring fees for the six months ended December 31, 2014 increased by $18.3 million, or 43%, to $61.2 million from $42.9 million for the six months ended December 31, 2013. Recurring fees increased primarily as a result of revenue from new clients as well as increased revenue per client.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income on funds held for clients for the six months ended December 31, 2014 was not materially different as compared to the six months ended December 31, 2013. The increase in interest income was due to an increase in the amount of funds held for clients, partially offset by declining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Implementation services and other revenue for the six months ended December 31, 2014 increased by $0.8 million, or 31%, to $3.5 million from $2.7 million for the six months ended December 31, 2013. Implementation services and other revenue increased primarily as a result of an increase in the number of new clients during the six months ended December 31, 2014 in comparison to the six months ended December 31, 2013.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3"/>
              </w:rPr>
              <w:t>Six Months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57"/>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Percentage of recurring revenues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7,991</w:t>
            </w: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11,488</w:t>
            </w: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3,497</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implementation services and other</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3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recurring revenues for the six months ended December 31, 2014 increased by $4.9 million, or 29%, to $22.0 million from $17.1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December 31, 2013. Cost of recurring revenues increased primarily as a result of the continued growth of our business, in particular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million in employee-related costs resulting from additional personnel necessary to provide services to new and existing clients, $0.8 million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associated with our broad based equity incentive plan and $2.6 million of fees related to the delivery of our services, partially offset by a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decrease in reseller expenses primarily due to our acquisition of substantially all of the assets of one of our resellers during fiscal 2014. Recurring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from 61% for the six months ended December 31, 2013 to 64% for the six months ended December 31, 2014, primarily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reduction in reseller expenses as well as a reduction in amortization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ectPr>
          <w:pgSz w:w="11900" w:h="16838" w:orient="portrait"/>
          <w:cols w:equalWidth="0" w:num="1">
            <w:col w:w="11420"/>
          </w:cols>
          <w:pgMar w:left="240" w:top="368" w:right="239" w:bottom="0" w:gutter="0" w:footer="0" w:header="0"/>
        </w:sectPr>
      </w:pPr>
    </w:p>
    <w:bookmarkStart w:id="18" w:name="page19"/>
    <w:bookmarkEnd w:id="18"/>
    <w:p>
      <w:pPr>
        <w:ind w:right="80" w:firstLine="648"/>
        <w:spacing w:after="0" w:line="259" w:lineRule="auto"/>
        <w:rPr>
          <w:sz w:val="20"/>
          <w:szCs w:val="20"/>
          <w:color w:val="auto"/>
        </w:rPr>
      </w:pPr>
      <w:r>
        <w:rPr>
          <w:rFonts w:ascii="Arial" w:cs="Arial" w:eastAsia="Arial" w:hAnsi="Arial"/>
          <w:sz w:val="18"/>
          <w:szCs w:val="18"/>
          <w:color w:val="auto"/>
        </w:rPr>
        <w:t>Cost of implementation services and other for the six months ended December 31, 2014 increased by $3.5 million, or 44%, to $11.5 million from $8.0 million for the six months ended December 31, 2013. Cost of implementation services and other increased primarily due to an increase in new clients, along with a corresponding increase of $2.5 million in employee-related and other costs to implement our solutions for new clients and $0.7 million of stock-based compensation during the six months ended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3"/>
              </w:rPr>
              <w:t>Six Months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62"/>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Sales and marketing expenses for the six months ended December 31, 2014 increased by $7.9 million, or 74%, to $18.5 million from $10.6 million for the six months ended December 31, 2013. The increase in sales and marketing expenses was primarily the result of $5.7 million of additional employee-related expenses incurred due to the expansion of our sales team, including management, direct sales and sales administration by 51 personnel, the addition of 15 sales lead generation personnel, and other miscellaneous sales and marketing related expenses. The increase was also attributable to $1.8 million of stock-based compensation expense during the six months ended December 31, 2014 associated with our broad based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3"/>
              </w:rPr>
              <w:t>Six Months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62"/>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Research and development for the six months ended December 31, 2014 increased by $5.0 million, or 116%, to $9.3 million from $4.3 million for the six months ended December 31, 2013. The increase in research and development expense was primarily as a result of $3.3 million in employee-related expenses related to 52 additional development personnel and $1.7 million of stock-based compensation associated with our broad based equity incentive plan. The Company’s emphasis is on hiring highly skilled technical personnel as well as expanding the management team in this area, resulting in higher average salaries and increased research and development expense per incremental employee for the six months ended December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3"/>
              </w:rPr>
              <w:t>Six Months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62"/>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562"/>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six months ended December 31, 2014 increased by $6.4 million, or 70%, to $15.5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$9.1 million for the six months ended December 31, 2013. The increase was primarily the result of $2.3 million of additional employee-related expenses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26 additional personnel, $2.1 million of additional stock-based compensation costs, $0.7 million of increased occupancy costs incurred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requirement for additional office space, $0.5 million of increased insurance costs associated with being a public company, and $0.4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of the customer relationship and non-compete intangibles associated with the acquisition of one of our resellers in 2014,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decrease of $0.2 million in professional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gridSpan w:val="4"/>
          </w:tcPr>
          <w:p>
            <w:pPr>
              <w:jc w:val="center"/>
              <w:ind w:right="459"/>
              <w:spacing w:after="0"/>
              <w:rPr>
                <w:sz w:val="20"/>
                <w:szCs w:val="20"/>
                <w:color w:val="auto"/>
              </w:rPr>
            </w:pPr>
            <w:r>
              <w:rPr>
                <w:rFonts w:ascii="Arial" w:cs="Arial" w:eastAsia="Arial" w:hAnsi="Arial"/>
                <w:sz w:val="14"/>
                <w:szCs w:val="14"/>
                <w:b w:val="1"/>
                <w:bCs w:val="1"/>
                <w:color w:val="auto"/>
                <w:w w:val="93"/>
              </w:rPr>
              <w:t>Six Months</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40" w:type="dxa"/>
            <w:vAlign w:val="bottom"/>
            <w:gridSpan w:val="4"/>
          </w:tcPr>
          <w:p>
            <w:pPr>
              <w:jc w:val="center"/>
              <w:ind w:right="479"/>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79"/>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Other income for the six months ended December 31, 2014 was not materially different as compared to the six months ended December 31, 2013. The slight increase in other income was primarily the result of reduced interest expense as we repaid approximately $1.3 million of debt since the six month period ended December 31, 2013 and did not have any notes payable outstanding during the six month period ended December 31, 2014.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 Expense</w:t>
      </w:r>
    </w:p>
    <w:p>
      <w:pPr>
        <w:sectPr>
          <w:pgSz w:w="11900" w:h="16838" w:orient="portrait"/>
          <w:cols w:equalWidth="0" w:num="1">
            <w:col w:w="11420"/>
          </w:cols>
          <w:pgMar w:left="240" w:top="125" w:right="239" w:bottom="0" w:gutter="0" w:footer="0" w:header="0"/>
          <w:type w:val="continuous"/>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gridSpan w:val="3"/>
          </w:tcPr>
          <w:p>
            <w:pPr>
              <w:jc w:val="center"/>
              <w:ind w:right="439"/>
              <w:spacing w:after="0"/>
              <w:rPr>
                <w:sz w:val="20"/>
                <w:szCs w:val="20"/>
                <w:color w:val="auto"/>
              </w:rPr>
            </w:pPr>
            <w:r>
              <w:rPr>
                <w:rFonts w:ascii="Arial" w:cs="Arial" w:eastAsia="Arial" w:hAnsi="Arial"/>
                <w:sz w:val="14"/>
                <w:szCs w:val="14"/>
                <w:b w:val="1"/>
                <w:bCs w:val="1"/>
                <w:color w:val="auto"/>
                <w:w w:val="93"/>
              </w:rPr>
              <w:t>Six Months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20" w:type="dxa"/>
            <w:vAlign w:val="bottom"/>
            <w:gridSpan w:val="3"/>
          </w:tcPr>
          <w:p>
            <w:pPr>
              <w:jc w:val="center"/>
              <w:ind w:right="419"/>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439"/>
              <w:spacing w:after="0"/>
              <w:rPr>
                <w:sz w:val="20"/>
                <w:szCs w:val="20"/>
                <w:color w:val="auto"/>
              </w:rPr>
            </w:pPr>
            <w:r>
              <w:rPr>
                <w:rFonts w:ascii="Arial" w:cs="Arial" w:eastAsia="Arial" w:hAnsi="Arial"/>
                <w:sz w:val="14"/>
                <w:szCs w:val="14"/>
                <w:b w:val="1"/>
                <w:bCs w:val="1"/>
                <w:color w:val="auto"/>
                <w:w w:val="90"/>
              </w:rPr>
              <w:t>December 31,</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9"/>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Income tax expense for the six months ended December 31, 2014 increased by $1.3 million as compared to the six months ended December 31, 2013 due to the recognition of a deferred tax asset valuation allowance since the six month period ended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six months ended December 31, 2014, there were no material changes to our critical accounting policies and use of estimates, which are disclosed in our audited consolidated financial statements for the year ended June 30, 2014 included in our Annual Report on Form 10-K filed with the SEC on August 22,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As of December 31, 2014, our principal source of liquidity was $89.5 million of cash and cash equivalents.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to the extent that our liquidity needs exceed our cash from operations, we would look to our cash on hand to satisfy those needs.</w:t>
      </w:r>
    </w:p>
    <w:p>
      <w:pPr>
        <w:spacing w:after="0" w:line="23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cash flows from investing activities and our cash flows from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internally-developed software costs</w:t>
            </w: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(1,859)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(1,579)</w:t>
            </w: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(2,787)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(4,165)</w:t>
            </w:r>
          </w:p>
        </w:tc>
      </w:tr>
      <w:tr>
        <w:trPr>
          <w:trHeight w:val="192"/>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20" w:right="239" w:bottom="0" w:gutter="0" w:footer="0" w:header="0"/>
        </w:sectPr>
      </w:pPr>
    </w:p>
    <w:bookmarkStart w:id="20" w:name="page21"/>
    <w:bookmarkEnd w:id="20"/>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for acquisitions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w:t>
            </w: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Net change in funds held for clients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(135,858)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(440,878)</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client funds obligation</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Proceeds from follow-on offering, net of issuance costs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initial public offering costs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under employee stock purchase plan</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Taxes paid related to net share settlements of equity awards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134,847</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458,990</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Net cash provided by operating activities was $0.8 million for the six months ended December 31, 2014 as compared to $0.9 million for the six months ended December 31, 2013.</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decrease in net cash provided by operating activities from the six months ended December 31, 2013 to the six months ended December 31, 2014 was primarily the result of a $9.7 million increase in net loss, partially offset by an increase of $6.8 million in stock-based compensation expense, a $1.2 million increase in depreciation and amortization expense, a $1.3 million increase in deferred income tax expense, as well as a $0.3 million increase in operating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Changes in net cash used in investing activities are significantly influenced by the amount of funds held for clients at the end of a reporting period. Changes in the amount of funds held for client from period to period will vary substantially. Our payroll processing activities involve the movement of significant funds from the account of an employer to employees and relevant taxing authorities. During fiscal 2014 we processed almost $39 billion in payroll transactions. We debit a client’s account prior to any disbursement on its behalf, at which time we begin earning interest on such funds.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Other investing activities that influence our net cash used in investing activities are our capitalization of internally developed software costs and purchases of property and equipment. We also paid $2.6 million in consideration toward amounts under the terms of our fiscal 2014 reseller acquisition.</w:t>
      </w:r>
    </w:p>
    <w:p>
      <w:pPr>
        <w:spacing w:after="0" w:line="1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cash used in investing activities was $449.2 million for the six months ended December 31, 2014 as compared to $140.5 million for the six months ended December 31, 2013.</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Excluding the net change in funds held for clients, our net cash used in investing activities was $8.3 million for the six months ended December 31, 2014 as compared to $4.6 million for the six months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provided by financing activities was $459.0 million for the six months ended December 31, 2014 as compared to $134.8 million for the six months ended December 31, 2013. The increase was primarily the result of the increases of $305.0 million in client fund obligations and the $18.7 million in proceeds received as a result of our follow-on offering net of issuance costs paid as of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commitments consist of operating lease obligations. The following table summarizes our contractual obligations at December 31, 2014: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Payment Due By Period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Less than</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1 - 3 Years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3 - 5 Years</w:t>
            </w:r>
          </w:p>
        </w:tc>
        <w:tc>
          <w:tcPr>
            <w:tcW w:w="160" w:type="dxa"/>
            <w:vAlign w:val="bottom"/>
          </w:tcPr>
          <w:p>
            <w:pPr>
              <w:spacing w:after="0"/>
              <w:rPr>
                <w:sz w:val="10"/>
                <w:szCs w:val="10"/>
                <w:color w:val="auto"/>
              </w:rPr>
            </w:pPr>
          </w:p>
        </w:tc>
        <w:tc>
          <w:tcPr>
            <w:tcW w:w="96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related to acquisition</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Our remaining reseller agreement provides that we are required upon a termination of the agreement to acquire the assets of the reseller. This agreement provided that the reseller may terminate the agreement by providing nine months’ prior notice or upon an initial public offering by us. We amended this agreement in December of 2013 to provide that the reseller may not give a nine-month termination notice until after the earlier of (i) six months following the closing of an initial public offering by us or (ii) December 31, 2014. In addition, we, but not the reseller, now have the right to terminate the agreement at any time. If a termination were to occur, the purchase price of the assets would be equal to 3.3 times the net revenues of the reseller for the 12 months preceding the termination effective date. We paid this reseller $0.5 million and $0.7 million during the three-month periods ended December 31,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2013 and 2014, respectively, and $1.0 million and $1.3 million during the six-month periods ended December 31, 2013 and 2014,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ectPr>
          <w:pgSz w:w="11900" w:h="16838" w:orient="portrait"/>
          <w:cols w:equalWidth="0" w:num="1">
            <w:col w:w="11420"/>
          </w:cols>
          <w:pgMar w:left="240" w:top="140" w:right="239" w:bottom="144"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We expect to increase capital spending as we continue to grow our business and expand and enhance our data centers and technical infrastructure.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Future capital requirements will depend on many factors, including our rate of sales growth. In the event that our sales growth or other factors do not meet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expectations, we may eliminate or curtail capital projects in order to mitigate the impact on our use of cash. Capital expenditures were $2.8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 million for the six months ended December 31, 2013 and 2014, respectively, exclusive of capitalized internally developed software costs of $1.9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$1.6 million for the same periods,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May 2014, the Financial Accounting Standard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“full retrospective” adoption or a “modified retrospective” adoption. The Company is currently evaluating which adoption method it will use. Early application is not permitted. The Company plans on adopting ASU 2014-09 beginning July 1, 2017 and is currently assessing the potential effects of these changes to its consolidated financial statements.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consolidated financial statements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5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December 31, 2014,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ectPr>
          <w:pgSz w:w="11900" w:h="16838" w:orient="portrait"/>
          <w:cols w:equalWidth="0" w:num="1">
            <w:col w:w="11400"/>
          </w:cols>
          <w:pgMar w:left="240" w:top="125"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may be involved in litigation relating to claims arising in the ordinary course of business. Management believes that there are no claims or actions pending or threatened against the Company, the ultimate disposition of which would have a material impact on our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business, prospects, financial condition or operating results could be materially adversely affected by any of the risks and uncertainties described below, as well as other risks not currently known to us or that are currently considered immaterial.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the past, and we may not be able to achieve or sustain profitability for the foreseeable future.</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have incurred net losses from time to time. We incurred net losses of $130,000 and $7,110,000 in fiscal 2011 and fiscal 2014, respectively, and incurred a net loss of $11,295,000 in the first two quarters of fiscal 2015.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will incur significant legal, accounting and other expenses that we do not incur as a private company. These increased expenditures will make it harder for us to achieve and maintain profitability. We also may incur losses in the future for a number of other unforeseen reasons. Accordingly, we may not be able to maintain profitability, and we may incur losses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have fluctuated in the past and may continue to fluctuate, causing the value of our common stock to decline substantially.</w:t>
      </w:r>
    </w:p>
    <w:p>
      <w:pPr>
        <w:spacing w:after="0" w:line="2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number of new clients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other risk factors listed in this section, some of the important factors that may cause fluctuations in our quarterly operating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12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regulatory requirements and environment related to the products and services which we offer;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ectPr>
          <w:pgSz w:w="11900" w:h="16838" w:orient="portrait"/>
          <w:cols w:equalWidth="0" w:num="1">
            <w:col w:w="11400"/>
          </w:cols>
          <w:pgMar w:left="240" w:top="121" w:right="259" w:bottom="0" w:gutter="0" w:footer="0" w:header="0"/>
        </w:sectPr>
      </w:pPr>
    </w:p>
    <w:bookmarkStart w:id="23" w:name="page24"/>
    <w:bookmarkEnd w:id="23"/>
    <w:p>
      <w:pPr>
        <w:ind w:firstLine="648"/>
        <w:spacing w:after="0" w:line="259"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7"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manage our growth effectively could increase our expenses, decrease our revenue, and prevent us from implementing our business strategy.</w:t>
      </w:r>
    </w:p>
    <w:p>
      <w:pPr>
        <w:spacing w:after="0" w:line="2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in which we participate are highly competitive, and if we do not compete effectively, our operating results could be adversely affected.</w:t>
      </w:r>
    </w:p>
    <w:p>
      <w:pPr>
        <w:spacing w:after="0" w:line="24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and other regional providers, and HCM point solutions, such as Cornerstone OnDemand, Inc.</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5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4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w:t>
      </w:r>
    </w:p>
    <w:p>
      <w:pPr>
        <w:sectPr>
          <w:pgSz w:w="11900" w:h="16838" w:orient="portrait"/>
          <w:cols w:equalWidth="0" w:num="1">
            <w:col w:w="11420"/>
          </w:cols>
          <w:pgMar w:left="240" w:top="125" w:right="239" w:bottom="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adverse effect on the functionality and market acceptance of our solutions. In addition, significant changes in tax, benefit and other laws and regulations could require us to make significant modifications to our products, which could result in substantial expenses.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adequately expand our direct sales force with qualified and productive persons, we may not be able to grow our business effectively.</w:t>
      </w:r>
    </w:p>
    <w:p>
      <w:pPr>
        <w:spacing w:after="0" w:line="24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25% of our new sales in fiscal 2014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w:t>
      </w:r>
    </w:p>
    <w:p>
      <w:pPr>
        <w:sectPr>
          <w:pgSz w:w="11900" w:h="16838" w:orient="portrait"/>
          <w:cols w:equalWidth="0" w:num="1">
            <w:col w:w="11420"/>
          </w:cols>
          <w:pgMar w:left="240" w:top="125" w:right="239" w:bottom="0" w:gutter="0" w:footer="0" w:header="0"/>
        </w:sectPr>
      </w:pPr>
    </w:p>
    <w:bookmarkStart w:id="25" w:name="page26"/>
    <w:bookmarkEnd w:id="25"/>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with our referral network participants, sales leads from these participants could be reduced or cease entirely. If we are not successful, we may lose sales opportunities and our revenues and profitability could suffer.</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payroll processing business involves the movement of significant funds from the account of a client to employees and relevant taxing authorities. For example, in fiscal 2014 we processed almost $39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economic or political conditions could adversely affect our operating results and our business.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9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ectPr>
          <w:pgSz w:w="11900" w:h="16921" w:orient="portrait"/>
          <w:cols w:equalWidth="0" w:num="1">
            <w:col w:w="11420"/>
          </w:cols>
          <w:pgMar w:left="240" w:top="125" w:right="239" w:bottom="0" w:gutter="0" w:footer="0" w:header="0"/>
        </w:sectPr>
      </w:pPr>
    </w:p>
    <w:bookmarkStart w:id="26" w:name="page27"/>
    <w:bookmarkEnd w:id="26"/>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laws or other domestic regulations may reduce the effectiveness of our applications and adversely affect our business.</w:t>
      </w:r>
    </w:p>
    <w:p>
      <w:pPr>
        <w:spacing w:after="0" w:line="24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our solutions or our clients are not satisfied with our implementation services.</w:t>
      </w:r>
    </w:p>
    <w:p>
      <w:pPr>
        <w:spacing w:after="0" w:line="26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ectPr>
          <w:pgSz w:w="11900" w:h="16838" w:orient="portrait"/>
          <w:cols w:equalWidth="0" w:num="1">
            <w:col w:w="11420"/>
          </w:cols>
          <w:pgMar w:left="240" w:top="341" w:right="239" w:bottom="21" w:gutter="0" w:footer="0" w:header="0"/>
        </w:sectPr>
      </w:pPr>
    </w:p>
    <w:bookmarkStart w:id="27" w:name="page28"/>
    <w:bookmarkEnd w:id="27"/>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93"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host our applications and serve all of our clients from data centers located at our company headquarters in Arlington Heights, Illinois with a backup data center at a third-party facility in Kenosha, Wisconsin. We also may decide to employ additional offsite data centers in the future to accommodate growth.</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addition, while we own, control and have access to our servers and all of the components of our network that are located in our backup data center, we do not control the operation of this facility. The operator of our Wisconsin data center facility has no obligation to renew its agreement with us on commercially reasonable terms, or at all. If we are unable to renew this agreement on commercially reasonable terms, or if the data center operator is acquired, we may be required to transfer our servers and other infrastructure to a new data center facility, and we may incur costs and experience service interruption in doing so.</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ectPr>
          <w:pgSz w:w="11900" w:h="16838" w:orient="portrait"/>
          <w:cols w:equalWidth="0" w:num="1">
            <w:col w:w="11420"/>
          </w:cols>
          <w:pgMar w:left="240" w:top="125" w:right="239" w:bottom="0" w:gutter="0" w:footer="0" w:header="0"/>
        </w:sectPr>
      </w:pPr>
    </w:p>
    <w:bookmarkStart w:id="28" w:name="page29"/>
    <w:bookmarkEnd w:id="28"/>
    <w:p>
      <w:pPr>
        <w:spacing w:after="0" w:line="6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w:t>
      </w:r>
    </w:p>
    <w:p>
      <w:pPr>
        <w:sectPr>
          <w:pgSz w:w="11900" w:h="16908" w:orient="portrait"/>
          <w:cols w:equalWidth="0" w:num="1">
            <w:col w:w="11380"/>
          </w:cols>
          <w:pgMar w:left="240" w:top="125" w:right="279" w:bottom="0" w:gutter="0" w:footer="0" w:header="0"/>
        </w:sectPr>
      </w:pPr>
    </w:p>
    <w:bookmarkStart w:id="29" w:name="page30"/>
    <w:bookmarkEnd w:id="29"/>
    <w:p>
      <w:pPr>
        <w:spacing w:after="0" w:line="302" w:lineRule="auto"/>
        <w:rPr>
          <w:sz w:val="20"/>
          <w:szCs w:val="20"/>
          <w:color w:val="auto"/>
        </w:rPr>
      </w:pPr>
      <w:r>
        <w:rPr>
          <w:rFonts w:ascii="Arial" w:cs="Arial" w:eastAsia="Arial" w:hAnsi="Arial"/>
          <w:sz w:val="16"/>
          <w:szCs w:val="16"/>
          <w:color w:val="auto"/>
        </w:rPr>
        <w:t>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78"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in our products and solutions may expose us to additional risks and harm our intellectual property rights.</w:t>
      </w:r>
    </w:p>
    <w:p>
      <w:pPr>
        <w:spacing w:after="0" w:line="23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nature of open source software, it may be more likely that third parties might assert copyright and other intellectual property infringement claims against us based on our use of these open source software programs.</w:t>
      </w:r>
    </w:p>
    <w:p>
      <w:pPr>
        <w:sectPr>
          <w:pgSz w:w="11900" w:h="16838" w:orient="portrait"/>
          <w:cols w:equalWidth="0" w:num="1">
            <w:col w:w="11420"/>
          </w:cols>
          <w:pgMar w:left="240" w:top="125" w:right="239" w:bottom="0" w:gutter="0" w:footer="0" w:header="0"/>
        </w:sectPr>
      </w:pPr>
    </w:p>
    <w:bookmarkStart w:id="30" w:name="page31"/>
    <w:bookmarkEnd w:id="30"/>
    <w:p>
      <w:pPr>
        <w:ind w:right="60" w:firstLine="648"/>
        <w:spacing w:after="0" w:line="255" w:lineRule="auto"/>
        <w:rPr>
          <w:sz w:val="20"/>
          <w:szCs w:val="20"/>
          <w:color w:val="auto"/>
        </w:rPr>
      </w:pPr>
      <w:r>
        <w:rPr>
          <w:rFonts w:ascii="Arial" w:cs="Arial" w:eastAsia="Arial" w:hAnsi="Arial"/>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third-party software used in our products is not adequately maintained or updated, our business could be materially adversely affected.</w:t>
      </w:r>
    </w:p>
    <w:p>
      <w:pPr>
        <w:spacing w:after="0" w:line="237" w:lineRule="exact"/>
        <w:rPr>
          <w:sz w:val="20"/>
          <w:szCs w:val="20"/>
          <w:color w:val="auto"/>
        </w:rPr>
      </w:pPr>
    </w:p>
    <w:p>
      <w:pPr>
        <w:jc w:val="both"/>
        <w:ind w:right="280" w:firstLine="648"/>
        <w:spacing w:after="0" w:line="288" w:lineRule="auto"/>
        <w:rPr>
          <w:sz w:val="20"/>
          <w:szCs w:val="20"/>
          <w:color w:val="auto"/>
        </w:rPr>
      </w:pPr>
      <w:r>
        <w:rPr>
          <w:rFonts w:ascii="Arial" w:cs="Arial" w:eastAsia="Arial" w:hAnsi="Arial"/>
          <w:sz w:val="16"/>
          <w:szCs w:val="16"/>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ind w:right="60"/>
        <w:spacing w:after="0" w:line="254" w:lineRule="auto"/>
        <w:rPr>
          <w:sz w:val="20"/>
          <w:szCs w:val="20"/>
          <w:color w:val="auto"/>
        </w:rPr>
      </w:pPr>
      <w:r>
        <w:rPr>
          <w:rFonts w:ascii="Arial" w:cs="Arial" w:eastAsia="Arial" w:hAnsi="Arial"/>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enhance our operating infrastructure, and acquire complementary businesses and technologies. Accordingly, we might need to engage in equity or debt financings to secure additional funds. In addition, we will need to expand our ACH capacity as we grow our business.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services present the potential for embezzlement, identity theft, or other similar illegal behavior by our associates with respect to third parties.</w:t>
      </w:r>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ectPr>
          <w:pgSz w:w="11900" w:h="16839" w:orient="portrait"/>
          <w:cols w:equalWidth="0" w:num="1">
            <w:col w:w="11400"/>
          </w:cols>
          <w:pgMar w:left="240" w:top="125" w:right="259" w:bottom="0" w:gutter="0" w:footer="0" w:header="0"/>
        </w:sectPr>
      </w:pPr>
    </w:p>
    <w:bookmarkStart w:id="31" w:name="page32"/>
    <w:bookmarkEnd w:id="31"/>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rely on third-party couriers such as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1" w:lineRule="exact"/>
        <w:rPr>
          <w:sz w:val="20"/>
          <w:szCs w:val="20"/>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236" w:lineRule="exact"/>
        <w:rPr>
          <w:rFonts w:ascii="Arial" w:cs="Arial" w:eastAsia="Arial" w:hAnsi="Arial"/>
          <w:sz w:val="17"/>
          <w:szCs w:val="17"/>
          <w:color w:val="auto"/>
        </w:rPr>
      </w:pPr>
    </w:p>
    <w:p>
      <w:pPr>
        <w:ind w:left="1300" w:right="38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position may suffer.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of February 6, our directors, executive officers and holders of more than 5% of our common stock, together with their respective affiliates, beneficially owned, in the aggregate, approximately 69.2%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w:t>
      </w:r>
    </w:p>
    <w:p>
      <w:pPr>
        <w:sectPr>
          <w:pgSz w:w="11900" w:h="16838" w:orient="portrait"/>
          <w:cols w:equalWidth="0" w:num="1">
            <w:col w:w="11400"/>
          </w:cols>
          <w:pgMar w:left="240" w:top="341" w:right="259" w:bottom="0" w:gutter="0" w:footer="0" w:header="0"/>
        </w:sectPr>
      </w:pPr>
    </w:p>
    <w:bookmarkStart w:id="32" w:name="page33"/>
    <w:bookmarkEnd w:id="32"/>
    <w:p>
      <w:pPr>
        <w:spacing w:after="0" w:line="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business combination involving us, or discouraging a potential acquirer from making a tender offer or otherwise attempting to obtain control, even if that change in control would benefit our other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price of our common stock could be subject to wide fluctuations in response to various factors, some of which are beyond our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those discussed in this “Risk Factors” section of this Quarterly Report on Form 10-Q and others such as:</w:t>
      </w:r>
    </w:p>
    <w:p>
      <w:pPr>
        <w:spacing w:after="0" w:line="211" w:lineRule="exact"/>
        <w:rPr>
          <w:sz w:val="20"/>
          <w:szCs w:val="20"/>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540" w:hanging="320"/>
        <w:spacing w:after="0" w:line="277"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our directors and executive officers;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market’s reaction to our reduced disclosure as a result of being an emerging growth company under the JOBS Act;</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300" w:right="140" w:hanging="320"/>
        <w:spacing w:after="0" w:line="264"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ongoing budget negotiations and intermittent government shutdowns in the United States, acts of God, war, incidents of terrorism, or responses to such events).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have only declared or paid cash dividends on our common stock once since 2008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January 30, 2015, we had an aggregate of 50,486,538 outstanding shares of common stock. The 13,061,750, shares sold in our initial public offering and follow-on offering can be freely sold in the public market without restriction. In addition, 34,942,380 shares or approximately 69.2% of our outstanding shares will be eligible for sale upon the expiration of lock-up agreements, which is expected to occur 90 days after December 12, 2014, subject in some cases to volume and other restrictions under Rules 144 and 701 under the Securities Act, and various vesting agreements. The remaining shares can be freely sold in the public market, subject in some cases to volume and other restrictions under Rule 144 under the Securities Act of 1933, as amended.</w:t>
      </w:r>
    </w:p>
    <w:p>
      <w:pPr>
        <w:spacing w:after="0" w:line="15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addition, we have registered 8,077,237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7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spacing w:after="0" w:line="1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w:t>
      </w:r>
    </w:p>
    <w:p>
      <w:pPr>
        <w:sectPr>
          <w:pgSz w:w="11900" w:h="16908" w:orient="portrait"/>
          <w:cols w:equalWidth="0" w:num="1">
            <w:col w:w="11380"/>
          </w:cols>
          <w:pgMar w:left="240" w:top="125" w:right="279" w:bottom="0" w:gutter="0" w:footer="0" w:header="0"/>
        </w:sectPr>
      </w:pPr>
    </w:p>
    <w:bookmarkStart w:id="33" w:name="page34"/>
    <w:bookmarkEnd w:id="33"/>
    <w:p>
      <w:pPr>
        <w:ind w:right="100"/>
        <w:spacing w:after="0" w:line="269" w:lineRule="auto"/>
        <w:rPr>
          <w:sz w:val="20"/>
          <w:szCs w:val="20"/>
          <w:color w:val="auto"/>
        </w:rPr>
      </w:pPr>
      <w:r>
        <w:rPr>
          <w:rFonts w:ascii="Arial" w:cs="Arial" w:eastAsia="Arial" w:hAnsi="Arial"/>
          <w:sz w:val="17"/>
          <w:szCs w:val="17"/>
          <w:color w:val="auto"/>
        </w:rPr>
        <w:t>controls over financial reporting and, beginning with our annual report for the fiscal year ending June 30, 2015, provide a management report on the internal controls over financial reporting, which must be attested to by our independent registered public accounting firm to the extent we are no longer an “emerging growth company,” as defined by the Jumpstart Our Business Startups Act of 2012, or the JOBS Act. If we have a material weakness in our internal controls over financial reporting, we may not detect errors on a timely basis and our financial statements may be materially misstated. We are in the process of designing and implementing the internal controls over financial reporting required to comply with this obligation, which process will be time consuming, costly and complicated. If we identify material weaknesses in our internal controls over financial reporting, if we are unable to comply with the requirements of Section 404 in a timely manner,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For example, we are now subject to the reporting requirements of the Securities Exchange Act of 1934, as amended, or the Exchange Act, and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required to comply with the applicable requirements of the Sarbanes-Oxley Act and the Dodd-Frank Wall Street Reform and Consumer Protection Act,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rules and regulations subsequently implemented by the SEC and the NASDAQ Global Select Market including the establishment and maintenance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disclosure and financial controls and changes in corporate governance practices. We expect that compliance with these requirements will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legal and financial compliance costs and will make some activities more time consuming and costly. In addition, we expect that our management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personnel will need to divert attention from operational and other business matters to devote substantial time to these public company requirements.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particular, we expect to incur significant expenses and devote substantial management effort toward ensuring compliance with the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which will increase when we are no longer an emerging growth company, as defined by the JOBS Act. We will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hire additional accounting and financial staff with appropriate public company experience and technical accounting knowledge and may need to establish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internal audit function. We cannot predict or estimate the amount of additional costs we may incur as a result of becoming a public company or the timing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such costs.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73" w:lineRule="exact"/>
        <w:rPr>
          <w:sz w:val="20"/>
          <w:szCs w:val="20"/>
          <w:color w:val="auto"/>
        </w:rPr>
      </w:pPr>
    </w:p>
    <w:p>
      <w:pPr>
        <w:ind w:left="1300" w:right="480" w:hanging="320"/>
        <w:spacing w:after="0" w:line="277"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170"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225" w:lineRule="exact"/>
        <w:rPr>
          <w:rFonts w:ascii="Arial" w:cs="Arial" w:eastAsia="Arial" w:hAnsi="Arial"/>
          <w:sz w:val="18"/>
          <w:szCs w:val="18"/>
          <w:color w:val="auto"/>
        </w:rPr>
      </w:pPr>
    </w:p>
    <w:p>
      <w:pPr>
        <w:ind w:left="1300" w:right="280" w:hanging="320"/>
        <w:spacing w:after="0" w:line="277"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are an emerging growth company. Under the JOBS Act, emerging growth companies can delay adopting new or revised accounting standards until such time as those standards apply to private companies.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as long as we continue to be an emerging growth company, we intend to take advantage of certain other exemptions from various reporting requirements that are applicable to other public companies including, but not limited to, reduced disclosure obligations regarding executive compensation in our periodic reports and proxy statements, exemptions from the requirements of</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0" w:gutter="0" w:footer="0" w:header="0"/>
          <w:type w:val="continuous"/>
        </w:sectPr>
      </w:pPr>
    </w:p>
    <w:bookmarkStart w:id="34" w:name="page35"/>
    <w:bookmarkEnd w:id="34"/>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holding a nonbinding advisory vote on executive compensation and stockholder approval of any golden parachute payments not previously approved, and exemptions from the requirements of auditor attestation reports on the effectiveness of our internal control over financial reporting.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will remain an emerging growth company until the earliest of (i) the end of the fiscal year in which the market value of our common stock that is held by non-affiliates exceeds $700 million as of December 31 of that fiscal year, (ii) the end of the fiscal year in which we have total annual gross revenue of $1 billion or more during such fiscal year, (iii) the date on which we issue more than $1 billion in non-convertible debt in a three-year period or (iv) five years from March 19,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the $6.5 million required at closing on May 23, 2014 for the purchase of substantially all of the assets of BFKMS Inc.; and paid $2.6 million in fiscal 2015 for substantially all of the remaining purchase price of the assets of BFKMS Inc.</w:t>
      </w:r>
    </w:p>
    <w:p>
      <w:pPr>
        <w:spacing w:after="0" w:line="19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December 17, 2014, we completed a follow-on offering of 4,600,000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from that described in the final prospectus filed with the SEC pursuant to Rule 424(b) on December 12,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Exhibit Nos.</w:t>
            </w:r>
          </w:p>
        </w:tc>
        <w:tc>
          <w:tcPr>
            <w:tcW w:w="9720" w:type="dxa"/>
            <w:vAlign w:val="bottom"/>
          </w:tcPr>
          <w:p>
            <w:pPr>
              <w:ind w:left="45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Registration Statement (Registration No. 333-193661).</w:t>
            </w:r>
          </w:p>
        </w:tc>
        <w:tc>
          <w:tcPr>
            <w:tcW w:w="40" w:type="dxa"/>
            <w:vAlign w:val="bottom"/>
          </w:tcPr>
          <w:p>
            <w:pPr>
              <w:spacing w:after="0"/>
              <w:rPr>
                <w:sz w:val="20"/>
                <w:szCs w:val="20"/>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Amended and Restated By-Laws of Paylocity Holding Corporation. (filed as Exhibit 3.4 of Paylocity Holding Corporation’s Form S-1</w:t>
            </w:r>
          </w:p>
        </w:tc>
        <w:tc>
          <w:tcPr>
            <w:tcW w:w="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Registration Statement (Registration No. 333-193661).</w:t>
            </w:r>
          </w:p>
        </w:tc>
        <w:tc>
          <w:tcPr>
            <w:tcW w:w="40" w:type="dxa"/>
            <w:vAlign w:val="bottom"/>
          </w:tcPr>
          <w:p>
            <w:pPr>
              <w:spacing w:after="0"/>
              <w:rPr>
                <w:sz w:val="20"/>
                <w:szCs w:val="20"/>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Certification of Chief Executive Officer pursuant to Securities Exchange Act Rules 13a-4 and 15d-14 as adopted pursuant to</w:t>
            </w:r>
          </w:p>
        </w:tc>
        <w:tc>
          <w:tcPr>
            <w:tcW w:w="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40" w:type="dxa"/>
            <w:vAlign w:val="bottom"/>
          </w:tcPr>
          <w:p>
            <w:pPr>
              <w:spacing w:after="0"/>
              <w:rPr>
                <w:sz w:val="20"/>
                <w:szCs w:val="20"/>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9"/>
              </w:rPr>
              <w:t>Certification of Chief Financial Officer pursuant to Securities Exchange Act Rules 13a-4 and 15d-14 as adopted pursuant to</w:t>
            </w:r>
          </w:p>
        </w:tc>
        <w:tc>
          <w:tcPr>
            <w:tcW w:w="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c>
          <w:tcPr>
            <w:tcW w:w="40" w:type="dxa"/>
            <w:vAlign w:val="bottom"/>
          </w:tcPr>
          <w:p>
            <w:pPr>
              <w:spacing w:after="0"/>
              <w:rPr>
                <w:sz w:val="20"/>
                <w:szCs w:val="20"/>
                <w:color w:val="auto"/>
              </w:rPr>
            </w:pPr>
          </w:p>
        </w:tc>
      </w:tr>
      <w:tr>
        <w:trPr>
          <w:trHeight w:val="418"/>
        </w:trPr>
        <w:tc>
          <w:tcPr>
            <w:tcW w:w="144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20" w:type="dxa"/>
            <w:vAlign w:val="bottom"/>
          </w:tcPr>
          <w:p>
            <w:pPr>
              <w:ind w:left="392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r>
      <w:tr>
        <w:trPr>
          <w:trHeight w:val="132"/>
        </w:trPr>
        <w:tc>
          <w:tcPr>
            <w:tcW w:w="14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60"/>
          </w:cols>
          <w:pgMar w:left="240" w:top="517" w:right="199" w:bottom="0" w:gutter="0" w:footer="0" w:header="0"/>
        </w:sectPr>
      </w:pPr>
    </w:p>
    <w:p>
      <w:pPr>
        <w:spacing w:after="0" w:line="217" w:lineRule="exact"/>
        <w:rPr>
          <w:sz w:val="20"/>
          <w:szCs w:val="20"/>
          <w:color w:val="auto"/>
        </w:rPr>
      </w:pPr>
    </w:p>
    <w:p>
      <w:pPr>
        <w:spacing w:after="0"/>
        <w:tabs>
          <w:tab w:leader="none" w:pos="6180" w:val="left"/>
        </w:tabs>
        <w:rPr>
          <w:sz w:val="20"/>
          <w:szCs w:val="20"/>
          <w:color w:val="auto"/>
        </w:rPr>
      </w:pPr>
      <w:r>
        <w:rPr>
          <w:rFonts w:ascii="Arial" w:cs="Arial" w:eastAsia="Arial" w:hAnsi="Arial"/>
          <w:sz w:val="14"/>
          <w:szCs w:val="14"/>
          <w:b w:val="1"/>
          <w:bCs w:val="1"/>
          <w:color w:val="auto"/>
        </w:rPr>
        <w:t>Exhibit Nos.</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74" w:orient="portrait"/>
          <w:cols w:equalWidth="0" w:num="1">
            <w:col w:w="11460"/>
          </w:cols>
          <w:pgMar w:left="240" w:top="517" w:right="199" w:bottom="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Certification pursuant to 18 U.S.C. 1350, adopted pursuant to Section 906 of the Sarbanes-Oxley Act of 2002, by Chief Financial Officer.</w:t>
      </w:r>
    </w:p>
    <w:p>
      <w:pPr>
        <w:spacing w:after="0" w:line="170" w:lineRule="exact"/>
        <w:rPr>
          <w:sz w:val="20"/>
          <w:szCs w:val="20"/>
          <w:color w:val="auto"/>
        </w:rPr>
      </w:pPr>
    </w:p>
    <w:p>
      <w:pPr>
        <w:sectPr>
          <w:pgSz w:w="11900" w:h="16838" w:orient="portrait"/>
          <w:cols w:equalWidth="0" w:num="2">
            <w:col w:w="980" w:space="720"/>
            <w:col w:w="9760"/>
          </w:cols>
          <w:pgMar w:left="240" w:top="125" w:right="199" w:bottom="0" w:gutter="0" w:footer="0" w:header="0"/>
        </w:sect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980" w:space="720"/>
            <w:col w:w="976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980" w:space="720"/>
            <w:col w:w="976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980" w:space="720"/>
            <w:col w:w="976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980" w:space="720"/>
            <w:col w:w="9760"/>
          </w:cols>
          <w:pgMar w:left="240" w:top="125" w:right="19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980" w:space="720"/>
            <w:col w:w="9760"/>
          </w:cols>
          <w:pgMar w:left="240" w:top="125" w:right="19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372745</wp:posOffset>
            </wp:positionV>
            <wp:extent cx="17583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720"/>
            <w:col w:w="9760"/>
          </w:cols>
          <w:pgMar w:left="240" w:top="125" w:right="199" w:bottom="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5800" w:type="dxa"/>
            <w:vAlign w:val="bottom"/>
            <w:gridSpan w:val="3"/>
          </w:tcPr>
          <w:p>
            <w:pPr>
              <w:ind w:left="100"/>
              <w:spacing w:after="0"/>
              <w:rPr>
                <w:sz w:val="20"/>
                <w:szCs w:val="20"/>
                <w:color w:val="auto"/>
              </w:rPr>
            </w:pPr>
            <w:r>
              <w:rPr>
                <w:rFonts w:ascii="Arial" w:cs="Arial" w:eastAsia="Arial" w:hAnsi="Arial"/>
                <w:sz w:val="18"/>
                <w:szCs w:val="18"/>
                <w:color w:val="auto"/>
              </w:rPr>
              <w:t>PAYLOCITY HOLDING CORPORATION</w:t>
            </w:r>
          </w:p>
        </w:tc>
        <w:tc>
          <w:tcPr>
            <w:tcW w:w="40" w:type="dxa"/>
            <w:vAlign w:val="bottom"/>
          </w:tcPr>
          <w:p>
            <w:pPr>
              <w:spacing w:after="0"/>
              <w:rPr>
                <w:sz w:val="20"/>
                <w:szCs w:val="20"/>
                <w:color w:val="auto"/>
              </w:rPr>
            </w:pPr>
          </w:p>
        </w:tc>
      </w:tr>
      <w:tr>
        <w:trPr>
          <w:trHeight w:val="432"/>
        </w:trPr>
        <w:tc>
          <w:tcPr>
            <w:tcW w:w="5620" w:type="dxa"/>
            <w:vAlign w:val="bottom"/>
            <w:gridSpan w:val="4"/>
          </w:tcPr>
          <w:p>
            <w:pPr>
              <w:spacing w:after="0"/>
              <w:rPr>
                <w:sz w:val="20"/>
                <w:szCs w:val="20"/>
                <w:color w:val="auto"/>
              </w:rPr>
            </w:pPr>
            <w:r>
              <w:rPr>
                <w:rFonts w:ascii="Arial" w:cs="Arial" w:eastAsia="Arial" w:hAnsi="Arial"/>
                <w:sz w:val="18"/>
                <w:szCs w:val="18"/>
                <w:color w:val="auto"/>
              </w:rPr>
              <w:t>Date: February 6, 2015</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630"/>
              <w:spacing w:after="0"/>
              <w:rPr>
                <w:sz w:val="20"/>
                <w:szCs w:val="20"/>
                <w:color w:val="auto"/>
              </w:rPr>
            </w:pPr>
            <w:r>
              <w:rPr>
                <w:rFonts w:ascii="Arial" w:cs="Arial" w:eastAsia="Arial" w:hAnsi="Arial"/>
                <w:sz w:val="18"/>
                <w:szCs w:val="18"/>
                <w:color w:val="auto"/>
                <w:w w:val="88"/>
              </w:rPr>
              <w:t>/S/ Steven R. Beauchamp</w:t>
            </w:r>
          </w:p>
        </w:tc>
        <w:tc>
          <w:tcPr>
            <w:tcW w:w="4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Name:</w:t>
            </w:r>
          </w:p>
        </w:tc>
        <w:tc>
          <w:tcPr>
            <w:tcW w:w="72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tcPr>
          <w:p>
            <w:pPr>
              <w:jc w:val="center"/>
              <w:ind w:right="630"/>
              <w:spacing w:after="0" w:line="191" w:lineRule="exact"/>
              <w:rPr>
                <w:sz w:val="20"/>
                <w:szCs w:val="20"/>
                <w:color w:val="auto"/>
              </w:rPr>
            </w:pPr>
            <w:r>
              <w:rPr>
                <w:rFonts w:ascii="Arial" w:cs="Arial" w:eastAsia="Arial" w:hAnsi="Arial"/>
                <w:sz w:val="18"/>
                <w:szCs w:val="18"/>
                <w:b w:val="1"/>
                <w:bCs w:val="1"/>
                <w:color w:val="auto"/>
                <w:w w:val="88"/>
              </w:rPr>
              <w:t>Steven R. Beauchamp</w:t>
            </w:r>
          </w:p>
        </w:tc>
        <w:tc>
          <w:tcPr>
            <w:tcW w:w="4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0" w:type="dxa"/>
            <w:vAlign w:val="bottom"/>
          </w:tcPr>
          <w:p>
            <w:pPr>
              <w:spacing w:after="0"/>
              <w:rPr>
                <w:sz w:val="20"/>
                <w:szCs w:val="20"/>
                <w:color w:val="auto"/>
              </w:rPr>
            </w:pPr>
          </w:p>
        </w:tc>
      </w:tr>
      <w:tr>
        <w:trPr>
          <w:trHeight w:val="432"/>
        </w:trPr>
        <w:tc>
          <w:tcPr>
            <w:tcW w:w="5620" w:type="dxa"/>
            <w:vAlign w:val="bottom"/>
            <w:gridSpan w:val="4"/>
          </w:tcPr>
          <w:p>
            <w:pPr>
              <w:spacing w:after="0"/>
              <w:rPr>
                <w:sz w:val="20"/>
                <w:szCs w:val="20"/>
                <w:color w:val="auto"/>
              </w:rPr>
            </w:pPr>
            <w:r>
              <w:rPr>
                <w:rFonts w:ascii="Arial" w:cs="Arial" w:eastAsia="Arial" w:hAnsi="Arial"/>
                <w:sz w:val="18"/>
                <w:szCs w:val="18"/>
                <w:color w:val="auto"/>
              </w:rPr>
              <w:t>Date: February 6, 2015</w:t>
            </w: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4240" w:type="dxa"/>
            <w:vAlign w:val="bottom"/>
          </w:tcPr>
          <w:p>
            <w:pPr>
              <w:jc w:val="center"/>
              <w:ind w:right="630"/>
              <w:spacing w:after="0"/>
              <w:rPr>
                <w:sz w:val="20"/>
                <w:szCs w:val="20"/>
                <w:color w:val="auto"/>
              </w:rPr>
            </w:pPr>
            <w:r>
              <w:rPr>
                <w:rFonts w:ascii="Arial" w:cs="Arial" w:eastAsia="Arial" w:hAnsi="Arial"/>
                <w:sz w:val="18"/>
                <w:szCs w:val="18"/>
                <w:color w:val="auto"/>
                <w:w w:val="92"/>
              </w:rPr>
              <w:t>/S/ Peter J. McGrail</w:t>
            </w:r>
          </w:p>
        </w:tc>
        <w:tc>
          <w:tcPr>
            <w:tcW w:w="4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Name:</w:t>
            </w:r>
          </w:p>
        </w:tc>
        <w:tc>
          <w:tcPr>
            <w:tcW w:w="72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tcPr>
          <w:p>
            <w:pPr>
              <w:jc w:val="center"/>
              <w:ind w:right="630"/>
              <w:spacing w:after="0" w:line="191" w:lineRule="exact"/>
              <w:rPr>
                <w:sz w:val="20"/>
                <w:szCs w:val="20"/>
                <w:color w:val="auto"/>
              </w:rPr>
            </w:pPr>
            <w:r>
              <w:rPr>
                <w:rFonts w:ascii="Arial" w:cs="Arial" w:eastAsia="Arial" w:hAnsi="Arial"/>
                <w:sz w:val="18"/>
                <w:szCs w:val="18"/>
                <w:b w:val="1"/>
                <w:bCs w:val="1"/>
                <w:color w:val="auto"/>
                <w:w w:val="94"/>
              </w:rPr>
              <w:t>Peter J. McGrail</w:t>
            </w:r>
          </w:p>
        </w:tc>
        <w:tc>
          <w:tcPr>
            <w:tcW w:w="4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Chief Financial Officer</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400" w:type="dxa"/>
            <w:vAlign w:val="bottom"/>
            <w:gridSpan w:val="2"/>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Table of Contents</w:t>
              </w:r>
            </w:hyperlink>
          </w:p>
        </w:tc>
        <w:tc>
          <w:tcPr>
            <w:tcW w:w="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gridSpan w:val="3"/>
          </w:tcPr>
          <w:p>
            <w:pPr>
              <w:ind w:left="3160"/>
              <w:spacing w:after="0"/>
              <w:rPr>
                <w:sz w:val="20"/>
                <w:szCs w:val="20"/>
                <w:color w:val="auto"/>
              </w:rPr>
            </w:pPr>
            <w:r>
              <w:rPr>
                <w:rFonts w:ascii="Arial" w:cs="Arial" w:eastAsia="Arial" w:hAnsi="Arial"/>
                <w:sz w:val="18"/>
                <w:szCs w:val="18"/>
                <w:b w:val="1"/>
                <w:bCs w:val="1"/>
                <w:color w:val="auto"/>
              </w:rPr>
              <w:t>INDEX TO EXHIBITS</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Nos.</w:t>
            </w:r>
          </w:p>
        </w:tc>
        <w:tc>
          <w:tcPr>
            <w:tcW w:w="26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Description</w:t>
            </w:r>
          </w:p>
        </w:tc>
        <w:tc>
          <w:tcPr>
            <w:tcW w:w="4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20" w:type="dxa"/>
            <w:vAlign w:val="bottom"/>
            <w:gridSpan w:val="5"/>
          </w:tcPr>
          <w:p>
            <w:pPr>
              <w:ind w:left="260"/>
              <w:spacing w:after="0"/>
              <w:rPr>
                <w:sz w:val="20"/>
                <w:szCs w:val="20"/>
                <w:color w:val="auto"/>
              </w:rPr>
            </w:pPr>
            <w:r>
              <w:rPr>
                <w:rFonts w:ascii="Arial" w:cs="Arial" w:eastAsia="Arial" w:hAnsi="Arial"/>
                <w:sz w:val="18"/>
                <w:szCs w:val="18"/>
                <w:color w:val="auto"/>
                <w:w w:val="98"/>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w w:val="90"/>
              </w:rPr>
              <w:t>Registration Statement (Registration No. 333-193661).</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020" w:type="dxa"/>
            <w:vAlign w:val="bottom"/>
            <w:gridSpan w:val="5"/>
          </w:tcPr>
          <w:p>
            <w:pPr>
              <w:ind w:left="260"/>
              <w:spacing w:after="0"/>
              <w:rPr>
                <w:sz w:val="20"/>
                <w:szCs w:val="20"/>
                <w:color w:val="auto"/>
              </w:rPr>
            </w:pPr>
            <w:r>
              <w:rPr>
                <w:rFonts w:ascii="Arial" w:cs="Arial" w:eastAsia="Arial" w:hAnsi="Arial"/>
                <w:sz w:val="18"/>
                <w:szCs w:val="18"/>
                <w:color w:val="auto"/>
                <w:w w:val="93"/>
              </w:rPr>
              <w:t>Amended and Restated By-Laws of Paylocity Holding Corporation. (filed as Exhibit 3.4 of Paylocity Holding Corporation’s Form S-1</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w w:val="90"/>
              </w:rPr>
              <w:t>Registration Statement (Registration No. 333-193661).</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20" w:type="dxa"/>
            <w:vAlign w:val="bottom"/>
            <w:gridSpan w:val="5"/>
          </w:tcPr>
          <w:p>
            <w:pPr>
              <w:ind w:left="260"/>
              <w:spacing w:after="0"/>
              <w:rPr>
                <w:sz w:val="20"/>
                <w:szCs w:val="20"/>
                <w:color w:val="auto"/>
              </w:rPr>
            </w:pPr>
            <w:r>
              <w:rPr>
                <w:rFonts w:ascii="Arial" w:cs="Arial" w:eastAsia="Arial" w:hAnsi="Arial"/>
                <w:sz w:val="18"/>
                <w:szCs w:val="18"/>
                <w:color w:val="auto"/>
                <w:w w:val="98"/>
              </w:rPr>
              <w:t>Certification of Chief Executive Officer pursuant to Securities Exchange Act Rules 13a-4 and 15d-14 as adopted pursuant to</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Section 302 of the Sarbanes-Oxley Act of 2002.</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20" w:type="dxa"/>
            <w:vAlign w:val="bottom"/>
            <w:gridSpan w:val="5"/>
          </w:tcPr>
          <w:p>
            <w:pPr>
              <w:ind w:left="260"/>
              <w:spacing w:after="0"/>
              <w:rPr>
                <w:sz w:val="20"/>
                <w:szCs w:val="20"/>
                <w:color w:val="auto"/>
              </w:rPr>
            </w:pPr>
            <w:r>
              <w:rPr>
                <w:rFonts w:ascii="Arial" w:cs="Arial" w:eastAsia="Arial" w:hAnsi="Arial"/>
                <w:sz w:val="18"/>
                <w:szCs w:val="18"/>
                <w:color w:val="auto"/>
                <w:w w:val="99"/>
              </w:rPr>
              <w:t>Certification of Chief Financial Officer pursuant to Securities Exchange Act Rules 13a-4 and 15d-14 as adopted pursuant to</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Section 302 of the Sarbanes-Oxley Act of 2002.</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20" w:type="dxa"/>
            <w:vAlign w:val="bottom"/>
            <w:gridSpan w:val="5"/>
          </w:tcPr>
          <w:p>
            <w:pPr>
              <w:ind w:left="260"/>
              <w:spacing w:after="0"/>
              <w:rPr>
                <w:sz w:val="20"/>
                <w:szCs w:val="20"/>
                <w:color w:val="auto"/>
              </w:rPr>
            </w:pPr>
            <w:r>
              <w:rPr>
                <w:rFonts w:ascii="Arial" w:cs="Arial" w:eastAsia="Arial" w:hAnsi="Arial"/>
                <w:sz w:val="18"/>
                <w:szCs w:val="18"/>
                <w:color w:val="auto"/>
                <w:w w:val="94"/>
              </w:rPr>
              <w:t>Certification pursuant to 18 U.S.C. 1350, adopted pursuant to Section 906 of the Sarbanes-Oxley Act of 2002, by Chief Executive</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Officer.</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20" w:type="dxa"/>
            <w:vAlign w:val="bottom"/>
            <w:gridSpan w:val="5"/>
          </w:tcPr>
          <w:p>
            <w:pPr>
              <w:ind w:left="260"/>
              <w:spacing w:after="0"/>
              <w:rPr>
                <w:sz w:val="20"/>
                <w:szCs w:val="20"/>
                <w:color w:val="auto"/>
              </w:rPr>
            </w:pPr>
            <w:r>
              <w:rPr>
                <w:rFonts w:ascii="Arial" w:cs="Arial" w:eastAsia="Arial" w:hAnsi="Arial"/>
                <w:sz w:val="18"/>
                <w:szCs w:val="18"/>
                <w:color w:val="auto"/>
                <w:w w:val="95"/>
              </w:rPr>
              <w:t>Certification pursuant to 18 U.S.C. 1350, adopted pursuant to Section 906 of the Sarbanes-Oxley Act of 2002, by Chief Financial</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Officer.</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220" w:type="dxa"/>
            <w:vAlign w:val="bottom"/>
            <w:gridSpan w:val="2"/>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780" w:type="dxa"/>
            <w:vAlign w:val="bottom"/>
            <w:gridSpan w:val="4"/>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780" w:type="dxa"/>
            <w:vAlign w:val="bottom"/>
            <w:gridSpan w:val="4"/>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-4469130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-4469130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940" w:space="720"/>
            <w:col w:w="8559"/>
          </w:cols>
          <w:pgMar w:left="240" w:top="125" w:right="1440"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235585</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 w:space="720"/>
            <w:col w:w="8559"/>
          </w:cols>
          <w:pgMar w:left="240" w:top="125" w:right="1440" w:bottom="1440" w:gutter="0" w:footer="0" w:header="0"/>
          <w:type w:val="continuous"/>
        </w:sectPr>
      </w:pPr>
    </w:p>
    <w:p>
      <w:pPr>
        <w:spacing w:after="0" w:line="278"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225" w:lineRule="exact"/>
        <w:rPr>
          <w:sz w:val="20"/>
          <w:szCs w:val="20"/>
          <w:color w:val="auto"/>
        </w:rPr>
      </w:pPr>
    </w:p>
    <w:p>
      <w:pPr>
        <w:ind w:left="1060" w:hanging="171"/>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225" w:lineRule="exact"/>
        <w:rPr>
          <w:rFonts w:ascii="Arial" w:cs="Arial" w:eastAsia="Arial" w:hAnsi="Arial"/>
          <w:sz w:val="18"/>
          <w:szCs w:val="18"/>
          <w:color w:val="auto"/>
        </w:rPr>
      </w:pPr>
    </w:p>
    <w:p>
      <w:pPr>
        <w:ind w:left="440" w:right="180" w:firstLine="449"/>
        <w:spacing w:after="0" w:line="264" w:lineRule="auto"/>
        <w:tabs>
          <w:tab w:leader="none" w:pos="10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40" w:firstLine="449"/>
        <w:spacing w:after="0" w:line="308" w:lineRule="auto"/>
        <w:tabs>
          <w:tab w:leader="none" w:pos="1061"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120" w:firstLine="449"/>
        <w:spacing w:after="0" w:line="264" w:lineRule="auto"/>
        <w:tabs>
          <w:tab w:leader="none" w:pos="10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hanging="170"/>
        <w:spacing w:after="0"/>
        <w:tabs>
          <w:tab w:leader="none" w:pos="15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880" w:right="26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880" w:right="40" w:firstLine="450"/>
        <w:spacing w:after="0" w:line="264" w:lineRule="auto"/>
        <w:tabs>
          <w:tab w:leader="none" w:pos="15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60" w:firstLine="450"/>
        <w:spacing w:after="0" w:line="342" w:lineRule="auto"/>
        <w:tabs>
          <w:tab w:leader="none" w:pos="14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80" w:firstLine="450"/>
        <w:spacing w:after="0" w:line="264" w:lineRule="auto"/>
        <w:tabs>
          <w:tab w:leader="none" w:pos="15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December 31, 2014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80" w:firstLine="449"/>
        <w:spacing w:after="0" w:line="342" w:lineRule="auto"/>
        <w:tabs>
          <w:tab w:leader="none" w:pos="10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480" w:firstLine="450"/>
        <w:spacing w:after="0" w:line="308" w:lineRule="auto"/>
        <w:tabs>
          <w:tab w:leader="none" w:pos="1491"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160" w:firstLine="450"/>
        <w:spacing w:after="0" w:line="277" w:lineRule="auto"/>
        <w:tabs>
          <w:tab w:leader="none" w:pos="150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Date: February 6, 2015</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c>
          <w:tcPr>
            <w:tcW w:w="40" w:type="dxa"/>
            <w:vAlign w:val="bottom"/>
          </w:tcPr>
          <w:p>
            <w:pPr>
              <w:spacing w:after="0"/>
              <w:rPr>
                <w:sz w:val="20"/>
                <w:szCs w:val="20"/>
                <w:color w:val="auto"/>
              </w:rPr>
            </w:pPr>
          </w:p>
        </w:tc>
      </w:tr>
      <w:tr>
        <w:trPr>
          <w:trHeight w:val="191"/>
        </w:trPr>
        <w:tc>
          <w:tcPr>
            <w:tcW w:w="6460" w:type="dxa"/>
            <w:vAlign w:val="bottom"/>
          </w:tcPr>
          <w:p>
            <w:pPr>
              <w:ind w:left="5720"/>
              <w:spacing w:after="0" w:line="191" w:lineRule="exact"/>
              <w:rPr>
                <w:sz w:val="20"/>
                <w:szCs w:val="20"/>
                <w:color w:val="auto"/>
              </w:rPr>
            </w:pPr>
            <w:r>
              <w:rPr>
                <w:rFonts w:ascii="Arial" w:cs="Arial" w:eastAsia="Arial" w:hAnsi="Arial"/>
                <w:sz w:val="18"/>
                <w:szCs w:val="18"/>
                <w:b w:val="1"/>
                <w:bCs w:val="1"/>
                <w:color w:val="auto"/>
              </w:rPr>
              <w:t>Name:</w:t>
            </w:r>
          </w:p>
        </w:tc>
        <w:tc>
          <w:tcPr>
            <w:tcW w:w="4960" w:type="dxa"/>
            <w:vAlign w:val="bottom"/>
          </w:tcPr>
          <w:p>
            <w:pPr>
              <w:ind w:left="1820"/>
              <w:spacing w:after="0" w:line="191" w:lineRule="exact"/>
              <w:rPr>
                <w:sz w:val="20"/>
                <w:szCs w:val="20"/>
                <w:color w:val="auto"/>
              </w:rPr>
            </w:pPr>
            <w:r>
              <w:rPr>
                <w:rFonts w:ascii="Arial" w:cs="Arial" w:eastAsia="Arial" w:hAnsi="Arial"/>
                <w:sz w:val="18"/>
                <w:szCs w:val="18"/>
                <w:b w:val="1"/>
                <w:bCs w:val="1"/>
                <w:color w:val="auto"/>
              </w:rPr>
              <w:t>Steven R. Beauchamp</w:t>
            </w:r>
          </w:p>
        </w:tc>
        <w:tc>
          <w:tcPr>
            <w:tcW w:w="40" w:type="dxa"/>
            <w:vAlign w:val="bottom"/>
          </w:tcPr>
          <w:p>
            <w:pPr>
              <w:spacing w:after="0"/>
              <w:rPr>
                <w:sz w:val="16"/>
                <w:szCs w:val="16"/>
                <w:color w:val="auto"/>
              </w:rPr>
            </w:pPr>
          </w:p>
        </w:tc>
      </w:tr>
      <w:tr>
        <w:trPr>
          <w:trHeight w:val="234"/>
        </w:trPr>
        <w:tc>
          <w:tcPr>
            <w:tcW w:w="6460" w:type="dxa"/>
            <w:vAlign w:val="bottom"/>
          </w:tcPr>
          <w:p>
            <w:pPr>
              <w:ind w:left="5720"/>
              <w:spacing w:after="0"/>
              <w:rPr>
                <w:sz w:val="20"/>
                <w:szCs w:val="20"/>
                <w:color w:val="auto"/>
              </w:rPr>
            </w:pPr>
            <w:r>
              <w:rPr>
                <w:rFonts w:ascii="Arial" w:cs="Arial" w:eastAsia="Arial" w:hAnsi="Arial"/>
                <w:sz w:val="18"/>
                <w:szCs w:val="18"/>
                <w:b w:val="1"/>
                <w:bCs w:val="1"/>
                <w:color w:val="auto"/>
              </w:rPr>
              <w:t>Title:</w:t>
            </w: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J. McGrail, certify that:</w:t>
      </w:r>
    </w:p>
    <w:p>
      <w:pPr>
        <w:spacing w:after="0" w:line="225" w:lineRule="exact"/>
        <w:rPr>
          <w:sz w:val="20"/>
          <w:szCs w:val="20"/>
          <w:color w:val="auto"/>
        </w:rPr>
      </w:pPr>
    </w:p>
    <w:p>
      <w:pPr>
        <w:ind w:left="1060" w:hanging="171"/>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225" w:lineRule="exact"/>
        <w:rPr>
          <w:rFonts w:ascii="Arial" w:cs="Arial" w:eastAsia="Arial" w:hAnsi="Arial"/>
          <w:sz w:val="18"/>
          <w:szCs w:val="18"/>
          <w:color w:val="auto"/>
        </w:rPr>
      </w:pPr>
    </w:p>
    <w:p>
      <w:pPr>
        <w:ind w:left="440" w:right="180" w:firstLine="449"/>
        <w:spacing w:after="0" w:line="264" w:lineRule="auto"/>
        <w:tabs>
          <w:tab w:leader="none" w:pos="10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40" w:firstLine="449"/>
        <w:spacing w:after="0" w:line="308" w:lineRule="auto"/>
        <w:tabs>
          <w:tab w:leader="none" w:pos="106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120" w:firstLine="449"/>
        <w:spacing w:after="0" w:line="264" w:lineRule="auto"/>
        <w:tabs>
          <w:tab w:leader="none" w:pos="10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hanging="170"/>
        <w:spacing w:after="0"/>
        <w:tabs>
          <w:tab w:leader="none" w:pos="15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880" w:right="26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880" w:right="40" w:firstLine="450"/>
        <w:spacing w:after="0" w:line="264" w:lineRule="auto"/>
        <w:tabs>
          <w:tab w:leader="none" w:pos="15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60" w:firstLine="450"/>
        <w:spacing w:after="0" w:line="342" w:lineRule="auto"/>
        <w:tabs>
          <w:tab w:leader="none" w:pos="14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80" w:firstLine="450"/>
        <w:spacing w:after="0" w:line="264" w:lineRule="auto"/>
        <w:tabs>
          <w:tab w:leader="none" w:pos="15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December 31, 2014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80" w:firstLine="449"/>
        <w:spacing w:after="0" w:line="342" w:lineRule="auto"/>
        <w:tabs>
          <w:tab w:leader="none" w:pos="106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480" w:firstLine="450"/>
        <w:spacing w:after="0" w:line="308" w:lineRule="auto"/>
        <w:tabs>
          <w:tab w:leader="none" w:pos="1491"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160" w:firstLine="450"/>
        <w:spacing w:after="0" w:line="277" w:lineRule="auto"/>
        <w:tabs>
          <w:tab w:leader="none" w:pos="15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Date: February 6, 2015</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Peter J. McGrail</w:t>
            </w:r>
          </w:p>
        </w:tc>
        <w:tc>
          <w:tcPr>
            <w:tcW w:w="40" w:type="dxa"/>
            <w:vAlign w:val="bottom"/>
          </w:tcPr>
          <w:p>
            <w:pPr>
              <w:spacing w:after="0"/>
              <w:rPr>
                <w:sz w:val="20"/>
                <w:szCs w:val="20"/>
                <w:color w:val="auto"/>
              </w:rPr>
            </w:pPr>
          </w:p>
        </w:tc>
      </w:tr>
      <w:tr>
        <w:trPr>
          <w:trHeight w:val="191"/>
        </w:trPr>
        <w:tc>
          <w:tcPr>
            <w:tcW w:w="6460" w:type="dxa"/>
            <w:vAlign w:val="bottom"/>
          </w:tcPr>
          <w:p>
            <w:pPr>
              <w:ind w:left="5720"/>
              <w:spacing w:after="0" w:line="191" w:lineRule="exact"/>
              <w:rPr>
                <w:sz w:val="20"/>
                <w:szCs w:val="20"/>
                <w:color w:val="auto"/>
              </w:rPr>
            </w:pPr>
            <w:r>
              <w:rPr>
                <w:rFonts w:ascii="Arial" w:cs="Arial" w:eastAsia="Arial" w:hAnsi="Arial"/>
                <w:sz w:val="18"/>
                <w:szCs w:val="18"/>
                <w:b w:val="1"/>
                <w:bCs w:val="1"/>
                <w:color w:val="auto"/>
              </w:rPr>
              <w:t>Name:</w:t>
            </w:r>
          </w:p>
        </w:tc>
        <w:tc>
          <w:tcPr>
            <w:tcW w:w="4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Peter J. McGrail</w:t>
            </w:r>
          </w:p>
        </w:tc>
        <w:tc>
          <w:tcPr>
            <w:tcW w:w="40" w:type="dxa"/>
            <w:vAlign w:val="bottom"/>
          </w:tcPr>
          <w:p>
            <w:pPr>
              <w:spacing w:after="0"/>
              <w:rPr>
                <w:sz w:val="16"/>
                <w:szCs w:val="16"/>
                <w:color w:val="auto"/>
              </w:rPr>
            </w:pPr>
          </w:p>
        </w:tc>
      </w:tr>
      <w:tr>
        <w:trPr>
          <w:trHeight w:val="234"/>
        </w:trPr>
        <w:tc>
          <w:tcPr>
            <w:tcW w:w="6460" w:type="dxa"/>
            <w:vAlign w:val="bottom"/>
          </w:tcPr>
          <w:p>
            <w:pPr>
              <w:ind w:left="5720"/>
              <w:spacing w:after="0"/>
              <w:rPr>
                <w:sz w:val="20"/>
                <w:szCs w:val="20"/>
                <w:color w:val="auto"/>
              </w:rPr>
            </w:pPr>
            <w:r>
              <w:rPr>
                <w:rFonts w:ascii="Arial" w:cs="Arial" w:eastAsia="Arial" w:hAnsi="Arial"/>
                <w:sz w:val="18"/>
                <w:szCs w:val="18"/>
                <w:b w:val="1"/>
                <w:bCs w:val="1"/>
                <w:color w:val="auto"/>
              </w:rPr>
              <w:t>Title:</w:t>
            </w: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88"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Dated: February 6, 2015</w:t>
      </w:r>
      <w:r>
        <w:rPr>
          <w:sz w:val="20"/>
          <w:szCs w:val="20"/>
          <w:color w:val="auto"/>
        </w:rPr>
        <w:tab/>
      </w:r>
      <w:r>
        <w:rPr>
          <w:rFonts w:ascii="Arial" w:cs="Arial" w:eastAsia="Arial" w:hAnsi="Arial"/>
          <w:sz w:val="15"/>
          <w:szCs w:val="15"/>
          <w:color w:val="auto"/>
        </w:rPr>
        <w:t>/S/ Steven R. Beauchamp</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54"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Dated: February 6, 2015</w:t>
      </w:r>
      <w:r>
        <w:rPr>
          <w:sz w:val="20"/>
          <w:szCs w:val="20"/>
          <w:color w:val="auto"/>
        </w:rPr>
        <w:tab/>
      </w:r>
      <w:r>
        <w:rPr>
          <w:rFonts w:ascii="Arial" w:cs="Arial" w:eastAsia="Arial" w:hAnsi="Arial"/>
          <w:sz w:val="16"/>
          <w:szCs w:val="16"/>
          <w:color w:val="auto"/>
        </w:rPr>
        <w:t>/S/ Peter J. McGrail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Letter"/>
      <w:start w:val="1"/>
    </w:lvl>
  </w:abstractNum>
  <w:abstractNum w:abstractNumId="1">
    <w:nsid w:val="1BEFD79F"/>
    <w:multiLevelType w:val="hybridMultilevel"/>
    <w:lvl w:ilvl="0">
      <w:lvlJc w:val="left"/>
      <w:lvlText w:val="(%1)"/>
      <w:numFmt w:val="lowerLetter"/>
      <w:start w:val="2"/>
    </w:lvl>
  </w:abstractNum>
  <w:abstractNum w:abstractNumId="2">
    <w:nsid w:val="41A7C4C9"/>
    <w:multiLevelType w:val="hybridMultilevel"/>
    <w:lvl w:ilvl="0">
      <w:lvlJc w:val="left"/>
      <w:lvlText w:val="(%1)"/>
      <w:numFmt w:val="lowerLetter"/>
      <w:start w:val="3"/>
    </w:lvl>
  </w:abstractNum>
  <w:abstractNum w:abstractNumId="3">
    <w:nsid w:val="6B68079A"/>
    <w:multiLevelType w:val="hybridMultilevel"/>
    <w:lvl w:ilvl="0">
      <w:lvlJc w:val="left"/>
      <w:lvlText w:val="(%1)"/>
      <w:numFmt w:val="lowerLetter"/>
      <w:start w:val="4"/>
    </w:lvl>
  </w:abstractNum>
  <w:abstractNum w:abstractNumId="4">
    <w:nsid w:val="4E6AFB66"/>
    <w:multiLevelType w:val="hybridMultilevel"/>
    <w:lvl w:ilvl="0">
      <w:lvlJc w:val="left"/>
      <w:lvlText w:val="(%1)"/>
      <w:numFmt w:val="lowerLetter"/>
      <w:start w:val="5"/>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2"/>
    </w:lvl>
  </w:abstractNum>
  <w:abstractNum w:abstractNumId="9">
    <w:nsid w:val="7C83E458"/>
    <w:multiLevelType w:val="hybridMultilevel"/>
    <w:lvl w:ilvl="0">
      <w:lvlJc w:val="left"/>
      <w:lvlText w:val="(%1)"/>
      <w:numFmt w:val="lowerLetter"/>
      <w:start w:val="3"/>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2019-12-29T17:43:22Z</dcterms:created>
  <dcterms:modified xsi:type="dcterms:W3CDTF">2019-12-29T17:43:22Z</dcterms:modified>
</cp:coreProperties>
</file>