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177800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pacing w:after="0" w:line="37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-207645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133350</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38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160020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left="640" w:hanging="326"/>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March 31, 2021</w:t>
      </w:r>
    </w:p>
    <w:p>
      <w:pPr>
        <w:spacing w:after="0" w:line="140" w:lineRule="exact"/>
        <w:rPr>
          <w:sz w:val="24"/>
          <w:szCs w:val="24"/>
          <w:color w:val="auto"/>
        </w:rPr>
      </w:pPr>
    </w:p>
    <w:p>
      <w:pPr>
        <w:ind w:left="640" w:hanging="326"/>
        <w:spacing w:after="0"/>
        <w:tabs>
          <w:tab w:leader="none" w:pos="640" w:val="left"/>
        </w:tabs>
        <w:numPr>
          <w:ilvl w:val="0"/>
          <w:numId w:val="2"/>
        </w:numPr>
        <w:rPr>
          <w:rFonts w:ascii="MS PGothic" w:cs="MS PGothic" w:eastAsia="MS PGothic" w:hAnsi="MS PGothic"/>
          <w:sz w:val="16"/>
          <w:szCs w:val="16"/>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53" w:lineRule="exact"/>
        <w:rPr>
          <w:sz w:val="24"/>
          <w:szCs w:val="24"/>
          <w:color w:val="auto"/>
        </w:rPr>
      </w:pPr>
    </w:p>
    <w:p>
      <w:pPr>
        <w:ind w:left="3940"/>
        <w:spacing w:after="0"/>
        <w:tabs>
          <w:tab w:leader="none" w:pos="596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36" w:lineRule="exact"/>
        <w:rPr>
          <w:sz w:val="24"/>
          <w:szCs w:val="24"/>
          <w:color w:val="auto"/>
        </w:rPr>
      </w:pPr>
    </w:p>
    <w:p>
      <w:pPr>
        <w:ind w:left="4020"/>
        <w:spacing w:after="0"/>
        <w:rPr>
          <w:sz w:val="20"/>
          <w:szCs w:val="20"/>
          <w:color w:val="auto"/>
        </w:rPr>
      </w:pPr>
      <w:r>
        <w:rPr>
          <w:rFonts w:ascii="Arial" w:cs="Arial" w:eastAsia="Arial" w:hAnsi="Arial"/>
          <w:sz w:val="14"/>
          <w:szCs w:val="14"/>
          <w:b w:val="1"/>
          <w:bCs w:val="1"/>
          <w:color w:val="auto"/>
        </w:rPr>
        <w:t>Commission file number 001-36348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152400</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PAYLOCITY HOLDING CORPORATION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47625</wp:posOffset>
            </wp:positionV>
            <wp:extent cx="16287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67" w:lineRule="exact"/>
        <w:rPr>
          <w:sz w:val="24"/>
          <w:szCs w:val="24"/>
          <w:color w:val="auto"/>
        </w:rPr>
      </w:pPr>
    </w:p>
    <w:tbl>
      <w:tblPr>
        <w:tblLayout w:type="fixed"/>
        <w:tblInd w:w="820" w:type="dxa"/>
        <w:tblCellMar>
          <w:top w:w="0" w:type="dxa"/>
          <w:left w:w="0" w:type="dxa"/>
          <w:bottom w:w="0" w:type="dxa"/>
          <w:right w:w="0" w:type="dxa"/>
        </w:tblCellMar>
      </w:tblPr>
      <w:tr>
        <w:trPr>
          <w:trHeight w:val="161"/>
        </w:trPr>
        <w:tc>
          <w:tcPr>
            <w:tcW w:w="2600" w:type="dxa"/>
            <w:vAlign w:val="bottom"/>
          </w:tcPr>
          <w:p>
            <w:pPr>
              <w:jc w:val="center"/>
              <w:ind w:left="668"/>
              <w:spacing w:after="0"/>
              <w:rPr>
                <w:sz w:val="20"/>
                <w:szCs w:val="20"/>
                <w:color w:val="auto"/>
              </w:rPr>
            </w:pPr>
            <w:r>
              <w:rPr>
                <w:rFonts w:ascii="Arial" w:cs="Arial" w:eastAsia="Arial" w:hAnsi="Arial"/>
                <w:sz w:val="14"/>
                <w:szCs w:val="14"/>
                <w:b w:val="1"/>
                <w:bCs w:val="1"/>
                <w:color w:val="auto"/>
                <w:w w:val="94"/>
              </w:rPr>
              <w:t>Delaware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tcPr>
          <w:p>
            <w:pPr>
              <w:jc w:val="center"/>
              <w:ind w:right="688"/>
              <w:spacing w:after="0"/>
              <w:rPr>
                <w:sz w:val="20"/>
                <w:szCs w:val="20"/>
                <w:color w:val="auto"/>
              </w:rPr>
            </w:pPr>
            <w:r>
              <w:rPr>
                <w:rFonts w:ascii="Arial" w:cs="Arial" w:eastAsia="Arial" w:hAnsi="Arial"/>
                <w:sz w:val="14"/>
                <w:szCs w:val="14"/>
                <w:b w:val="1"/>
                <w:bCs w:val="1"/>
                <w:color w:val="auto"/>
                <w:w w:val="93"/>
              </w:rPr>
              <w:t>46-4066644</w:t>
            </w:r>
          </w:p>
        </w:tc>
        <w:tc>
          <w:tcPr>
            <w:tcW w:w="0" w:type="dxa"/>
            <w:vAlign w:val="bottom"/>
          </w:tcPr>
          <w:p>
            <w:pPr>
              <w:spacing w:after="0"/>
              <w:rPr>
                <w:sz w:val="1"/>
                <w:szCs w:val="1"/>
                <w:color w:val="auto"/>
              </w:rPr>
            </w:pPr>
          </w:p>
        </w:tc>
      </w:tr>
      <w:tr>
        <w:trPr>
          <w:trHeight w:val="149"/>
        </w:trPr>
        <w:tc>
          <w:tcPr>
            <w:tcW w:w="2600" w:type="dxa"/>
            <w:vAlign w:val="bottom"/>
          </w:tcPr>
          <w:p>
            <w:pPr>
              <w:jc w:val="center"/>
              <w:ind w:left="668"/>
              <w:spacing w:after="0" w:line="149" w:lineRule="exact"/>
              <w:rPr>
                <w:sz w:val="20"/>
                <w:szCs w:val="20"/>
                <w:color w:val="auto"/>
              </w:rPr>
            </w:pPr>
            <w:r>
              <w:rPr>
                <w:rFonts w:ascii="Arial" w:cs="Arial" w:eastAsia="Arial" w:hAnsi="Arial"/>
                <w:sz w:val="14"/>
                <w:szCs w:val="14"/>
                <w:color w:val="auto"/>
                <w:w w:val="94"/>
              </w:rPr>
              <w:t>(State or other jurisdiction of</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20" w:type="dxa"/>
            <w:vAlign w:val="bottom"/>
          </w:tcPr>
          <w:p>
            <w:pPr>
              <w:jc w:val="center"/>
              <w:ind w:right="708"/>
              <w:spacing w:after="0" w:line="149" w:lineRule="exact"/>
              <w:rPr>
                <w:sz w:val="20"/>
                <w:szCs w:val="20"/>
                <w:color w:val="auto"/>
              </w:rPr>
            </w:pPr>
            <w:r>
              <w:rPr>
                <w:rFonts w:ascii="Arial" w:cs="Arial" w:eastAsia="Arial" w:hAnsi="Arial"/>
                <w:sz w:val="14"/>
                <w:szCs w:val="14"/>
                <w:color w:val="auto"/>
                <w:w w:val="96"/>
              </w:rPr>
              <w:t>(IRS Employer</w:t>
            </w:r>
          </w:p>
        </w:tc>
        <w:tc>
          <w:tcPr>
            <w:tcW w:w="0" w:type="dxa"/>
            <w:vAlign w:val="bottom"/>
          </w:tcPr>
          <w:p>
            <w:pPr>
              <w:spacing w:after="0"/>
              <w:rPr>
                <w:sz w:val="1"/>
                <w:szCs w:val="1"/>
                <w:color w:val="auto"/>
              </w:rPr>
            </w:pPr>
          </w:p>
        </w:tc>
      </w:tr>
      <w:tr>
        <w:trPr>
          <w:trHeight w:val="182"/>
        </w:trPr>
        <w:tc>
          <w:tcPr>
            <w:tcW w:w="2600" w:type="dxa"/>
            <w:vAlign w:val="bottom"/>
          </w:tcPr>
          <w:p>
            <w:pPr>
              <w:jc w:val="center"/>
              <w:ind w:left="668"/>
              <w:spacing w:after="0"/>
              <w:rPr>
                <w:sz w:val="20"/>
                <w:szCs w:val="20"/>
                <w:color w:val="auto"/>
              </w:rPr>
            </w:pPr>
            <w:r>
              <w:rPr>
                <w:rFonts w:ascii="Arial" w:cs="Arial" w:eastAsia="Arial" w:hAnsi="Arial"/>
                <w:sz w:val="14"/>
                <w:szCs w:val="14"/>
                <w:color w:val="auto"/>
                <w:w w:val="95"/>
              </w:rPr>
              <w:t>incorporation or organization)</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20" w:type="dxa"/>
            <w:vAlign w:val="bottom"/>
          </w:tcPr>
          <w:p>
            <w:pPr>
              <w:jc w:val="center"/>
              <w:ind w:right="708"/>
              <w:spacing w:after="0"/>
              <w:rPr>
                <w:sz w:val="20"/>
                <w:szCs w:val="20"/>
                <w:color w:val="auto"/>
              </w:rPr>
            </w:pPr>
            <w:r>
              <w:rPr>
                <w:rFonts w:ascii="Arial" w:cs="Arial" w:eastAsia="Arial" w:hAnsi="Arial"/>
                <w:sz w:val="14"/>
                <w:szCs w:val="14"/>
                <w:color w:val="auto"/>
                <w:w w:val="99"/>
              </w:rPr>
              <w:t>Identification No.)</w:t>
            </w:r>
          </w:p>
        </w:tc>
        <w:tc>
          <w:tcPr>
            <w:tcW w:w="0" w:type="dxa"/>
            <w:vAlign w:val="bottom"/>
          </w:tcPr>
          <w:p>
            <w:pPr>
              <w:spacing w:after="0"/>
              <w:rPr>
                <w:sz w:val="1"/>
                <w:szCs w:val="1"/>
                <w:color w:val="auto"/>
              </w:rPr>
            </w:pPr>
          </w:p>
        </w:tc>
      </w:tr>
      <w:tr>
        <w:trPr>
          <w:trHeight w:val="286"/>
        </w:trPr>
        <w:tc>
          <w:tcPr>
            <w:tcW w:w="2600" w:type="dxa"/>
            <w:vAlign w:val="bottom"/>
          </w:tcPr>
          <w:p>
            <w:pPr>
              <w:jc w:val="center"/>
              <w:ind w:left="768"/>
              <w:spacing w:after="0"/>
              <w:rPr>
                <w:sz w:val="20"/>
                <w:szCs w:val="20"/>
                <w:color w:val="auto"/>
              </w:rPr>
            </w:pPr>
            <w:r>
              <w:rPr>
                <w:rFonts w:ascii="Arial" w:cs="Arial" w:eastAsia="Arial" w:hAnsi="Arial"/>
                <w:sz w:val="14"/>
                <w:szCs w:val="14"/>
                <w:b w:val="1"/>
                <w:bCs w:val="1"/>
                <w:color w:val="auto"/>
                <w:w w:val="94"/>
              </w:rPr>
              <w:t>1400 American Lane</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vMerge w:val="restart"/>
          </w:tcPr>
          <w:p>
            <w:pPr>
              <w:jc w:val="right"/>
              <w:ind w:right="1488"/>
              <w:spacing w:after="0"/>
              <w:rPr>
                <w:sz w:val="20"/>
                <w:szCs w:val="20"/>
                <w:color w:val="auto"/>
              </w:rPr>
            </w:pPr>
            <w:r>
              <w:rPr>
                <w:rFonts w:ascii="Arial" w:cs="Arial" w:eastAsia="Arial" w:hAnsi="Arial"/>
                <w:sz w:val="14"/>
                <w:szCs w:val="14"/>
                <w:b w:val="1"/>
                <w:bCs w:val="1"/>
                <w:color w:val="auto"/>
              </w:rPr>
              <w:t>60173</w:t>
            </w:r>
          </w:p>
        </w:tc>
        <w:tc>
          <w:tcPr>
            <w:tcW w:w="0" w:type="dxa"/>
            <w:vAlign w:val="bottom"/>
          </w:tcPr>
          <w:p>
            <w:pPr>
              <w:spacing w:after="0"/>
              <w:rPr>
                <w:sz w:val="1"/>
                <w:szCs w:val="1"/>
                <w:color w:val="auto"/>
              </w:rPr>
            </w:pPr>
          </w:p>
        </w:tc>
      </w:tr>
      <w:tr>
        <w:trPr>
          <w:trHeight w:val="152"/>
        </w:trPr>
        <w:tc>
          <w:tcPr>
            <w:tcW w:w="2600" w:type="dxa"/>
            <w:vAlign w:val="bottom"/>
          </w:tcPr>
          <w:p>
            <w:pPr>
              <w:jc w:val="center"/>
              <w:ind w:left="788"/>
              <w:spacing w:after="0" w:line="153" w:lineRule="exact"/>
              <w:rPr>
                <w:sz w:val="20"/>
                <w:szCs w:val="20"/>
                <w:color w:val="auto"/>
              </w:rPr>
            </w:pPr>
            <w:r>
              <w:rPr>
                <w:rFonts w:ascii="Arial" w:cs="Arial" w:eastAsia="Arial" w:hAnsi="Arial"/>
                <w:sz w:val="14"/>
                <w:szCs w:val="14"/>
                <w:b w:val="1"/>
                <w:bCs w:val="1"/>
                <w:color w:val="auto"/>
                <w:w w:val="94"/>
              </w:rPr>
              <w:t>Schaumburg, Illinois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5960" w:type="dxa"/>
            <w:vAlign w:val="bottom"/>
            <w:gridSpan w:val="8"/>
          </w:tcPr>
          <w:p>
            <w:pPr>
              <w:jc w:val="center"/>
              <w:ind w:right="2520"/>
              <w:spacing w:after="0" w:line="145" w:lineRule="exact"/>
              <w:rPr>
                <w:sz w:val="20"/>
                <w:szCs w:val="20"/>
                <w:color w:val="auto"/>
              </w:rPr>
            </w:pPr>
            <w:r>
              <w:rPr>
                <w:rFonts w:ascii="Arial" w:cs="Arial" w:eastAsia="Arial" w:hAnsi="Arial"/>
                <w:sz w:val="14"/>
                <w:szCs w:val="14"/>
                <w:color w:val="auto"/>
                <w:w w:val="95"/>
              </w:rPr>
              <w:t>(Address of principal executive offices)</w:t>
            </w:r>
          </w:p>
        </w:tc>
        <w:tc>
          <w:tcPr>
            <w:tcW w:w="2620" w:type="dxa"/>
            <w:vAlign w:val="bottom"/>
          </w:tcPr>
          <w:p>
            <w:pPr>
              <w:jc w:val="center"/>
              <w:ind w:right="788"/>
              <w:spacing w:after="0" w:line="145" w:lineRule="exact"/>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r>
        <w:trPr>
          <w:trHeight w:val="152"/>
        </w:trPr>
        <w:tc>
          <w:tcPr>
            <w:tcW w:w="2600" w:type="dxa"/>
            <w:vAlign w:val="bottom"/>
          </w:tcPr>
          <w:p>
            <w:pPr>
              <w:spacing w:after="0"/>
              <w:rPr>
                <w:sz w:val="13"/>
                <w:szCs w:val="13"/>
                <w:color w:val="auto"/>
              </w:rPr>
            </w:pPr>
          </w:p>
        </w:tc>
        <w:tc>
          <w:tcPr>
            <w:tcW w:w="2960" w:type="dxa"/>
            <w:vAlign w:val="bottom"/>
            <w:gridSpan w:val="4"/>
          </w:tcPr>
          <w:p>
            <w:pPr>
              <w:jc w:val="center"/>
              <w:ind w:left="348"/>
              <w:spacing w:after="0" w:line="153" w:lineRule="exact"/>
              <w:rPr>
                <w:sz w:val="20"/>
                <w:szCs w:val="20"/>
                <w:color w:val="auto"/>
              </w:rPr>
            </w:pPr>
            <w:r>
              <w:rPr>
                <w:rFonts w:ascii="Arial" w:cs="Arial" w:eastAsia="Arial" w:hAnsi="Arial"/>
                <w:sz w:val="14"/>
                <w:szCs w:val="14"/>
                <w:b w:val="1"/>
                <w:bCs w:val="1"/>
                <w:color w:val="auto"/>
                <w:w w:val="93"/>
              </w:rPr>
              <w:t>(847) 463-3200</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60" w:type="dxa"/>
            <w:vAlign w:val="bottom"/>
            <w:gridSpan w:val="6"/>
          </w:tcPr>
          <w:p>
            <w:pPr>
              <w:jc w:val="center"/>
              <w:ind w:right="100"/>
              <w:spacing w:after="0"/>
              <w:rPr>
                <w:sz w:val="20"/>
                <w:szCs w:val="20"/>
                <w:color w:val="auto"/>
              </w:rPr>
            </w:pPr>
            <w:r>
              <w:rPr>
                <w:rFonts w:ascii="Arial" w:cs="Arial" w:eastAsia="Arial" w:hAnsi="Arial"/>
                <w:sz w:val="14"/>
                <w:szCs w:val="14"/>
                <w:color w:val="auto"/>
                <w:w w:val="92"/>
              </w:rPr>
              <w:t>(Registrant’s telephone number, including area code)</w:t>
            </w:r>
          </w:p>
        </w:tc>
        <w:tc>
          <w:tcPr>
            <w:tcW w:w="2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2600" w:type="dxa"/>
            <w:vAlign w:val="bottom"/>
          </w:tcPr>
          <w:p>
            <w:pPr>
              <w:spacing w:after="0"/>
              <w:rPr>
                <w:sz w:val="5"/>
                <w:szCs w:val="5"/>
                <w:color w:val="auto"/>
              </w:rPr>
            </w:pPr>
          </w:p>
        </w:tc>
        <w:tc>
          <w:tcPr>
            <w:tcW w:w="400" w:type="dxa"/>
            <w:vAlign w:val="bottom"/>
            <w:gridSpan w:val="3"/>
          </w:tcPr>
          <w:p>
            <w:pPr>
              <w:spacing w:after="0"/>
              <w:rPr>
                <w:sz w:val="5"/>
                <w:szCs w:val="5"/>
                <w:color w:val="auto"/>
              </w:rPr>
            </w:pPr>
          </w:p>
        </w:tc>
        <w:tc>
          <w:tcPr>
            <w:tcW w:w="2560" w:type="dxa"/>
            <w:vAlign w:val="bottom"/>
            <w:tcBorders>
              <w:bottom w:val="single" w:sz="8" w:color="auto"/>
            </w:tcBorders>
          </w:tcPr>
          <w:p>
            <w:pPr>
              <w:spacing w:after="0"/>
              <w:rPr>
                <w:sz w:val="5"/>
                <w:szCs w:val="5"/>
                <w:color w:val="auto"/>
              </w:rPr>
            </w:pPr>
          </w:p>
        </w:tc>
        <w:tc>
          <w:tcPr>
            <w:tcW w:w="400" w:type="dxa"/>
            <w:vAlign w:val="bottom"/>
            <w:gridSpan w:val="3"/>
          </w:tcPr>
          <w:p>
            <w:pPr>
              <w:spacing w:after="0"/>
              <w:rPr>
                <w:sz w:val="5"/>
                <w:szCs w:val="5"/>
                <w:color w:val="auto"/>
              </w:rPr>
            </w:pPr>
          </w:p>
        </w:tc>
        <w:tc>
          <w:tcPr>
            <w:tcW w:w="2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2600" w:type="dxa"/>
            <w:vAlign w:val="bottom"/>
          </w:tcPr>
          <w:p>
            <w:pPr>
              <w:spacing w:after="0"/>
              <w:rPr>
                <w:sz w:val="19"/>
                <w:szCs w:val="19"/>
                <w:color w:val="auto"/>
              </w:rPr>
            </w:pPr>
          </w:p>
        </w:tc>
        <w:tc>
          <w:tcPr>
            <w:tcW w:w="3360" w:type="dxa"/>
            <w:vAlign w:val="bottom"/>
            <w:gridSpan w:val="7"/>
          </w:tcPr>
          <w:p>
            <w:pPr>
              <w:jc w:val="center"/>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2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2600" w:type="dxa"/>
            <w:vAlign w:val="bottom"/>
          </w:tcPr>
          <w:p>
            <w:pPr>
              <w:jc w:val="center"/>
              <w:ind w:left="8"/>
              <w:spacing w:after="0"/>
              <w:rPr>
                <w:sz w:val="20"/>
                <w:szCs w:val="20"/>
                <w:color w:val="auto"/>
              </w:rPr>
            </w:pPr>
            <w:r>
              <w:rPr>
                <w:rFonts w:ascii="Arial" w:cs="Arial" w:eastAsia="Arial" w:hAnsi="Arial"/>
                <w:sz w:val="14"/>
                <w:szCs w:val="14"/>
                <w:b w:val="1"/>
                <w:bCs w:val="1"/>
                <w:color w:val="auto"/>
                <w:w w:val="89"/>
              </w:rPr>
              <w:t>Title of each class</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9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2"/>
              </w:rPr>
              <w:t>Trading Symbol(s)</w:t>
            </w:r>
          </w:p>
        </w:tc>
        <w:tc>
          <w:tcPr>
            <w:tcW w:w="2620" w:type="dxa"/>
            <w:vAlign w:val="bottom"/>
          </w:tcPr>
          <w:p>
            <w:pPr>
              <w:jc w:val="center"/>
              <w:ind w:right="88"/>
              <w:spacing w:after="0"/>
              <w:rPr>
                <w:sz w:val="20"/>
                <w:szCs w:val="20"/>
                <w:color w:val="auto"/>
              </w:rPr>
            </w:pPr>
            <w:r>
              <w:rPr>
                <w:rFonts w:ascii="Arial" w:cs="Arial" w:eastAsia="Arial" w:hAnsi="Arial"/>
                <w:sz w:val="14"/>
                <w:szCs w:val="14"/>
                <w:b w:val="1"/>
                <w:bCs w:val="1"/>
                <w:color w:val="auto"/>
                <w:w w:val="90"/>
              </w:rPr>
              <w:t>Name of each exchange on which</w:t>
            </w:r>
          </w:p>
        </w:tc>
        <w:tc>
          <w:tcPr>
            <w:tcW w:w="0" w:type="dxa"/>
            <w:vAlign w:val="bottom"/>
          </w:tcPr>
          <w:p>
            <w:pPr>
              <w:spacing w:after="0"/>
              <w:rPr>
                <w:sz w:val="1"/>
                <w:szCs w:val="1"/>
                <w:color w:val="auto"/>
              </w:rPr>
            </w:pPr>
          </w:p>
        </w:tc>
      </w:tr>
      <w:tr>
        <w:trPr>
          <w:trHeight w:val="186"/>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20" w:type="dxa"/>
            <w:vAlign w:val="bottom"/>
          </w:tcPr>
          <w:p>
            <w:pPr>
              <w:jc w:val="center"/>
              <w:ind w:right="88"/>
              <w:spacing w:after="0"/>
              <w:rPr>
                <w:sz w:val="20"/>
                <w:szCs w:val="20"/>
                <w:color w:val="auto"/>
              </w:rPr>
            </w:pPr>
            <w:r>
              <w:rPr>
                <w:rFonts w:ascii="Arial" w:cs="Arial" w:eastAsia="Arial" w:hAnsi="Arial"/>
                <w:sz w:val="14"/>
                <w:szCs w:val="14"/>
                <w:b w:val="1"/>
                <w:bCs w:val="1"/>
                <w:color w:val="auto"/>
                <w:w w:val="91"/>
              </w:rPr>
              <w:t>registered</w:t>
            </w:r>
          </w:p>
        </w:tc>
        <w:tc>
          <w:tcPr>
            <w:tcW w:w="0" w:type="dxa"/>
            <w:vAlign w:val="bottom"/>
          </w:tcPr>
          <w:p>
            <w:pPr>
              <w:spacing w:after="0"/>
              <w:rPr>
                <w:sz w:val="1"/>
                <w:szCs w:val="1"/>
                <w:color w:val="auto"/>
              </w:rPr>
            </w:pPr>
          </w:p>
        </w:tc>
      </w:tr>
      <w:tr>
        <w:trPr>
          <w:trHeight w:val="25"/>
        </w:trPr>
        <w:tc>
          <w:tcPr>
            <w:tcW w:w="2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vMerge w:val="restart"/>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vMerge w:val="restart"/>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600" w:type="dxa"/>
            <w:vAlign w:val="bottom"/>
          </w:tcPr>
          <w:p>
            <w:pPr>
              <w:jc w:val="center"/>
              <w:ind w:left="8"/>
              <w:spacing w:after="0"/>
              <w:rPr>
                <w:sz w:val="20"/>
                <w:szCs w:val="20"/>
                <w:color w:val="auto"/>
              </w:rPr>
            </w:pPr>
            <w:r>
              <w:rPr>
                <w:rFonts w:ascii="Arial" w:cs="Arial" w:eastAsia="Arial" w:hAnsi="Arial"/>
                <w:sz w:val="14"/>
                <w:szCs w:val="14"/>
                <w:color w:val="auto"/>
                <w:w w:val="91"/>
              </w:rPr>
              <w:t>Common Stock, par value $0.001 per share</w:t>
            </w:r>
          </w:p>
        </w:tc>
        <w:tc>
          <w:tcPr>
            <w:tcW w:w="10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0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PCTY</w:t>
            </w:r>
          </w:p>
        </w:tc>
        <w:tc>
          <w:tcPr>
            <w:tcW w:w="2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620" w:type="dxa"/>
            <w:vAlign w:val="bottom"/>
          </w:tcPr>
          <w:p>
            <w:pPr>
              <w:jc w:val="center"/>
              <w:ind w:right="88"/>
              <w:spacing w:after="0"/>
              <w:rPr>
                <w:sz w:val="20"/>
                <w:szCs w:val="20"/>
                <w:color w:val="auto"/>
              </w:rPr>
            </w:pPr>
            <w:r>
              <w:rPr>
                <w:rFonts w:ascii="Arial" w:cs="Arial" w:eastAsia="Arial" w:hAnsi="Arial"/>
                <w:sz w:val="14"/>
                <w:szCs w:val="14"/>
                <w:color w:val="auto"/>
                <w:w w:val="96"/>
              </w:rPr>
              <w:t>The NASDAQ Global Select Market LLC</w:t>
            </w:r>
          </w:p>
        </w:tc>
        <w:tc>
          <w:tcPr>
            <w:tcW w:w="0" w:type="dxa"/>
            <w:vAlign w:val="bottom"/>
          </w:tcPr>
          <w:p>
            <w:pPr>
              <w:spacing w:after="0"/>
              <w:rPr>
                <w:sz w:val="1"/>
                <w:szCs w:val="1"/>
                <w:color w:val="auto"/>
              </w:rPr>
            </w:pPr>
          </w:p>
        </w:tc>
      </w:tr>
    </w:tbl>
    <w:p>
      <w:pPr>
        <w:spacing w:after="0" w:line="204" w:lineRule="exact"/>
        <w:rPr>
          <w:sz w:val="24"/>
          <w:szCs w:val="24"/>
          <w:color w:val="auto"/>
        </w:rPr>
      </w:pPr>
    </w:p>
    <w:p>
      <w:pPr>
        <w:ind w:right="400" w:firstLine="441"/>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3" w:lineRule="exact"/>
        <w:rPr>
          <w:sz w:val="24"/>
          <w:szCs w:val="24"/>
          <w:color w:val="auto"/>
        </w:rPr>
      </w:pPr>
    </w:p>
    <w:p>
      <w:pPr>
        <w:ind w:firstLine="441"/>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12" w:lineRule="exact"/>
        <w:rPr>
          <w:sz w:val="24"/>
          <w:szCs w:val="24"/>
          <w:color w:val="auto"/>
        </w:rPr>
      </w:pPr>
    </w:p>
    <w:p>
      <w:pPr>
        <w:jc w:val="both"/>
        <w:ind w:right="40" w:firstLine="441"/>
        <w:spacing w:after="0" w:line="29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4" w:lineRule="exact"/>
        <w:rPr>
          <w:sz w:val="24"/>
          <w:szCs w:val="24"/>
          <w:color w:val="auto"/>
        </w:rPr>
      </w:pPr>
    </w:p>
    <w:tbl>
      <w:tblPr>
        <w:tblLayout w:type="fixed"/>
        <w:tblInd w:w="1240" w:type="dxa"/>
        <w:tblCellMar>
          <w:top w:w="0" w:type="dxa"/>
          <w:left w:w="0" w:type="dxa"/>
          <w:bottom w:w="0" w:type="dxa"/>
          <w:right w:w="0" w:type="dxa"/>
        </w:tblCellMar>
      </w:tblPr>
      <w:tr>
        <w:trPr>
          <w:trHeight w:val="226"/>
        </w:trPr>
        <w:tc>
          <w:tcPr>
            <w:tcW w:w="3300" w:type="dxa"/>
            <w:vAlign w:val="bottom"/>
          </w:tcPr>
          <w:p>
            <w:pPr>
              <w:spacing w:after="0" w:line="161" w:lineRule="exact"/>
              <w:rPr>
                <w:sz w:val="20"/>
                <w:szCs w:val="20"/>
                <w:color w:val="auto"/>
              </w:rPr>
            </w:pPr>
            <w:r>
              <w:rPr>
                <w:rFonts w:ascii="Arial" w:cs="Arial" w:eastAsia="Arial" w:hAnsi="Arial"/>
                <w:sz w:val="14"/>
                <w:szCs w:val="14"/>
                <w:color w:val="auto"/>
              </w:rPr>
              <w:t>Large Accelerated Filer</w:t>
            </w:r>
            <w:r>
              <w:rPr>
                <w:rFonts w:ascii="MS PGothic" w:cs="MS PGothic" w:eastAsia="MS PGothic" w:hAnsi="MS PGothic"/>
                <w:sz w:val="14"/>
                <w:szCs w:val="14"/>
                <w:color w:val="auto"/>
              </w:rPr>
              <w:t>☒</w:t>
            </w:r>
          </w:p>
        </w:tc>
        <w:tc>
          <w:tcPr>
            <w:tcW w:w="3180" w:type="dxa"/>
            <w:vAlign w:val="bottom"/>
          </w:tcPr>
          <w:p>
            <w:pPr>
              <w:ind w:left="1820"/>
              <w:spacing w:after="0"/>
              <w:rPr>
                <w:sz w:val="20"/>
                <w:szCs w:val="20"/>
                <w:color w:val="auto"/>
              </w:rPr>
            </w:pPr>
            <w:r>
              <w:rPr>
                <w:rFonts w:ascii="Arial" w:cs="Arial" w:eastAsia="Arial" w:hAnsi="Arial"/>
                <w:sz w:val="14"/>
                <w:szCs w:val="14"/>
                <w:color w:val="auto"/>
              </w:rPr>
              <w:t>Accelerated Filer</w:t>
            </w:r>
          </w:p>
        </w:tc>
        <w:tc>
          <w:tcPr>
            <w:tcW w:w="48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24"/>
        </w:trPr>
        <w:tc>
          <w:tcPr>
            <w:tcW w:w="3300" w:type="dxa"/>
            <w:vAlign w:val="bottom"/>
          </w:tcPr>
          <w:p>
            <w:pPr>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tc>
        <w:tc>
          <w:tcPr>
            <w:tcW w:w="3660" w:type="dxa"/>
            <w:vAlign w:val="bottom"/>
            <w:gridSpan w:val="2"/>
          </w:tcPr>
          <w:p>
            <w:pPr>
              <w:ind w:left="1820"/>
              <w:spacing w:after="0" w:line="161" w:lineRule="exact"/>
              <w:rPr>
                <w:sz w:val="20"/>
                <w:szCs w:val="20"/>
                <w:color w:val="auto"/>
              </w:rPr>
            </w:pPr>
            <w:r>
              <w:rPr>
                <w:rFonts w:ascii="Arial" w:cs="Arial" w:eastAsia="Arial" w:hAnsi="Arial"/>
                <w:sz w:val="14"/>
                <w:szCs w:val="14"/>
                <w:color w:val="auto"/>
                <w:w w:val="93"/>
              </w:rPr>
              <w:t xml:space="preserve">Smaller Reporting Company </w:t>
            </w:r>
            <w:r>
              <w:rPr>
                <w:rFonts w:ascii="MS PGothic" w:cs="MS PGothic" w:eastAsia="MS PGothic" w:hAnsi="MS PGothic"/>
                <w:sz w:val="14"/>
                <w:szCs w:val="14"/>
                <w:color w:val="auto"/>
                <w:w w:val="93"/>
              </w:rPr>
              <w:t>☐</w:t>
            </w:r>
          </w:p>
        </w:tc>
      </w:tr>
      <w:tr>
        <w:trPr>
          <w:trHeight w:val="324"/>
        </w:trPr>
        <w:tc>
          <w:tcPr>
            <w:tcW w:w="3300" w:type="dxa"/>
            <w:vAlign w:val="bottom"/>
          </w:tcPr>
          <w:p>
            <w:pPr>
              <w:spacing w:after="0"/>
              <w:rPr>
                <w:sz w:val="24"/>
                <w:szCs w:val="24"/>
                <w:color w:val="auto"/>
              </w:rPr>
            </w:pPr>
          </w:p>
        </w:tc>
        <w:tc>
          <w:tcPr>
            <w:tcW w:w="3660" w:type="dxa"/>
            <w:vAlign w:val="bottom"/>
            <w:gridSpan w:val="2"/>
          </w:tcPr>
          <w:p>
            <w:pPr>
              <w:ind w:left="1820"/>
              <w:spacing w:after="0" w:line="161" w:lineRule="exact"/>
              <w:rPr>
                <w:sz w:val="20"/>
                <w:szCs w:val="20"/>
                <w:color w:val="auto"/>
              </w:rPr>
            </w:pPr>
            <w:r>
              <w:rPr>
                <w:rFonts w:ascii="Arial" w:cs="Arial" w:eastAsia="Arial" w:hAnsi="Arial"/>
                <w:sz w:val="14"/>
                <w:szCs w:val="14"/>
                <w:color w:val="auto"/>
                <w:w w:val="95"/>
              </w:rPr>
              <w:t xml:space="preserve">Emerging Growth Company </w:t>
            </w:r>
            <w:r>
              <w:rPr>
                <w:rFonts w:ascii="MS PGothic" w:cs="MS PGothic" w:eastAsia="MS PGothic" w:hAnsi="MS PGothic"/>
                <w:sz w:val="14"/>
                <w:szCs w:val="14"/>
                <w:color w:val="auto"/>
                <w:w w:val="95"/>
              </w:rPr>
              <w:t>☐</w:t>
            </w:r>
          </w:p>
        </w:tc>
      </w:tr>
    </w:tbl>
    <w:p>
      <w:pPr>
        <w:spacing w:after="0" w:line="180" w:lineRule="exact"/>
        <w:rPr>
          <w:sz w:val="24"/>
          <w:szCs w:val="24"/>
          <w:color w:val="auto"/>
        </w:rPr>
      </w:pPr>
    </w:p>
    <w:p>
      <w:pPr>
        <w:ind w:right="320" w:firstLine="441"/>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ind w:left="44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77" w:lineRule="exact"/>
        <w:rPr>
          <w:sz w:val="24"/>
          <w:szCs w:val="24"/>
          <w:color w:val="auto"/>
        </w:rPr>
      </w:pPr>
    </w:p>
    <w:p>
      <w:pPr>
        <w:ind w:right="80" w:firstLine="441"/>
        <w:spacing w:after="0" w:line="253" w:lineRule="auto"/>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 54,479,322 shares of Common Stock, $0.001 par value per share, as of April 30,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405130</wp:posOffset>
            </wp:positionV>
            <wp:extent cx="649795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-14605</wp:posOffset>
            </wp:positionV>
            <wp:extent cx="64979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27940</wp:posOffset>
            </wp:positionV>
            <wp:extent cx="649795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00"/>
          </w:cols>
          <w:pgMar w:left="840" w:top="665" w:right="859"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Page</w:t>
            </w:r>
          </w:p>
        </w:tc>
      </w:tr>
      <w:tr>
        <w:trPr>
          <w:trHeight w:val="385"/>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60" w:type="dxa"/>
            <w:vAlign w:val="bottom"/>
            <w:gridSpan w:val="16"/>
          </w:tcPr>
          <w:p>
            <w:pPr>
              <w:jc w:val="center"/>
              <w:ind w:right="2880"/>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 FINANCIAL INFORMATION</w:t>
              </w:r>
            </w:hyperlink>
          </w:p>
        </w:tc>
        <w:tc>
          <w:tcPr>
            <w:tcW w:w="4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800" w:type="dxa"/>
            <w:vAlign w:val="bottom"/>
            <w:tcBorders>
              <w:bottom w:val="single" w:sz="8" w:color="0000EE"/>
            </w:tcBorders>
            <w:gridSpan w:val="8"/>
          </w:tcPr>
          <w:p>
            <w:pPr>
              <w:spacing w:after="0"/>
              <w:rPr>
                <w:rFonts w:ascii="Arial" w:cs="Arial" w:eastAsia="Arial" w:hAnsi="Arial"/>
                <w:sz w:val="18"/>
                <w:szCs w:val="18"/>
                <w:color w:val="0000EE"/>
                <w:w w:val="96"/>
              </w:rPr>
            </w:pPr>
            <w:hyperlink w:anchor="page3">
              <w:r>
                <w:rPr>
                  <w:rFonts w:ascii="Arial" w:cs="Arial" w:eastAsia="Arial" w:hAnsi="Arial"/>
                  <w:sz w:val="18"/>
                  <w:szCs w:val="18"/>
                  <w:color w:val="0000EE"/>
                  <w:w w:val="96"/>
                </w:rPr>
                <w:t>ITEM 1. FINANCIAL STATEMENTS</w:t>
              </w:r>
            </w:hyperlink>
          </w:p>
        </w:tc>
        <w:tc>
          <w:tcPr>
            <w:tcW w:w="5620" w:type="dxa"/>
            <w:vAlign w:val="bottom"/>
            <w:gridSpan w:val="15"/>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288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Unaudited Consolidated Balance Sheets</w:t>
              </w:r>
            </w:hyperlink>
          </w:p>
        </w:tc>
        <w:tc>
          <w:tcPr>
            <w:tcW w:w="5540" w:type="dxa"/>
            <w:vAlign w:val="bottom"/>
            <w:gridSpan w:val="13"/>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412"/>
        </w:trPr>
        <w:tc>
          <w:tcPr>
            <w:tcW w:w="20" w:type="dxa"/>
            <w:vAlign w:val="bottom"/>
          </w:tcPr>
          <w:p>
            <w:pPr>
              <w:spacing w:after="0"/>
              <w:rPr>
                <w:sz w:val="24"/>
                <w:szCs w:val="24"/>
                <w:color w:val="auto"/>
              </w:rPr>
            </w:pPr>
          </w:p>
        </w:tc>
        <w:tc>
          <w:tcPr>
            <w:tcW w:w="8420" w:type="dxa"/>
            <w:vAlign w:val="bottom"/>
            <w:gridSpan w:val="2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Unaudited Consolidated Statements of Operations and Comprehensive Income</w:t>
              </w:r>
            </w:hyperlink>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412"/>
        </w:trPr>
        <w:tc>
          <w:tcPr>
            <w:tcW w:w="20" w:type="dxa"/>
            <w:vAlign w:val="bottom"/>
          </w:tcPr>
          <w:p>
            <w:pPr>
              <w:spacing w:after="0"/>
              <w:rPr>
                <w:sz w:val="24"/>
                <w:szCs w:val="24"/>
                <w:color w:val="auto"/>
              </w:rPr>
            </w:pPr>
          </w:p>
        </w:tc>
        <w:tc>
          <w:tcPr>
            <w:tcW w:w="512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Unaudited Consolidated Statement of Changes in Stockholders’ Equity</w:t>
              </w:r>
            </w:hyperlink>
          </w:p>
        </w:tc>
        <w:tc>
          <w:tcPr>
            <w:tcW w:w="540" w:type="dxa"/>
            <w:vAlign w:val="bottom"/>
            <w:tcBorders>
              <w:top w:val="single" w:sz="8" w:color="0000EE"/>
            </w:tcBorders>
            <w:gridSpan w:val="3"/>
          </w:tcPr>
          <w:p>
            <w:pPr>
              <w:spacing w:after="0"/>
              <w:rPr>
                <w:sz w:val="24"/>
                <w:szCs w:val="24"/>
                <w:color w:val="auto"/>
              </w:rPr>
            </w:pPr>
          </w:p>
        </w:tc>
        <w:tc>
          <w:tcPr>
            <w:tcW w:w="2760" w:type="dxa"/>
            <w:vAlign w:val="bottom"/>
            <w:gridSpan w:val="4"/>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412"/>
        </w:trPr>
        <w:tc>
          <w:tcPr>
            <w:tcW w:w="20" w:type="dxa"/>
            <w:vAlign w:val="bottom"/>
          </w:tcPr>
          <w:p>
            <w:pPr>
              <w:spacing w:after="0"/>
              <w:rPr>
                <w:sz w:val="24"/>
                <w:szCs w:val="24"/>
                <w:color w:val="auto"/>
              </w:rPr>
            </w:pPr>
          </w:p>
        </w:tc>
        <w:tc>
          <w:tcPr>
            <w:tcW w:w="36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Unaudited Consolidated Statements of Cash Flows</w:t>
              </w:r>
            </w:hyperlink>
          </w:p>
        </w:tc>
        <w:tc>
          <w:tcPr>
            <w:tcW w:w="4760" w:type="dxa"/>
            <w:vAlign w:val="bottom"/>
            <w:gridSpan w:val="10"/>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412"/>
        </w:trPr>
        <w:tc>
          <w:tcPr>
            <w:tcW w:w="20" w:type="dxa"/>
            <w:vAlign w:val="bottom"/>
          </w:tcPr>
          <w:p>
            <w:pPr>
              <w:spacing w:after="0"/>
              <w:rPr>
                <w:sz w:val="24"/>
                <w:szCs w:val="24"/>
                <w:color w:val="auto"/>
              </w:rPr>
            </w:pPr>
          </w:p>
        </w:tc>
        <w:tc>
          <w:tcPr>
            <w:tcW w:w="42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the Unaudited Consolidated Financial Statements</w:t>
              </w:r>
            </w:hyperlink>
          </w:p>
        </w:tc>
        <w:tc>
          <w:tcPr>
            <w:tcW w:w="4220" w:type="dxa"/>
            <w:vAlign w:val="bottom"/>
            <w:gridSpan w:val="8"/>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412"/>
        </w:trPr>
        <w:tc>
          <w:tcPr>
            <w:tcW w:w="20" w:type="dxa"/>
            <w:vAlign w:val="bottom"/>
          </w:tcPr>
          <w:p>
            <w:pPr>
              <w:spacing w:after="0"/>
              <w:rPr>
                <w:sz w:val="24"/>
                <w:szCs w:val="24"/>
                <w:color w:val="auto"/>
              </w:rPr>
            </w:pPr>
          </w:p>
        </w:tc>
        <w:tc>
          <w:tcPr>
            <w:tcW w:w="8420" w:type="dxa"/>
            <w:vAlign w:val="bottom"/>
            <w:gridSpan w:val="23"/>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2. MANAGEMENT’S DISCUSSION AND ANALYSIS OF FINANCIAL CONDITION AND RESULTS</w:t>
              </w:r>
            </w:hyperlink>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1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OF OPERATIONS</w:t>
              </w:r>
            </w:hyperlink>
          </w:p>
        </w:tc>
        <w:tc>
          <w:tcPr>
            <w:tcW w:w="280" w:type="dxa"/>
            <w:vAlign w:val="bottom"/>
          </w:tcPr>
          <w:p>
            <w:pPr>
              <w:spacing w:after="0"/>
              <w:rPr>
                <w:sz w:val="17"/>
                <w:szCs w:val="17"/>
                <w:color w:val="auto"/>
              </w:rPr>
            </w:pPr>
          </w:p>
        </w:tc>
        <w:tc>
          <w:tcPr>
            <w:tcW w:w="4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800" w:type="dxa"/>
            <w:vAlign w:val="bottom"/>
            <w:tcBorders>
              <w:bottom w:val="single" w:sz="8" w:color="0000EE"/>
            </w:tcBorders>
            <w:gridSpan w:val="21"/>
          </w:tcPr>
          <w:p>
            <w:pPr>
              <w:spacing w:after="0"/>
              <w:rPr>
                <w:rFonts w:ascii="Arial" w:cs="Arial" w:eastAsia="Arial" w:hAnsi="Arial"/>
                <w:sz w:val="18"/>
                <w:szCs w:val="18"/>
                <w:color w:val="0000EE"/>
                <w:w w:val="97"/>
              </w:rPr>
            </w:pPr>
            <w:hyperlink w:anchor="page33">
              <w:r>
                <w:rPr>
                  <w:rFonts w:ascii="Arial" w:cs="Arial" w:eastAsia="Arial" w:hAnsi="Arial"/>
                  <w:sz w:val="18"/>
                  <w:szCs w:val="18"/>
                  <w:color w:val="0000EE"/>
                  <w:w w:val="97"/>
                </w:rPr>
                <w:t>ITEM 3. QUANTITATIVE AND QUALITATIVE DISCLOSURES ABOUT MARKET RISK</w:t>
              </w:r>
            </w:hyperlink>
          </w:p>
        </w:tc>
        <w:tc>
          <w:tcPr>
            <w:tcW w:w="1620" w:type="dxa"/>
            <w:vAlign w:val="bottom"/>
            <w:gridSpan w:val="2"/>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r>
      <w:tr>
        <w:trPr>
          <w:trHeight w:val="412"/>
        </w:trPr>
        <w:tc>
          <w:tcPr>
            <w:tcW w:w="20" w:type="dxa"/>
            <w:vAlign w:val="bottom"/>
          </w:tcPr>
          <w:p>
            <w:pPr>
              <w:spacing w:after="0"/>
              <w:rPr>
                <w:sz w:val="24"/>
                <w:szCs w:val="24"/>
                <w:color w:val="auto"/>
              </w:rPr>
            </w:pPr>
          </w:p>
        </w:tc>
        <w:tc>
          <w:tcPr>
            <w:tcW w:w="3260" w:type="dxa"/>
            <w:vAlign w:val="bottom"/>
            <w:tcBorders>
              <w:bottom w:val="single" w:sz="8" w:color="0000EE"/>
            </w:tcBorders>
            <w:gridSpan w:val="12"/>
          </w:tcPr>
          <w:p>
            <w:pPr>
              <w:spacing w:after="0"/>
              <w:rPr>
                <w:rFonts w:ascii="Arial" w:cs="Arial" w:eastAsia="Arial" w:hAnsi="Arial"/>
                <w:sz w:val="18"/>
                <w:szCs w:val="18"/>
                <w:color w:val="0000EE"/>
                <w:w w:val="94"/>
              </w:rPr>
            </w:pPr>
            <w:hyperlink w:anchor="page34">
              <w:r>
                <w:rPr>
                  <w:rFonts w:ascii="Arial" w:cs="Arial" w:eastAsia="Arial" w:hAnsi="Arial"/>
                  <w:sz w:val="18"/>
                  <w:szCs w:val="18"/>
                  <w:color w:val="0000EE"/>
                  <w:w w:val="94"/>
                </w:rPr>
                <w:t>ITEM 4. CONTROLS AND PROCEDURES</w:t>
              </w:r>
            </w:hyperlink>
          </w:p>
        </w:tc>
        <w:tc>
          <w:tcPr>
            <w:tcW w:w="5160" w:type="dxa"/>
            <w:vAlign w:val="bottom"/>
            <w:gridSpan w:val="11"/>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r>
      <w:tr>
        <w:trPr>
          <w:trHeight w:val="412"/>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20" w:type="dxa"/>
            <w:vAlign w:val="bottom"/>
            <w:gridSpan w:val="15"/>
          </w:tcPr>
          <w:p>
            <w:pPr>
              <w:jc w:val="center"/>
              <w:ind w:right="3020"/>
              <w:spacing w:after="0"/>
              <w:rPr>
                <w:rFonts w:ascii="Arial" w:cs="Arial" w:eastAsia="Arial" w:hAnsi="Arial"/>
                <w:sz w:val="18"/>
                <w:szCs w:val="18"/>
                <w:color w:val="0000EE"/>
                <w:w w:val="95"/>
              </w:rPr>
            </w:pPr>
            <w:hyperlink w:anchor="page35">
              <w:r>
                <w:rPr>
                  <w:rFonts w:ascii="Arial" w:cs="Arial" w:eastAsia="Arial" w:hAnsi="Arial"/>
                  <w:sz w:val="18"/>
                  <w:szCs w:val="18"/>
                  <w:color w:val="0000EE"/>
                  <w:w w:val="95"/>
                </w:rPr>
                <w:t>PART II. OTHER INFORMATION</w:t>
              </w:r>
            </w:hyperlink>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2820" w:type="dxa"/>
            <w:vAlign w:val="bottom"/>
            <w:gridSpan w:val="9"/>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1. LEGAL PROCEEDINGS</w:t>
              </w:r>
            </w:hyperlink>
          </w:p>
        </w:tc>
        <w:tc>
          <w:tcPr>
            <w:tcW w:w="2560" w:type="dxa"/>
            <w:vAlign w:val="bottom"/>
            <w:tcBorders>
              <w:top w:val="single" w:sz="8" w:color="0000EE"/>
            </w:tcBorders>
            <w:gridSpan w:val="8"/>
          </w:tcPr>
          <w:p>
            <w:pPr>
              <w:spacing w:after="0"/>
              <w:rPr>
                <w:sz w:val="24"/>
                <w:szCs w:val="24"/>
                <w:color w:val="auto"/>
              </w:rPr>
            </w:pPr>
          </w:p>
        </w:tc>
        <w:tc>
          <w:tcPr>
            <w:tcW w:w="3040" w:type="dxa"/>
            <w:vAlign w:val="bottom"/>
            <w:gridSpan w:val="6"/>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r>
      <w:tr>
        <w:trPr>
          <w:trHeight w:val="412"/>
        </w:trPr>
        <w:tc>
          <w:tcPr>
            <w:tcW w:w="20" w:type="dxa"/>
            <w:vAlign w:val="bottom"/>
          </w:tcPr>
          <w:p>
            <w:pPr>
              <w:spacing w:after="0"/>
              <w:rPr>
                <w:sz w:val="24"/>
                <w:szCs w:val="24"/>
                <w:color w:val="auto"/>
              </w:rPr>
            </w:pPr>
          </w:p>
        </w:tc>
        <w:tc>
          <w:tcPr>
            <w:tcW w:w="20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4"/>
              </w:rPr>
            </w:pPr>
            <w:hyperlink w:anchor="page35">
              <w:r>
                <w:rPr>
                  <w:rFonts w:ascii="Arial" w:cs="Arial" w:eastAsia="Arial" w:hAnsi="Arial"/>
                  <w:sz w:val="18"/>
                  <w:szCs w:val="18"/>
                  <w:color w:val="0000EE"/>
                  <w:w w:val="94"/>
                </w:rPr>
                <w:t>ITEM 1A. RISK FACTORS</w:t>
              </w:r>
            </w:hyperlink>
          </w:p>
        </w:tc>
        <w:tc>
          <w:tcPr>
            <w:tcW w:w="480" w:type="dxa"/>
            <w:vAlign w:val="bottom"/>
            <w:tcBorders>
              <w:top w:val="single" w:sz="8" w:color="0000EE"/>
            </w:tcBorders>
          </w:tcPr>
          <w:p>
            <w:pPr>
              <w:spacing w:after="0"/>
              <w:rPr>
                <w:sz w:val="24"/>
                <w:szCs w:val="24"/>
                <w:color w:val="auto"/>
              </w:rPr>
            </w:pPr>
          </w:p>
        </w:tc>
        <w:tc>
          <w:tcPr>
            <w:tcW w:w="5900" w:type="dxa"/>
            <w:vAlign w:val="bottom"/>
            <w:gridSpan w:val="18"/>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r>
      <w:tr>
        <w:trPr>
          <w:trHeight w:val="412"/>
        </w:trPr>
        <w:tc>
          <w:tcPr>
            <w:tcW w:w="20" w:type="dxa"/>
            <w:vAlign w:val="bottom"/>
          </w:tcPr>
          <w:p>
            <w:pPr>
              <w:spacing w:after="0"/>
              <w:rPr>
                <w:sz w:val="24"/>
                <w:szCs w:val="24"/>
                <w:color w:val="auto"/>
              </w:rPr>
            </w:pPr>
          </w:p>
        </w:tc>
        <w:tc>
          <w:tcPr>
            <w:tcW w:w="8420" w:type="dxa"/>
            <w:vAlign w:val="bottom"/>
            <w:gridSpan w:val="2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2. UNREGISTERED SALES OF EQUITY SECURITIES AND USE OF PROCEEDS</w:t>
              </w:r>
            </w:hyperlink>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r>
      <w:tr>
        <w:trPr>
          <w:trHeight w:val="412"/>
        </w:trPr>
        <w:tc>
          <w:tcPr>
            <w:tcW w:w="20" w:type="dxa"/>
            <w:vAlign w:val="bottom"/>
          </w:tcPr>
          <w:p>
            <w:pPr>
              <w:spacing w:after="0"/>
              <w:rPr>
                <w:sz w:val="24"/>
                <w:szCs w:val="24"/>
                <w:color w:val="auto"/>
              </w:rPr>
            </w:pPr>
          </w:p>
        </w:tc>
        <w:tc>
          <w:tcPr>
            <w:tcW w:w="384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4"/>
              </w:rPr>
            </w:pPr>
            <w:hyperlink w:anchor="page35">
              <w:r>
                <w:rPr>
                  <w:rFonts w:ascii="Arial" w:cs="Arial" w:eastAsia="Arial" w:hAnsi="Arial"/>
                  <w:sz w:val="18"/>
                  <w:szCs w:val="18"/>
                  <w:color w:val="0000EE"/>
                  <w:w w:val="94"/>
                </w:rPr>
                <w:t>ITEM 3. DEFAULTS UPON SENIOR SECURITIES</w:t>
              </w:r>
            </w:hyperlink>
          </w:p>
        </w:tc>
        <w:tc>
          <w:tcPr>
            <w:tcW w:w="2880" w:type="dxa"/>
            <w:vAlign w:val="bottom"/>
            <w:tcBorders>
              <w:top w:val="single" w:sz="8" w:color="0000EE"/>
            </w:tcBorders>
            <w:gridSpan w:val="6"/>
          </w:tcPr>
          <w:p>
            <w:pPr>
              <w:spacing w:after="0"/>
              <w:rPr>
                <w:sz w:val="24"/>
                <w:szCs w:val="24"/>
                <w:color w:val="auto"/>
              </w:rPr>
            </w:pPr>
          </w:p>
        </w:tc>
        <w:tc>
          <w:tcPr>
            <w:tcW w:w="1700" w:type="dxa"/>
            <w:vAlign w:val="bottom"/>
            <w:gridSpan w:val="3"/>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r>
      <w:tr>
        <w:trPr>
          <w:trHeight w:val="412"/>
        </w:trPr>
        <w:tc>
          <w:tcPr>
            <w:tcW w:w="20" w:type="dxa"/>
            <w:vAlign w:val="bottom"/>
          </w:tcPr>
          <w:p>
            <w:pPr>
              <w:spacing w:after="0"/>
              <w:rPr>
                <w:sz w:val="24"/>
                <w:szCs w:val="24"/>
                <w:color w:val="auto"/>
              </w:rPr>
            </w:pPr>
          </w:p>
        </w:tc>
        <w:tc>
          <w:tcPr>
            <w:tcW w:w="3100" w:type="dxa"/>
            <w:vAlign w:val="bottom"/>
            <w:tcBorders>
              <w:bottom w:val="single" w:sz="8" w:color="0000EE"/>
            </w:tcBorders>
            <w:gridSpan w:val="11"/>
          </w:tcPr>
          <w:p>
            <w:pPr>
              <w:spacing w:after="0"/>
              <w:rPr>
                <w:rFonts w:ascii="Arial" w:cs="Arial" w:eastAsia="Arial" w:hAnsi="Arial"/>
                <w:sz w:val="18"/>
                <w:szCs w:val="18"/>
                <w:color w:val="0000EE"/>
                <w:w w:val="95"/>
              </w:rPr>
            </w:pPr>
            <w:hyperlink w:anchor="page35">
              <w:r>
                <w:rPr>
                  <w:rFonts w:ascii="Arial" w:cs="Arial" w:eastAsia="Arial" w:hAnsi="Arial"/>
                  <w:sz w:val="18"/>
                  <w:szCs w:val="18"/>
                  <w:color w:val="0000EE"/>
                  <w:w w:val="95"/>
                </w:rPr>
                <w:t>ITEM 4. MINE SAFETY DISCLOSURES</w:t>
              </w:r>
            </w:hyperlink>
          </w:p>
        </w:tc>
        <w:tc>
          <w:tcPr>
            <w:tcW w:w="5320" w:type="dxa"/>
            <w:vAlign w:val="bottom"/>
            <w:gridSpan w:val="12"/>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r>
      <w:tr>
        <w:trPr>
          <w:trHeight w:val="412"/>
        </w:trPr>
        <w:tc>
          <w:tcPr>
            <w:tcW w:w="20" w:type="dxa"/>
            <w:vAlign w:val="bottom"/>
          </w:tcPr>
          <w:p>
            <w:pPr>
              <w:spacing w:after="0"/>
              <w:rPr>
                <w:sz w:val="24"/>
                <w:szCs w:val="24"/>
                <w:color w:val="auto"/>
              </w:rPr>
            </w:pPr>
          </w:p>
        </w:tc>
        <w:tc>
          <w:tcPr>
            <w:tcW w:w="2540" w:type="dxa"/>
            <w:vAlign w:val="bottom"/>
            <w:tcBorders>
              <w:bottom w:val="single" w:sz="8" w:color="0000EE"/>
            </w:tcBorders>
            <w:gridSpan w:val="6"/>
          </w:tcPr>
          <w:p>
            <w:pPr>
              <w:spacing w:after="0"/>
              <w:rPr>
                <w:rFonts w:ascii="Arial" w:cs="Arial" w:eastAsia="Arial" w:hAnsi="Arial"/>
                <w:sz w:val="18"/>
                <w:szCs w:val="18"/>
                <w:color w:val="0000EE"/>
                <w:w w:val="96"/>
              </w:rPr>
            </w:pPr>
            <w:hyperlink w:anchor="page35">
              <w:r>
                <w:rPr>
                  <w:rFonts w:ascii="Arial" w:cs="Arial" w:eastAsia="Arial" w:hAnsi="Arial"/>
                  <w:sz w:val="18"/>
                  <w:szCs w:val="18"/>
                  <w:color w:val="0000EE"/>
                  <w:w w:val="96"/>
                </w:rPr>
                <w:t>ITEM 5. OTHER INFORMATION</w:t>
              </w:r>
            </w:hyperlink>
          </w:p>
        </w:tc>
        <w:tc>
          <w:tcPr>
            <w:tcW w:w="5880" w:type="dxa"/>
            <w:vAlign w:val="bottom"/>
            <w:gridSpan w:val="17"/>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r>
      <w:tr>
        <w:trPr>
          <w:trHeight w:val="412"/>
        </w:trPr>
        <w:tc>
          <w:tcPr>
            <w:tcW w:w="20" w:type="dxa"/>
            <w:vAlign w:val="bottom"/>
          </w:tcPr>
          <w:p>
            <w:pPr>
              <w:spacing w:after="0"/>
              <w:rPr>
                <w:sz w:val="24"/>
                <w:szCs w:val="24"/>
                <w:color w:val="auto"/>
              </w:rPr>
            </w:pPr>
          </w:p>
        </w:tc>
        <w:tc>
          <w:tcPr>
            <w:tcW w:w="1480" w:type="dxa"/>
            <w:vAlign w:val="bottom"/>
            <w:tcBorders>
              <w:bottom w:val="single" w:sz="8" w:color="0000EE"/>
            </w:tcBorders>
            <w:gridSpan w:val="3"/>
          </w:tcPr>
          <w:p>
            <w:pPr>
              <w:spacing w:after="0"/>
              <w:rPr>
                <w:rFonts w:ascii="Arial" w:cs="Arial" w:eastAsia="Arial" w:hAnsi="Arial"/>
                <w:sz w:val="18"/>
                <w:szCs w:val="18"/>
                <w:color w:val="0000EE"/>
                <w:w w:val="97"/>
              </w:rPr>
            </w:pPr>
            <w:hyperlink w:anchor="page36">
              <w:r>
                <w:rPr>
                  <w:rFonts w:ascii="Arial" w:cs="Arial" w:eastAsia="Arial" w:hAnsi="Arial"/>
                  <w:sz w:val="18"/>
                  <w:szCs w:val="18"/>
                  <w:color w:val="0000EE"/>
                  <w:w w:val="97"/>
                </w:rPr>
                <w:t>ITEM 6. EXHIBITS</w:t>
              </w:r>
            </w:hyperlink>
          </w:p>
        </w:tc>
        <w:tc>
          <w:tcPr>
            <w:tcW w:w="6940" w:type="dxa"/>
            <w:vAlign w:val="bottom"/>
            <w:gridSpan w:val="20"/>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r>
      <w:tr>
        <w:trPr>
          <w:trHeight w:val="412"/>
        </w:trPr>
        <w:tc>
          <w:tcPr>
            <w:tcW w:w="20" w:type="dxa"/>
            <w:vAlign w:val="bottom"/>
          </w:tcPr>
          <w:p>
            <w:pPr>
              <w:spacing w:after="0"/>
              <w:rPr>
                <w:sz w:val="24"/>
                <w:szCs w:val="24"/>
                <w:color w:val="auto"/>
              </w:rPr>
            </w:pPr>
          </w:p>
        </w:tc>
        <w:tc>
          <w:tcPr>
            <w:tcW w:w="1100" w:type="dxa"/>
            <w:vAlign w:val="bottom"/>
            <w:tcBorders>
              <w:bottom w:val="single" w:sz="8" w:color="0000EE"/>
            </w:tcBorders>
          </w:tcPr>
          <w:p>
            <w:pPr>
              <w:spacing w:after="0"/>
              <w:rPr>
                <w:rFonts w:ascii="Arial" w:cs="Arial" w:eastAsia="Arial" w:hAnsi="Arial"/>
                <w:sz w:val="18"/>
                <w:szCs w:val="18"/>
                <w:color w:val="0000EE"/>
                <w:w w:val="92"/>
              </w:rPr>
            </w:pPr>
            <w:hyperlink w:anchor="page38">
              <w:r>
                <w:rPr>
                  <w:rFonts w:ascii="Arial" w:cs="Arial" w:eastAsia="Arial" w:hAnsi="Arial"/>
                  <w:sz w:val="18"/>
                  <w:szCs w:val="18"/>
                  <w:color w:val="0000EE"/>
                  <w:w w:val="92"/>
                </w:rPr>
                <w:t>SIGNATURES</w:t>
              </w:r>
            </w:hyperlink>
          </w:p>
        </w:tc>
        <w:tc>
          <w:tcPr>
            <w:tcW w:w="7320" w:type="dxa"/>
            <w:vAlign w:val="bottom"/>
            <w:gridSpan w:val="22"/>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r>
      <w:tr>
        <w:trPr>
          <w:trHeight w:val="669"/>
        </w:trPr>
        <w:tc>
          <w:tcPr>
            <w:tcW w:w="5140" w:type="dxa"/>
            <w:vAlign w:val="bottom"/>
            <w:gridSpan w:val="17"/>
          </w:tcPr>
          <w:p>
            <w:pPr>
              <w:jc w:val="right"/>
              <w:ind w:right="64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FINANCIAL INFORMATION</w:t>
      </w:r>
    </w:p>
    <w:p>
      <w:pPr>
        <w:spacing w:after="0" w:line="105" w:lineRule="exact"/>
        <w:rPr>
          <w:sz w:val="20"/>
          <w:szCs w:val="20"/>
          <w:color w:val="auto"/>
        </w:rPr>
      </w:pPr>
    </w:p>
    <w:p>
      <w:pPr>
        <w:ind w:left="60"/>
        <w:spacing w:after="0"/>
        <w:tabs>
          <w:tab w:leader="none" w:pos="68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4"/>
          <w:szCs w:val="14"/>
          <w:b w:val="1"/>
          <w:bCs w:val="1"/>
          <w:color w:val="auto"/>
        </w:rPr>
        <w:t>Financial Statements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PAYLOCITY HOLDING CORPORATION</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 Consolidated Balance Sheets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per share data)</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67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4"/>
                <w:szCs w:val="14"/>
                <w:color w:val="auto"/>
              </w:rPr>
            </w:pPr>
          </w:p>
        </w:tc>
      </w:tr>
      <w:tr>
        <w:trPr>
          <w:trHeight w:val="196"/>
        </w:trPr>
        <w:tc>
          <w:tcPr>
            <w:tcW w:w="67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250,851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175,453</w:t>
            </w:r>
          </w:p>
        </w:tc>
        <w:tc>
          <w:tcPr>
            <w:tcW w:w="60" w:type="dxa"/>
            <w:vAlign w:val="bottom"/>
            <w:shd w:val="clear" w:color="auto" w:fill="CCEEFF"/>
          </w:tcPr>
          <w:p>
            <w:pPr>
              <w:spacing w:after="0"/>
              <w:rPr>
                <w:sz w:val="18"/>
                <w:szCs w:val="18"/>
                <w:color w:val="auto"/>
              </w:rPr>
            </w:pPr>
          </w:p>
        </w:tc>
      </w:tr>
      <w:tr>
        <w:trPr>
          <w:trHeight w:val="216"/>
        </w:trPr>
        <w:tc>
          <w:tcPr>
            <w:tcW w:w="6720" w:type="dxa"/>
            <w:vAlign w:val="bottom"/>
          </w:tcPr>
          <w:p>
            <w:pPr>
              <w:ind w:left="220"/>
              <w:spacing w:after="0"/>
              <w:rPr>
                <w:sz w:val="20"/>
                <w:szCs w:val="20"/>
                <w:color w:val="auto"/>
              </w:rPr>
            </w:pPr>
            <w:r>
              <w:rPr>
                <w:rFonts w:ascii="Arial" w:cs="Arial" w:eastAsia="Arial" w:hAnsi="Arial"/>
                <w:sz w:val="18"/>
                <w:szCs w:val="18"/>
                <w:color w:val="auto"/>
              </w:rPr>
              <w:t>Corporate investments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34,556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6,823</w:t>
            </w:r>
          </w:p>
        </w:tc>
        <w:tc>
          <w:tcPr>
            <w:tcW w:w="60" w:type="dxa"/>
            <w:vAlign w:val="bottom"/>
          </w:tcPr>
          <w:p>
            <w:pPr>
              <w:spacing w:after="0"/>
              <w:rPr>
                <w:sz w:val="18"/>
                <w:szCs w:val="18"/>
                <w:color w:val="auto"/>
              </w:rPr>
            </w:pPr>
          </w:p>
        </w:tc>
      </w:tr>
      <w:tr>
        <w:trPr>
          <w:trHeight w:val="216"/>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9,211</w:t>
            </w:r>
          </w:p>
        </w:tc>
        <w:tc>
          <w:tcPr>
            <w:tcW w:w="60" w:type="dxa"/>
            <w:vAlign w:val="bottom"/>
            <w:shd w:val="clear" w:color="auto" w:fill="CCEEFF"/>
          </w:tcPr>
          <w:p>
            <w:pPr>
              <w:spacing w:after="0"/>
              <w:rPr>
                <w:sz w:val="18"/>
                <w:szCs w:val="18"/>
                <w:color w:val="auto"/>
              </w:rPr>
            </w:pPr>
          </w:p>
        </w:tc>
      </w:tr>
      <w:tr>
        <w:trPr>
          <w:trHeight w:val="216"/>
        </w:trPr>
        <w:tc>
          <w:tcPr>
            <w:tcW w:w="6720" w:type="dxa"/>
            <w:vAlign w:val="bottom"/>
          </w:tcPr>
          <w:p>
            <w:pPr>
              <w:ind w:left="220"/>
              <w:spacing w:after="0"/>
              <w:rPr>
                <w:sz w:val="20"/>
                <w:szCs w:val="20"/>
                <w:color w:val="auto"/>
              </w:rPr>
            </w:pPr>
            <w:r>
              <w:rPr>
                <w:rFonts w:ascii="Arial" w:cs="Arial" w:eastAsia="Arial" w:hAnsi="Arial"/>
                <w:sz w:val="18"/>
                <w:szCs w:val="18"/>
                <w:color w:val="auto"/>
              </w:rPr>
              <w:t>Deferred contract costs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32,332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40,721</w:t>
            </w:r>
          </w:p>
        </w:tc>
        <w:tc>
          <w:tcPr>
            <w:tcW w:w="60" w:type="dxa"/>
            <w:vAlign w:val="bottom"/>
          </w:tcPr>
          <w:p>
            <w:pPr>
              <w:spacing w:after="0"/>
              <w:rPr>
                <w:sz w:val="18"/>
                <w:szCs w:val="18"/>
                <w:color w:val="auto"/>
              </w:rPr>
            </w:pPr>
          </w:p>
        </w:tc>
      </w:tr>
      <w:tr>
        <w:trPr>
          <w:trHeight w:val="216"/>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13,188</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14,198</w:t>
            </w:r>
          </w:p>
        </w:tc>
        <w:tc>
          <w:tcPr>
            <w:tcW w:w="60" w:type="dxa"/>
            <w:vAlign w:val="bottom"/>
            <w:shd w:val="clear" w:color="auto" w:fill="CCEEFF"/>
          </w:tcPr>
          <w:p>
            <w:pPr>
              <w:spacing w:after="0"/>
              <w:rPr>
                <w:sz w:val="18"/>
                <w:szCs w:val="18"/>
                <w:color w:val="auto"/>
              </w:rPr>
            </w:pPr>
          </w:p>
        </w:tc>
      </w:tr>
      <w:tr>
        <w:trPr>
          <w:trHeight w:val="209"/>
        </w:trPr>
        <w:tc>
          <w:tcPr>
            <w:tcW w:w="6720" w:type="dxa"/>
            <w:vAlign w:val="bottom"/>
          </w:tcPr>
          <w:p>
            <w:pPr>
              <w:ind w:left="320"/>
              <w:spacing w:after="0"/>
              <w:rPr>
                <w:sz w:val="20"/>
                <w:szCs w:val="20"/>
                <w:color w:val="auto"/>
              </w:rPr>
            </w:pPr>
            <w:r>
              <w:rPr>
                <w:rFonts w:ascii="Arial" w:cs="Arial" w:eastAsia="Arial" w:hAnsi="Arial"/>
                <w:sz w:val="18"/>
                <w:szCs w:val="18"/>
                <w:color w:val="auto"/>
              </w:rPr>
              <w:t>Total current assets before funds held for clients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335,850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246,406</w:t>
            </w:r>
          </w:p>
        </w:tc>
        <w:tc>
          <w:tcPr>
            <w:tcW w:w="60" w:type="dxa"/>
            <w:vAlign w:val="bottom"/>
          </w:tcPr>
          <w:p>
            <w:pPr>
              <w:spacing w:after="0"/>
              <w:rPr>
                <w:sz w:val="18"/>
                <w:szCs w:val="18"/>
                <w:color w:val="auto"/>
              </w:rPr>
            </w:pPr>
          </w:p>
        </w:tc>
      </w:tr>
      <w:tr>
        <w:trPr>
          <w:trHeight w:val="216"/>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Funds held for clients</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1,327,304</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2,051,914</w:t>
            </w:r>
          </w:p>
        </w:tc>
        <w:tc>
          <w:tcPr>
            <w:tcW w:w="60" w:type="dxa"/>
            <w:vAlign w:val="bottom"/>
            <w:shd w:val="clear" w:color="auto" w:fill="CCEEFF"/>
          </w:tcPr>
          <w:p>
            <w:pPr>
              <w:spacing w:after="0"/>
              <w:rPr>
                <w:sz w:val="18"/>
                <w:szCs w:val="18"/>
                <w:color w:val="auto"/>
              </w:rPr>
            </w:pPr>
          </w:p>
        </w:tc>
      </w:tr>
      <w:tr>
        <w:trPr>
          <w:trHeight w:val="209"/>
        </w:trPr>
        <w:tc>
          <w:tcPr>
            <w:tcW w:w="672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1,663,154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2,298,320</w:t>
            </w:r>
          </w:p>
        </w:tc>
        <w:tc>
          <w:tcPr>
            <w:tcW w:w="6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Capitalized internal-use software, net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42,704</w:t>
            </w:r>
          </w:p>
        </w:tc>
        <w:tc>
          <w:tcPr>
            <w:tcW w:w="6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66,737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62,187</w:t>
            </w:r>
          </w:p>
        </w:tc>
        <w:tc>
          <w:tcPr>
            <w:tcW w:w="6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48,658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45,112</w:t>
            </w:r>
          </w:p>
        </w:tc>
        <w:tc>
          <w:tcPr>
            <w:tcW w:w="6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13,360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14,055</w:t>
            </w:r>
          </w:p>
        </w:tc>
        <w:tc>
          <w:tcPr>
            <w:tcW w:w="6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33,184</w:t>
            </w:r>
          </w:p>
        </w:tc>
        <w:tc>
          <w:tcPr>
            <w:tcW w:w="6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Long-term deferred contract costs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125,711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156,943</w:t>
            </w:r>
          </w:p>
        </w:tc>
        <w:tc>
          <w:tcPr>
            <w:tcW w:w="6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line="207" w:lineRule="exact"/>
              <w:rPr>
                <w:sz w:val="20"/>
                <w:szCs w:val="20"/>
                <w:color w:val="auto"/>
              </w:rPr>
            </w:pPr>
            <w:r>
              <w:rPr>
                <w:rFonts w:ascii="Arial" w:cs="Arial" w:eastAsia="Arial" w:hAnsi="Arial"/>
                <w:sz w:val="18"/>
                <w:szCs w:val="18"/>
                <w:color w:val="auto"/>
              </w:rPr>
              <w:t>Long</w:t>
            </w:r>
            <w:r>
              <w:rPr>
                <w:rFonts w:ascii="MS PGothic" w:cs="MS PGothic" w:eastAsia="MS PGothic" w:hAnsi="MS PGothic"/>
                <w:sz w:val="18"/>
                <w:szCs w:val="18"/>
                <w:color w:val="auto"/>
              </w:rPr>
              <w:t>‑</w:t>
            </w:r>
            <w:r>
              <w:rPr>
                <w:rFonts w:ascii="Arial" w:cs="Arial" w:eastAsia="Arial" w:hAnsi="Arial"/>
                <w:sz w:val="18"/>
                <w:szCs w:val="18"/>
                <w:color w:val="auto"/>
              </w:rPr>
              <w:t>term prepaid expenses and other</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3,773</w:t>
            </w:r>
          </w:p>
        </w:tc>
        <w:tc>
          <w:tcPr>
            <w:tcW w:w="60" w:type="dxa"/>
            <w:vAlign w:val="bottom"/>
            <w:shd w:val="clear" w:color="auto" w:fill="CCEEFF"/>
          </w:tcPr>
          <w:p>
            <w:pPr>
              <w:spacing w:after="0"/>
              <w:rPr>
                <w:sz w:val="18"/>
                <w:szCs w:val="18"/>
                <w:color w:val="auto"/>
              </w:rPr>
            </w:pPr>
          </w:p>
        </w:tc>
      </w:tr>
      <w:tr>
        <w:trPr>
          <w:trHeight w:val="216"/>
        </w:trPr>
        <w:tc>
          <w:tcPr>
            <w:tcW w:w="6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income tax assets</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7,274</w:t>
            </w:r>
          </w:p>
        </w:tc>
        <w:tc>
          <w:tcPr>
            <w:tcW w:w="60" w:type="dxa"/>
            <w:vAlign w:val="bottom"/>
            <w:tcBorders>
              <w:bottom w:val="single" w:sz="8" w:color="CCEEFF"/>
            </w:tcBorders>
          </w:tcPr>
          <w:p>
            <w:pPr>
              <w:spacing w:after="0"/>
              <w:rPr>
                <w:sz w:val="18"/>
                <w:szCs w:val="18"/>
                <w:color w:val="auto"/>
              </w:rPr>
            </w:pPr>
          </w:p>
        </w:tc>
      </w:tr>
      <w:tr>
        <w:trPr>
          <w:trHeight w:val="209"/>
        </w:trPr>
        <w:tc>
          <w:tcPr>
            <w:tcW w:w="67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1,985,648</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2,663,552</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
        </w:trPr>
        <w:tc>
          <w:tcPr>
            <w:tcW w:w="6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6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w:t>
            </w:r>
          </w:p>
        </w:tc>
        <w:tc>
          <w:tcPr>
            <w:tcW w:w="60" w:type="dxa"/>
            <w:vAlign w:val="bottom"/>
            <w:shd w:val="clear" w:color="auto" w:fill="CCEEFF"/>
          </w:tcPr>
          <w:p>
            <w:pPr>
              <w:spacing w:after="0"/>
              <w:rPr>
                <w:sz w:val="18"/>
                <w:szCs w:val="18"/>
                <w:color w:val="auto"/>
              </w:rPr>
            </w:pPr>
          </w:p>
        </w:tc>
      </w:tr>
      <w:tr>
        <w:trPr>
          <w:trHeight w:val="216"/>
        </w:trPr>
        <w:tc>
          <w:tcPr>
            <w:tcW w:w="67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Accrued expenses</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79,881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83,139</w:t>
            </w:r>
          </w:p>
        </w:tc>
        <w:tc>
          <w:tcPr>
            <w:tcW w:w="60" w:type="dxa"/>
            <w:vAlign w:val="bottom"/>
            <w:tcBorders>
              <w:bottom w:val="single" w:sz="8" w:color="CCEEFF"/>
            </w:tcBorders>
          </w:tcPr>
          <w:p>
            <w:pPr>
              <w:spacing w:after="0"/>
              <w:rPr>
                <w:sz w:val="18"/>
                <w:szCs w:val="18"/>
                <w:color w:val="auto"/>
              </w:rPr>
            </w:pPr>
          </w:p>
        </w:tc>
      </w:tr>
      <w:tr>
        <w:trPr>
          <w:trHeight w:val="210"/>
        </w:trPr>
        <w:tc>
          <w:tcPr>
            <w:tcW w:w="6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 before client fund obligations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81,636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86,458</w:t>
            </w:r>
          </w:p>
        </w:tc>
        <w:tc>
          <w:tcPr>
            <w:tcW w:w="60" w:type="dxa"/>
            <w:vAlign w:val="bottom"/>
            <w:shd w:val="clear" w:color="auto" w:fill="CCEEFF"/>
          </w:tcPr>
          <w:p>
            <w:pPr>
              <w:spacing w:after="0"/>
              <w:rPr>
                <w:sz w:val="18"/>
                <w:szCs w:val="18"/>
                <w:color w:val="auto"/>
              </w:rPr>
            </w:pPr>
          </w:p>
        </w:tc>
      </w:tr>
      <w:tr>
        <w:trPr>
          <w:trHeight w:val="216"/>
        </w:trPr>
        <w:tc>
          <w:tcPr>
            <w:tcW w:w="67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Client fund obligations</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1,327,304</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2,051,914</w:t>
            </w:r>
          </w:p>
        </w:tc>
        <w:tc>
          <w:tcPr>
            <w:tcW w:w="60" w:type="dxa"/>
            <w:vAlign w:val="bottom"/>
            <w:tcBorders>
              <w:bottom w:val="single" w:sz="8" w:color="CCEEFF"/>
            </w:tcBorders>
          </w:tcPr>
          <w:p>
            <w:pPr>
              <w:spacing w:after="0"/>
              <w:rPr>
                <w:sz w:val="18"/>
                <w:szCs w:val="18"/>
                <w:color w:val="auto"/>
              </w:rPr>
            </w:pPr>
          </w:p>
        </w:tc>
      </w:tr>
      <w:tr>
        <w:trPr>
          <w:trHeight w:val="209"/>
        </w:trPr>
        <w:tc>
          <w:tcPr>
            <w:tcW w:w="6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1,408,940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2,138,372</w:t>
            </w:r>
          </w:p>
        </w:tc>
        <w:tc>
          <w:tcPr>
            <w:tcW w:w="6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Long-term operating lease liabilities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73,299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68,661</w:t>
            </w:r>
          </w:p>
        </w:tc>
        <w:tc>
          <w:tcPr>
            <w:tcW w:w="6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1,747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1,910</w:t>
            </w:r>
          </w:p>
        </w:tc>
        <w:tc>
          <w:tcPr>
            <w:tcW w:w="6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liabilities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67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1,592,740</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2,208,943</w:t>
            </w:r>
          </w:p>
        </w:tc>
        <w:tc>
          <w:tcPr>
            <w:tcW w:w="60" w:type="dxa"/>
            <w:vAlign w:val="bottom"/>
            <w:tcBorders>
              <w:bottom w:val="single" w:sz="8" w:color="CCEEFF"/>
            </w:tcBorders>
          </w:tcPr>
          <w:p>
            <w:pPr>
              <w:spacing w:after="0"/>
              <w:rPr>
                <w:sz w:val="18"/>
                <w:szCs w:val="18"/>
                <w:color w:val="auto"/>
              </w:rPr>
            </w:pPr>
          </w:p>
        </w:tc>
      </w:tr>
      <w:tr>
        <w:trPr>
          <w:trHeight w:val="209"/>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2"/>
        </w:trPr>
        <w:tc>
          <w:tcPr>
            <w:tcW w:w="6720" w:type="dxa"/>
            <w:vAlign w:val="bottom"/>
          </w:tcPr>
          <w:p>
            <w:pPr>
              <w:ind w:left="220"/>
              <w:spacing w:after="0" w:line="201" w:lineRule="exact"/>
              <w:rPr>
                <w:sz w:val="20"/>
                <w:szCs w:val="20"/>
                <w:color w:val="auto"/>
              </w:rPr>
            </w:pPr>
            <w:r>
              <w:rPr>
                <w:rFonts w:ascii="Arial" w:cs="Arial" w:eastAsia="Arial" w:hAnsi="Arial"/>
                <w:sz w:val="18"/>
                <w:szCs w:val="18"/>
                <w:color w:val="auto"/>
                <w:w w:val="93"/>
              </w:rPr>
              <w:t>Preferred stock, $0.001 par value, 5,000 authorized, no shares issued and outstanding</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6720" w:type="dxa"/>
            <w:vAlign w:val="bottom"/>
          </w:tcPr>
          <w:p>
            <w:pPr>
              <w:ind w:left="220"/>
              <w:spacing w:after="0"/>
              <w:rPr>
                <w:sz w:val="20"/>
                <w:szCs w:val="20"/>
                <w:color w:val="auto"/>
              </w:rPr>
            </w:pPr>
            <w:r>
              <w:rPr>
                <w:rFonts w:ascii="Arial" w:cs="Arial" w:eastAsia="Arial" w:hAnsi="Arial"/>
                <w:sz w:val="18"/>
                <w:szCs w:val="18"/>
                <w:color w:val="auto"/>
              </w:rPr>
              <w:t>at June 30, 2020 and March 31, 2021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2"/>
        </w:trPr>
        <w:tc>
          <w:tcPr>
            <w:tcW w:w="67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7"/>
              </w:rPr>
              <w:t>Common stock, $0.001 par value, 155,000 shares authorized at June 30, 2020 and</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March 31, 2021; 53,792 shares issued and outstanding at June 30, 2020 and 54,451</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and outstanding at March 31, 2021</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20"/>
                <w:szCs w:val="20"/>
                <w:color w:val="auto"/>
              </w:rPr>
            </w:pPr>
          </w:p>
        </w:tc>
      </w:tr>
      <w:tr>
        <w:trPr>
          <w:trHeight w:val="216"/>
        </w:trPr>
        <w:tc>
          <w:tcPr>
            <w:tcW w:w="672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227,907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231,208</w:t>
            </w:r>
          </w:p>
        </w:tc>
        <w:tc>
          <w:tcPr>
            <w:tcW w:w="60" w:type="dxa"/>
            <w:vAlign w:val="bottom"/>
          </w:tcPr>
          <w:p>
            <w:pPr>
              <w:spacing w:after="0"/>
              <w:rPr>
                <w:sz w:val="18"/>
                <w:szCs w:val="18"/>
                <w:color w:val="auto"/>
              </w:rPr>
            </w:pPr>
          </w:p>
        </w:tc>
      </w:tr>
      <w:tr>
        <w:trPr>
          <w:trHeight w:val="216"/>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164,272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223,208</w:t>
            </w:r>
          </w:p>
        </w:tc>
        <w:tc>
          <w:tcPr>
            <w:tcW w:w="60" w:type="dxa"/>
            <w:vAlign w:val="bottom"/>
            <w:shd w:val="clear" w:color="auto" w:fill="CCEEFF"/>
          </w:tcPr>
          <w:p>
            <w:pPr>
              <w:spacing w:after="0"/>
              <w:rPr>
                <w:sz w:val="18"/>
                <w:szCs w:val="18"/>
                <w:color w:val="auto"/>
              </w:rPr>
            </w:pPr>
          </w:p>
        </w:tc>
      </w:tr>
      <w:tr>
        <w:trPr>
          <w:trHeight w:val="216"/>
        </w:trPr>
        <w:tc>
          <w:tcPr>
            <w:tcW w:w="67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60" w:type="dxa"/>
            <w:vAlign w:val="bottom"/>
            <w:tcBorders>
              <w:bottom w:val="single" w:sz="8" w:color="CCEEFF"/>
            </w:tcBorders>
          </w:tcPr>
          <w:p>
            <w:pPr>
              <w:spacing w:after="0"/>
              <w:rPr>
                <w:sz w:val="18"/>
                <w:szCs w:val="18"/>
                <w:color w:val="auto"/>
              </w:rPr>
            </w:pPr>
          </w:p>
        </w:tc>
      </w:tr>
      <w:tr>
        <w:trPr>
          <w:trHeight w:val="210"/>
        </w:trPr>
        <w:tc>
          <w:tcPr>
            <w:tcW w:w="6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392,908</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454,609</w:t>
            </w:r>
          </w:p>
        </w:tc>
        <w:tc>
          <w:tcPr>
            <w:tcW w:w="60" w:type="dxa"/>
            <w:vAlign w:val="bottom"/>
            <w:shd w:val="clear" w:color="auto" w:fill="CCEEFF"/>
          </w:tcPr>
          <w:p>
            <w:pPr>
              <w:spacing w:after="0"/>
              <w:rPr>
                <w:sz w:val="18"/>
                <w:szCs w:val="18"/>
                <w:color w:val="auto"/>
              </w:rPr>
            </w:pPr>
          </w:p>
        </w:tc>
      </w:tr>
      <w:tr>
        <w:trPr>
          <w:trHeight w:val="209"/>
        </w:trPr>
        <w:tc>
          <w:tcPr>
            <w:tcW w:w="6720" w:type="dxa"/>
            <w:vAlign w:val="bottom"/>
          </w:tcPr>
          <w:p>
            <w:pPr>
              <w:ind w:left="44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1,985,648</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2,663,552</w:t>
            </w:r>
          </w:p>
        </w:tc>
        <w:tc>
          <w:tcPr>
            <w:tcW w:w="60" w:type="dxa"/>
            <w:vAlign w:val="bottom"/>
          </w:tcPr>
          <w:p>
            <w:pPr>
              <w:spacing w:after="0"/>
              <w:rPr>
                <w:sz w:val="18"/>
                <w:szCs w:val="18"/>
                <w:color w:val="auto"/>
              </w:rPr>
            </w:pPr>
          </w:p>
        </w:tc>
      </w:tr>
      <w:tr>
        <w:trPr>
          <w:trHeight w:val="20"/>
        </w:trPr>
        <w:tc>
          <w:tcPr>
            <w:tcW w:w="6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9019"/>
          </w:cols>
          <w:pgMar w:left="1440" w:top="517" w:right="1440"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PAYLOCITY HOLDING CORPORATION Unaudited Consolidated Statements of Operations and Comprehensive Income (in thousands, except per share data)</w:t>
      </w:r>
    </w:p>
    <w:p>
      <w:pPr>
        <w:spacing w:after="0" w:line="17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4"/>
          </w:tcPr>
          <w:p>
            <w:pPr>
              <w:jc w:val="right"/>
              <w:ind w:right="131"/>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5"/>
          </w:tcPr>
          <w:p>
            <w:pPr>
              <w:ind w:left="1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4"/>
          </w:tcPr>
          <w:p>
            <w:pPr>
              <w:jc w:val="right"/>
              <w:ind w:right="491"/>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5"/>
          </w:tcPr>
          <w:p>
            <w:pPr>
              <w:ind w:left="4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Recurring and other revenue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167,095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184,927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9"/>
              </w:rPr>
              <w:t>416,948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465,195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 on funds held for clients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Total revenues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171,646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186,053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430,740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468,176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48,081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57,326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136,135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160,248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123,565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128,727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294,605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307,928</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37,801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40,055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112,051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115,504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45,416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22,411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31,071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77,283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87,038</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75,824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89,584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234,750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258,985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60" w:type="dxa"/>
            <w:vAlign w:val="bottom"/>
          </w:tcPr>
          <w:p>
            <w:pPr>
              <w:ind w:left="400"/>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47,741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39,143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59,855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48,943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Pr>
          <w:p>
            <w:pPr>
              <w:ind w:left="400"/>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48,176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38,936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61,049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48,100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(10,836)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9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40,132</w:t>
            </w:r>
          </w:p>
        </w:tc>
        <w:tc>
          <w:tcPr>
            <w:tcW w:w="16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36,834</w:t>
            </w:r>
          </w:p>
        </w:tc>
        <w:tc>
          <w:tcPr>
            <w:tcW w:w="1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59,505</w:t>
            </w:r>
          </w:p>
        </w:tc>
        <w:tc>
          <w:tcPr>
            <w:tcW w:w="1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58,936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Other comprehensive loss, net of tax</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(182)</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(126)</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(214)</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98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24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39,950</w:t>
            </w:r>
          </w:p>
        </w:tc>
        <w:tc>
          <w:tcPr>
            <w:tcW w:w="16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36,708</w:t>
            </w:r>
          </w:p>
        </w:tc>
        <w:tc>
          <w:tcPr>
            <w:tcW w:w="1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59,291</w:t>
            </w:r>
          </w:p>
        </w:tc>
        <w:tc>
          <w:tcPr>
            <w:tcW w:w="1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9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Net income per share: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Borders>
              <w:top w:val="single" w:sz="8" w:color="CCEEFF"/>
              <w:bottom w:val="single" w:sz="8" w:color="CCEEFF"/>
            </w:tcBorders>
            <w:vMerge w:val="restart"/>
          </w:tcPr>
          <w:p>
            <w:pPr>
              <w:ind w:left="200"/>
              <w:spacing w:after="0"/>
              <w:rPr>
                <w:sz w:val="20"/>
                <w:szCs w:val="20"/>
                <w:color w:val="auto"/>
              </w:rPr>
            </w:pPr>
            <w:r>
              <w:rPr>
                <w:rFonts w:ascii="Arial" w:cs="Arial" w:eastAsia="Arial" w:hAnsi="Arial"/>
                <w:sz w:val="18"/>
                <w:szCs w:val="18"/>
                <w:color w:val="auto"/>
              </w:rPr>
              <w:t>Diluted</w:t>
            </w: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496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0.72</w:t>
            </w:r>
          </w:p>
        </w:tc>
        <w:tc>
          <w:tcPr>
            <w:tcW w:w="1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0.65</w:t>
            </w: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1.07</w:t>
            </w: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1.05</w:t>
            </w:r>
          </w:p>
        </w:tc>
        <w:tc>
          <w:tcPr>
            <w:tcW w:w="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w w:val="92"/>
              </w:rPr>
              <w:t>Weighted-average shares used in computing net income per share: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53,629</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54,415</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53,486</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54,244</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9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55,953</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56,414</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55,760</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56,338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left="1520" w:right="1700"/>
        <w:spacing w:after="0" w:line="275" w:lineRule="auto"/>
        <w:rPr>
          <w:sz w:val="20"/>
          <w:szCs w:val="20"/>
          <w:color w:val="auto"/>
        </w:rPr>
      </w:pPr>
      <w:r>
        <w:rPr>
          <w:rFonts w:ascii="Arial" w:cs="Arial" w:eastAsia="Arial" w:hAnsi="Arial"/>
          <w:sz w:val="18"/>
          <w:szCs w:val="18"/>
          <w:b w:val="1"/>
          <w:bCs w:val="1"/>
          <w:color w:val="auto"/>
        </w:rPr>
        <w:t>PAYLOCITY HOLDING CORPORATION Unaudited Consolidated Statement of Changes in Stockholders’ Equity (in thousands)</w:t>
      </w: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42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21"/>
          </w:tcPr>
          <w:p>
            <w:pPr>
              <w:spacing w:after="0"/>
              <w:rPr>
                <w:sz w:val="20"/>
                <w:szCs w:val="20"/>
                <w:color w:val="auto"/>
              </w:rPr>
            </w:pPr>
            <w:r>
              <w:rPr>
                <w:rFonts w:ascii="Arial" w:cs="Arial" w:eastAsia="Arial" w:hAnsi="Arial"/>
                <w:sz w:val="13"/>
                <w:szCs w:val="13"/>
                <w:b w:val="1"/>
                <w:bCs w:val="1"/>
                <w:color w:val="auto"/>
              </w:rPr>
              <w:t>Three Months Ended March 31, 2020</w:t>
            </w: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10"/>
        </w:trPr>
        <w:tc>
          <w:tcPr>
            <w:tcW w:w="42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920" w:type="dxa"/>
            <w:vAlign w:val="bottom"/>
            <w:gridSpan w:val="6"/>
          </w:tcPr>
          <w:p>
            <w:pPr>
              <w:ind w:left="20"/>
              <w:spacing w:after="0" w:line="110" w:lineRule="exact"/>
              <w:rPr>
                <w:sz w:val="20"/>
                <w:szCs w:val="20"/>
                <w:color w:val="auto"/>
              </w:rPr>
            </w:pPr>
            <w:r>
              <w:rPr>
                <w:rFonts w:ascii="Arial" w:cs="Arial" w:eastAsia="Arial" w:hAnsi="Arial"/>
                <w:sz w:val="12"/>
                <w:szCs w:val="12"/>
                <w:b w:val="1"/>
                <w:bCs w:val="1"/>
                <w:color w:val="auto"/>
              </w:rPr>
              <w:t>Accumulated</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35"/>
        </w:trPr>
        <w:tc>
          <w:tcPr>
            <w:tcW w:w="4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6"/>
          </w:tcPr>
          <w:p>
            <w:pPr>
              <w:spacing w:after="0" w:line="135" w:lineRule="exact"/>
              <w:rPr>
                <w:sz w:val="20"/>
                <w:szCs w:val="20"/>
                <w:color w:val="auto"/>
              </w:rPr>
            </w:pPr>
            <w:r>
              <w:rPr>
                <w:rFonts w:ascii="Arial" w:cs="Arial" w:eastAsia="Arial" w:hAnsi="Arial"/>
                <w:sz w:val="13"/>
                <w:szCs w:val="13"/>
                <w:b w:val="1"/>
                <w:bCs w:val="1"/>
                <w:color w:val="auto"/>
              </w:rPr>
              <w:t>Additional</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4"/>
          </w:tcPr>
          <w:p>
            <w:pPr>
              <w:ind w:left="60"/>
              <w:spacing w:after="0" w:line="135" w:lineRule="exact"/>
              <w:rPr>
                <w:sz w:val="20"/>
                <w:szCs w:val="20"/>
                <w:color w:val="auto"/>
              </w:rPr>
            </w:pPr>
            <w:r>
              <w:rPr>
                <w:rFonts w:ascii="Arial" w:cs="Arial" w:eastAsia="Arial" w:hAnsi="Arial"/>
                <w:sz w:val="13"/>
                <w:szCs w:val="13"/>
                <w:b w:val="1"/>
                <w:bCs w:val="1"/>
                <w:color w:val="auto"/>
              </w:rPr>
              <w:t>Other</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300"/>
              <w:spacing w:after="0" w:line="135" w:lineRule="exact"/>
              <w:rPr>
                <w:sz w:val="20"/>
                <w:szCs w:val="20"/>
                <w:color w:val="auto"/>
              </w:rPr>
            </w:pPr>
            <w:r>
              <w:rPr>
                <w:rFonts w:ascii="Arial" w:cs="Arial" w:eastAsia="Arial" w:hAnsi="Arial"/>
                <w:sz w:val="13"/>
                <w:szCs w:val="13"/>
                <w:b w:val="1"/>
                <w:bCs w:val="1"/>
                <w:color w:val="auto"/>
              </w:rPr>
              <w:t>Total</w:t>
            </w:r>
          </w:p>
        </w:tc>
      </w:tr>
      <w:tr>
        <w:trPr>
          <w:trHeight w:val="153"/>
        </w:trPr>
        <w:tc>
          <w:tcPr>
            <w:tcW w:w="4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gridSpan w:val="11"/>
          </w:tcPr>
          <w:p>
            <w:pPr>
              <w:ind w:left="100"/>
              <w:spacing w:after="0"/>
              <w:rPr>
                <w:sz w:val="20"/>
                <w:szCs w:val="20"/>
                <w:color w:val="auto"/>
              </w:rPr>
            </w:pPr>
            <w:r>
              <w:rPr>
                <w:rFonts w:ascii="Arial" w:cs="Arial" w:eastAsia="Arial" w:hAnsi="Arial"/>
                <w:sz w:val="13"/>
                <w:szCs w:val="13"/>
                <w:b w:val="1"/>
                <w:bCs w:val="1"/>
                <w:color w:val="auto"/>
              </w:rPr>
              <w:t>Common Stock</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4"/>
          </w:tcPr>
          <w:p>
            <w:pPr>
              <w:spacing w:after="0"/>
              <w:rPr>
                <w:sz w:val="20"/>
                <w:szCs w:val="20"/>
                <w:color w:val="auto"/>
              </w:rPr>
            </w:pPr>
            <w:r>
              <w:rPr>
                <w:rFonts w:ascii="Arial" w:cs="Arial" w:eastAsia="Arial" w:hAnsi="Arial"/>
                <w:sz w:val="13"/>
                <w:szCs w:val="13"/>
                <w:b w:val="1"/>
                <w:bCs w:val="1"/>
                <w:color w:val="auto"/>
              </w:rPr>
              <w:t>Paid-in</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5"/>
          </w:tcPr>
          <w:p>
            <w:pPr>
              <w:ind w:left="20"/>
              <w:spacing w:after="0"/>
              <w:rPr>
                <w:sz w:val="20"/>
                <w:szCs w:val="20"/>
                <w:color w:val="auto"/>
              </w:rPr>
            </w:pPr>
            <w:r>
              <w:rPr>
                <w:rFonts w:ascii="Arial" w:cs="Arial" w:eastAsia="Arial" w:hAnsi="Arial"/>
                <w:sz w:val="13"/>
                <w:szCs w:val="13"/>
                <w:b w:val="1"/>
                <w:bCs w:val="1"/>
                <w:color w:val="auto"/>
              </w:rPr>
              <w:t>Retained</w:t>
            </w:r>
          </w:p>
        </w:tc>
        <w:tc>
          <w:tcPr>
            <w:tcW w:w="960" w:type="dxa"/>
            <w:vAlign w:val="bottom"/>
            <w:gridSpan w:val="7"/>
          </w:tcPr>
          <w:p>
            <w:pPr>
              <w:spacing w:after="0"/>
              <w:rPr>
                <w:sz w:val="20"/>
                <w:szCs w:val="20"/>
                <w:color w:val="auto"/>
              </w:rPr>
            </w:pPr>
            <w:r>
              <w:rPr>
                <w:rFonts w:ascii="Arial" w:cs="Arial" w:eastAsia="Arial" w:hAnsi="Arial"/>
                <w:sz w:val="13"/>
                <w:szCs w:val="13"/>
                <w:b w:val="1"/>
                <w:bCs w:val="1"/>
                <w:color w:val="auto"/>
                <w:w w:val="96"/>
              </w:rPr>
              <w:t>Comprehensive</w:t>
            </w:r>
          </w:p>
        </w:tc>
        <w:tc>
          <w:tcPr>
            <w:tcW w:w="840" w:type="dxa"/>
            <w:vAlign w:val="bottom"/>
            <w:gridSpan w:val="5"/>
          </w:tcPr>
          <w:p>
            <w:pPr>
              <w:ind w:left="20"/>
              <w:spacing w:after="0"/>
              <w:rPr>
                <w:sz w:val="20"/>
                <w:szCs w:val="20"/>
                <w:color w:val="auto"/>
              </w:rPr>
            </w:pPr>
            <w:r>
              <w:rPr>
                <w:rFonts w:ascii="Arial" w:cs="Arial" w:eastAsia="Arial" w:hAnsi="Arial"/>
                <w:sz w:val="13"/>
                <w:szCs w:val="13"/>
                <w:b w:val="1"/>
                <w:bCs w:val="1"/>
                <w:color w:val="auto"/>
                <w:w w:val="93"/>
              </w:rPr>
              <w:t>Stockholders’</w:t>
            </w:r>
          </w:p>
        </w:tc>
      </w:tr>
      <w:tr>
        <w:trPr>
          <w:trHeight w:val="129"/>
        </w:trPr>
        <w:tc>
          <w:tcPr>
            <w:tcW w:w="42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4"/>
          </w:tcPr>
          <w:p>
            <w:pPr>
              <w:ind w:left="40"/>
              <w:spacing w:after="0" w:line="129" w:lineRule="exact"/>
              <w:rPr>
                <w:sz w:val="20"/>
                <w:szCs w:val="20"/>
                <w:color w:val="auto"/>
              </w:rPr>
            </w:pPr>
            <w:r>
              <w:rPr>
                <w:rFonts w:ascii="Arial" w:cs="Arial" w:eastAsia="Arial" w:hAnsi="Arial"/>
                <w:sz w:val="13"/>
                <w:szCs w:val="13"/>
                <w:b w:val="1"/>
                <w:bCs w:val="1"/>
                <w:color w:val="auto"/>
              </w:rPr>
              <w:t>Shares</w:t>
            </w:r>
          </w:p>
        </w:tc>
        <w:tc>
          <w:tcPr>
            <w:tcW w:w="440" w:type="dxa"/>
            <w:vAlign w:val="bottom"/>
            <w:tcBorders>
              <w:top w:val="single" w:sz="8" w:color="auto"/>
            </w:tcBorders>
            <w:gridSpan w:val="4"/>
          </w:tcPr>
          <w:p>
            <w:pPr>
              <w:spacing w:after="0" w:line="129" w:lineRule="exact"/>
              <w:rPr>
                <w:sz w:val="20"/>
                <w:szCs w:val="20"/>
                <w:color w:val="auto"/>
              </w:rPr>
            </w:pPr>
            <w:r>
              <w:rPr>
                <w:rFonts w:ascii="Arial" w:cs="Arial" w:eastAsia="Arial" w:hAnsi="Arial"/>
                <w:sz w:val="13"/>
                <w:szCs w:val="13"/>
                <w:b w:val="1"/>
                <w:bCs w:val="1"/>
                <w:color w:val="auto"/>
                <w:w w:val="85"/>
              </w:rPr>
              <w:t>Amount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4"/>
          </w:tcPr>
          <w:p>
            <w:pPr>
              <w:spacing w:after="0" w:line="129" w:lineRule="exact"/>
              <w:rPr>
                <w:sz w:val="20"/>
                <w:szCs w:val="20"/>
                <w:color w:val="auto"/>
              </w:rPr>
            </w:pPr>
            <w:r>
              <w:rPr>
                <w:rFonts w:ascii="Arial" w:cs="Arial" w:eastAsia="Arial" w:hAnsi="Arial"/>
                <w:sz w:val="13"/>
                <w:szCs w:val="13"/>
                <w:b w:val="1"/>
                <w:bCs w:val="1"/>
                <w:color w:val="auto"/>
              </w:rPr>
              <w:t>Capital</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5"/>
          </w:tcPr>
          <w:p>
            <w:pPr>
              <w:ind w:left="20"/>
              <w:spacing w:after="0" w:line="129" w:lineRule="exact"/>
              <w:rPr>
                <w:sz w:val="20"/>
                <w:szCs w:val="20"/>
                <w:color w:val="auto"/>
              </w:rPr>
            </w:pPr>
            <w:r>
              <w:rPr>
                <w:rFonts w:ascii="Arial" w:cs="Arial" w:eastAsia="Arial" w:hAnsi="Arial"/>
                <w:sz w:val="13"/>
                <w:szCs w:val="13"/>
                <w:b w:val="1"/>
                <w:bCs w:val="1"/>
                <w:color w:val="auto"/>
              </w:rPr>
              <w:t>Earnings</w:t>
            </w:r>
          </w:p>
        </w:tc>
        <w:tc>
          <w:tcPr>
            <w:tcW w:w="40" w:type="dxa"/>
            <w:vAlign w:val="bottom"/>
          </w:tcPr>
          <w:p>
            <w:pPr>
              <w:spacing w:after="0"/>
              <w:rPr>
                <w:sz w:val="11"/>
                <w:szCs w:val="11"/>
                <w:color w:val="auto"/>
              </w:rPr>
            </w:pPr>
          </w:p>
        </w:tc>
        <w:tc>
          <w:tcPr>
            <w:tcW w:w="920" w:type="dxa"/>
            <w:vAlign w:val="bottom"/>
            <w:gridSpan w:val="6"/>
          </w:tcPr>
          <w:p>
            <w:pPr>
              <w:spacing w:after="0" w:line="129" w:lineRule="exact"/>
              <w:rPr>
                <w:sz w:val="20"/>
                <w:szCs w:val="20"/>
                <w:color w:val="auto"/>
              </w:rPr>
            </w:pPr>
            <w:r>
              <w:rPr>
                <w:rFonts w:ascii="Arial" w:cs="Arial" w:eastAsia="Arial" w:hAnsi="Arial"/>
                <w:sz w:val="13"/>
                <w:szCs w:val="13"/>
                <w:b w:val="1"/>
                <w:bCs w:val="1"/>
                <w:color w:val="auto"/>
              </w:rPr>
              <w:t>Income (Loss)</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260"/>
              <w:spacing w:after="0" w:line="129" w:lineRule="exact"/>
              <w:rPr>
                <w:sz w:val="20"/>
                <w:szCs w:val="20"/>
                <w:color w:val="auto"/>
              </w:rPr>
            </w:pPr>
            <w:r>
              <w:rPr>
                <w:rFonts w:ascii="Arial" w:cs="Arial" w:eastAsia="Arial" w:hAnsi="Arial"/>
                <w:sz w:val="13"/>
                <w:szCs w:val="13"/>
                <w:b w:val="1"/>
                <w:bCs w:val="1"/>
                <w:color w:val="auto"/>
                <w:w w:val="95"/>
              </w:rPr>
              <w:t>Equity</w:t>
            </w:r>
          </w:p>
        </w:tc>
      </w:tr>
      <w:tr>
        <w:trPr>
          <w:trHeight w:val="142"/>
        </w:trPr>
        <w:tc>
          <w:tcPr>
            <w:tcW w:w="426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Balances at December 31, 2019</w:t>
            </w:r>
          </w:p>
        </w:tc>
        <w:tc>
          <w:tcPr>
            <w:tcW w:w="56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rPr>
              <w:t>53,573</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gridSpan w:val="3"/>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54</w:t>
            </w: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gridSpan w:val="4"/>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$ 212,240</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3"/>
            <w:shd w:val="clear" w:color="auto" w:fill="CCEEFF"/>
          </w:tcPr>
          <w:p>
            <w:pPr>
              <w:jc w:val="right"/>
              <w:ind w:right="5"/>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119,190</w:t>
            </w: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gridSpan w:val="3"/>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80</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gridSpan w:val="3"/>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331,564</w:t>
            </w:r>
          </w:p>
        </w:tc>
        <w:tc>
          <w:tcPr>
            <w:tcW w:w="60" w:type="dxa"/>
            <w:vAlign w:val="bottom"/>
          </w:tcPr>
          <w:p>
            <w:pPr>
              <w:spacing w:after="0"/>
              <w:rPr>
                <w:sz w:val="12"/>
                <w:szCs w:val="12"/>
                <w:color w:val="auto"/>
              </w:rPr>
            </w:pPr>
          </w:p>
        </w:tc>
      </w:tr>
      <w:tr>
        <w:trPr>
          <w:trHeight w:val="148"/>
        </w:trPr>
        <w:tc>
          <w:tcPr>
            <w:tcW w:w="4260" w:type="dxa"/>
            <w:vAlign w:val="bottom"/>
          </w:tcPr>
          <w:p>
            <w:pPr>
              <w:ind w:left="20"/>
              <w:spacing w:after="0" w:line="149" w:lineRule="exact"/>
              <w:rPr>
                <w:sz w:val="20"/>
                <w:szCs w:val="20"/>
                <w:color w:val="auto"/>
              </w:rPr>
            </w:pPr>
            <w:r>
              <w:rPr>
                <w:rFonts w:ascii="Arial" w:cs="Arial" w:eastAsia="Arial" w:hAnsi="Arial"/>
                <w:sz w:val="14"/>
                <w:szCs w:val="14"/>
                <w:color w:val="auto"/>
              </w:rPr>
              <w:t>Stock-based compensation</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4"/>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gridSpan w:val="4"/>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10,051</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4"/>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4"/>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10,051</w:t>
            </w:r>
          </w:p>
        </w:tc>
        <w:tc>
          <w:tcPr>
            <w:tcW w:w="60" w:type="dxa"/>
            <w:vAlign w:val="bottom"/>
          </w:tcPr>
          <w:p>
            <w:pPr>
              <w:spacing w:after="0"/>
              <w:rPr>
                <w:sz w:val="12"/>
                <w:szCs w:val="12"/>
                <w:color w:val="auto"/>
              </w:rPr>
            </w:pPr>
          </w:p>
        </w:tc>
      </w:tr>
      <w:tr>
        <w:trPr>
          <w:trHeight w:val="148"/>
        </w:trPr>
        <w:tc>
          <w:tcPr>
            <w:tcW w:w="42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Stock options exercised</w:t>
            </w:r>
          </w:p>
        </w:tc>
        <w:tc>
          <w:tcPr>
            <w:tcW w:w="5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130</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1,318</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1,318</w:t>
            </w:r>
          </w:p>
        </w:tc>
        <w:tc>
          <w:tcPr>
            <w:tcW w:w="60" w:type="dxa"/>
            <w:vAlign w:val="bottom"/>
          </w:tcPr>
          <w:p>
            <w:pPr>
              <w:spacing w:after="0"/>
              <w:rPr>
                <w:sz w:val="12"/>
                <w:szCs w:val="12"/>
                <w:color w:val="auto"/>
              </w:rPr>
            </w:pPr>
          </w:p>
        </w:tc>
      </w:tr>
      <w:tr>
        <w:trPr>
          <w:trHeight w:val="148"/>
        </w:trPr>
        <w:tc>
          <w:tcPr>
            <w:tcW w:w="4260" w:type="dxa"/>
            <w:vAlign w:val="bottom"/>
          </w:tcPr>
          <w:p>
            <w:pPr>
              <w:ind w:left="20"/>
              <w:spacing w:after="0" w:line="149" w:lineRule="exact"/>
              <w:rPr>
                <w:sz w:val="20"/>
                <w:szCs w:val="20"/>
                <w:color w:val="auto"/>
              </w:rPr>
            </w:pPr>
            <w:r>
              <w:rPr>
                <w:rFonts w:ascii="Arial" w:cs="Arial" w:eastAsia="Arial" w:hAnsi="Arial"/>
                <w:sz w:val="14"/>
                <w:szCs w:val="14"/>
                <w:color w:val="auto"/>
              </w:rPr>
              <w:t>Issuance of common stock upon vesting of restricted stock units</w:t>
            </w:r>
          </w:p>
        </w:tc>
        <w:tc>
          <w:tcPr>
            <w:tcW w:w="5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gridSpan w:val="4"/>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4"/>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4"/>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4"/>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r>
      <w:tr>
        <w:trPr>
          <w:trHeight w:val="149"/>
        </w:trPr>
        <w:tc>
          <w:tcPr>
            <w:tcW w:w="42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7"/>
              </w:rPr>
              <w:t>Net settlement for taxes and/or exercise price related to equity awards</w:t>
            </w:r>
          </w:p>
        </w:tc>
        <w:tc>
          <w:tcPr>
            <w:tcW w:w="60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(63)</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(8,508)</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(8,508)</w:t>
            </w:r>
          </w:p>
        </w:tc>
        <w:tc>
          <w:tcPr>
            <w:tcW w:w="60" w:type="dxa"/>
            <w:vAlign w:val="bottom"/>
          </w:tcPr>
          <w:p>
            <w:pPr>
              <w:spacing w:after="0"/>
              <w:rPr>
                <w:sz w:val="12"/>
                <w:szCs w:val="12"/>
                <w:color w:val="auto"/>
              </w:rPr>
            </w:pPr>
          </w:p>
        </w:tc>
      </w:tr>
      <w:tr>
        <w:trPr>
          <w:trHeight w:val="148"/>
        </w:trPr>
        <w:tc>
          <w:tcPr>
            <w:tcW w:w="4260" w:type="dxa"/>
            <w:vAlign w:val="bottom"/>
          </w:tcPr>
          <w:p>
            <w:pPr>
              <w:ind w:left="20"/>
              <w:spacing w:after="0" w:line="149" w:lineRule="exact"/>
              <w:rPr>
                <w:sz w:val="20"/>
                <w:szCs w:val="20"/>
                <w:color w:val="auto"/>
              </w:rPr>
            </w:pPr>
            <w:r>
              <w:rPr>
                <w:rFonts w:ascii="Arial" w:cs="Arial" w:eastAsia="Arial" w:hAnsi="Arial"/>
                <w:sz w:val="14"/>
                <w:szCs w:val="14"/>
                <w:color w:val="auto"/>
              </w:rPr>
              <w:t>Unrealized losses on securities, net of tax</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4"/>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gridSpan w:val="4"/>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4"/>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4"/>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(182)</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(182)</w:t>
            </w:r>
          </w:p>
        </w:tc>
        <w:tc>
          <w:tcPr>
            <w:tcW w:w="60" w:type="dxa"/>
            <w:vAlign w:val="bottom"/>
          </w:tcPr>
          <w:p>
            <w:pPr>
              <w:spacing w:after="0"/>
              <w:rPr>
                <w:sz w:val="12"/>
                <w:szCs w:val="12"/>
                <w:color w:val="auto"/>
              </w:rPr>
            </w:pPr>
          </w:p>
        </w:tc>
      </w:tr>
      <w:tr>
        <w:trPr>
          <w:trHeight w:val="148"/>
        </w:trPr>
        <w:tc>
          <w:tcPr>
            <w:tcW w:w="42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income</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40,132</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40,132</w:t>
            </w:r>
          </w:p>
        </w:tc>
        <w:tc>
          <w:tcPr>
            <w:tcW w:w="60" w:type="dxa"/>
            <w:vAlign w:val="bottom"/>
          </w:tcPr>
          <w:p>
            <w:pPr>
              <w:spacing w:after="0"/>
              <w:rPr>
                <w:sz w:val="12"/>
                <w:szCs w:val="12"/>
                <w:color w:val="auto"/>
              </w:rPr>
            </w:pPr>
          </w:p>
        </w:tc>
      </w:tr>
      <w:tr>
        <w:trPr>
          <w:trHeight w:val="142"/>
        </w:trPr>
        <w:tc>
          <w:tcPr>
            <w:tcW w:w="426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Balances at March 31, 2020</w:t>
            </w:r>
          </w:p>
        </w:tc>
        <w:tc>
          <w:tcPr>
            <w:tcW w:w="56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53,660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top w:val="single" w:sz="8" w:color="auto"/>
              <w:bottom w:val="single" w:sz="8" w:color="auto"/>
            </w:tcBorders>
            <w:gridSpan w:val="3"/>
          </w:tcPr>
          <w:p>
            <w:pPr>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54</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top w:val="single" w:sz="8" w:color="auto"/>
              <w:bottom w:val="single" w:sz="8" w:color="auto"/>
            </w:tcBorders>
            <w:gridSpan w:val="4"/>
          </w:tcPr>
          <w:p>
            <w:pPr>
              <w:jc w:val="right"/>
              <w:spacing w:after="0" w:line="142" w:lineRule="exact"/>
              <w:rPr>
                <w:sz w:val="20"/>
                <w:szCs w:val="20"/>
                <w:color w:val="auto"/>
              </w:rPr>
            </w:pPr>
            <w:r>
              <w:rPr>
                <w:rFonts w:ascii="Arial" w:cs="Arial" w:eastAsia="Arial" w:hAnsi="Arial"/>
                <w:sz w:val="14"/>
                <w:szCs w:val="14"/>
                <w:color w:val="auto"/>
                <w:w w:val="93"/>
              </w:rPr>
              <w:t>$ 215,101</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gridSpan w:val="3"/>
          </w:tcPr>
          <w:p>
            <w:pPr>
              <w:jc w:val="right"/>
              <w:ind w:right="5"/>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159,322</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top w:val="single" w:sz="8" w:color="auto"/>
              <w:bottom w:val="single" w:sz="8" w:color="auto"/>
            </w:tcBorders>
            <w:gridSpan w:val="3"/>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(102)</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Borders>
              <w:top w:val="single" w:sz="8" w:color="auto"/>
              <w:bottom w:val="single" w:sz="8" w:color="auto"/>
            </w:tcBorders>
            <w:gridSpan w:val="3"/>
          </w:tcPr>
          <w:p>
            <w:pPr>
              <w:ind w:left="20"/>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374,375</w:t>
            </w:r>
          </w:p>
        </w:tc>
        <w:tc>
          <w:tcPr>
            <w:tcW w:w="60" w:type="dxa"/>
            <w:vAlign w:val="bottom"/>
          </w:tcPr>
          <w:p>
            <w:pPr>
              <w:spacing w:after="0"/>
              <w:rPr>
                <w:sz w:val="12"/>
                <w:szCs w:val="12"/>
                <w:color w:val="auto"/>
              </w:rPr>
            </w:pPr>
          </w:p>
        </w:tc>
      </w:tr>
      <w:tr>
        <w:trPr>
          <w:trHeight w:val="20"/>
        </w:trPr>
        <w:tc>
          <w:tcPr>
            <w:tcW w:w="4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2"/>
        </w:trPr>
        <w:tc>
          <w:tcPr>
            <w:tcW w:w="4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20"/>
          </w:tcPr>
          <w:p>
            <w:pPr>
              <w:ind w:left="20"/>
              <w:spacing w:after="0"/>
              <w:rPr>
                <w:sz w:val="20"/>
                <w:szCs w:val="20"/>
                <w:color w:val="auto"/>
              </w:rPr>
            </w:pPr>
            <w:r>
              <w:rPr>
                <w:rFonts w:ascii="Arial" w:cs="Arial" w:eastAsia="Arial" w:hAnsi="Arial"/>
                <w:sz w:val="13"/>
                <w:szCs w:val="13"/>
                <w:b w:val="1"/>
                <w:bCs w:val="1"/>
                <w:color w:val="auto"/>
              </w:rPr>
              <w:t>Three Months Ended March 31, 2021</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110"/>
        </w:trPr>
        <w:tc>
          <w:tcPr>
            <w:tcW w:w="42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gridSpan w:val="5"/>
          </w:tcPr>
          <w:p>
            <w:pPr>
              <w:jc w:val="center"/>
              <w:ind w:right="100"/>
              <w:spacing w:after="0" w:line="110" w:lineRule="exact"/>
              <w:rPr>
                <w:sz w:val="20"/>
                <w:szCs w:val="20"/>
                <w:color w:val="auto"/>
              </w:rPr>
            </w:pPr>
            <w:r>
              <w:rPr>
                <w:rFonts w:ascii="Arial" w:cs="Arial" w:eastAsia="Arial" w:hAnsi="Arial"/>
                <w:sz w:val="12"/>
                <w:szCs w:val="12"/>
                <w:b w:val="1"/>
                <w:bCs w:val="1"/>
                <w:color w:val="auto"/>
                <w:w w:val="95"/>
              </w:rPr>
              <w:t>Accumulated</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35"/>
        </w:trPr>
        <w:tc>
          <w:tcPr>
            <w:tcW w:w="4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5"/>
          </w:tcPr>
          <w:p>
            <w:pPr>
              <w:ind w:left="20"/>
              <w:spacing w:after="0" w:line="135" w:lineRule="exact"/>
              <w:rPr>
                <w:sz w:val="20"/>
                <w:szCs w:val="20"/>
                <w:color w:val="auto"/>
              </w:rPr>
            </w:pPr>
            <w:r>
              <w:rPr>
                <w:rFonts w:ascii="Arial" w:cs="Arial" w:eastAsia="Arial" w:hAnsi="Arial"/>
                <w:sz w:val="13"/>
                <w:szCs w:val="13"/>
                <w:b w:val="1"/>
                <w:bCs w:val="1"/>
                <w:color w:val="auto"/>
              </w:rPr>
              <w:t>Additional</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4"/>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Other</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3"/>
              </w:rPr>
              <w:t>Total</w:t>
            </w:r>
          </w:p>
        </w:tc>
      </w:tr>
      <w:tr>
        <w:trPr>
          <w:trHeight w:val="153"/>
        </w:trPr>
        <w:tc>
          <w:tcPr>
            <w:tcW w:w="4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gridSpan w:val="11"/>
          </w:tcPr>
          <w:p>
            <w:pPr>
              <w:ind w:left="120"/>
              <w:spacing w:after="0"/>
              <w:rPr>
                <w:sz w:val="20"/>
                <w:szCs w:val="20"/>
                <w:color w:val="auto"/>
              </w:rPr>
            </w:pPr>
            <w:r>
              <w:rPr>
                <w:rFonts w:ascii="Arial" w:cs="Arial" w:eastAsia="Arial" w:hAnsi="Arial"/>
                <w:sz w:val="13"/>
                <w:szCs w:val="13"/>
                <w:b w:val="1"/>
                <w:bCs w:val="1"/>
                <w:color w:val="auto"/>
              </w:rPr>
              <w:t>Common Stock</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4"/>
          </w:tcPr>
          <w:p>
            <w:pPr>
              <w:jc w:val="right"/>
              <w:ind w:right="240"/>
              <w:spacing w:after="0"/>
              <w:rPr>
                <w:sz w:val="20"/>
                <w:szCs w:val="20"/>
                <w:color w:val="auto"/>
              </w:rPr>
            </w:pPr>
            <w:r>
              <w:rPr>
                <w:rFonts w:ascii="Arial" w:cs="Arial" w:eastAsia="Arial" w:hAnsi="Arial"/>
                <w:sz w:val="13"/>
                <w:szCs w:val="13"/>
                <w:b w:val="1"/>
                <w:bCs w:val="1"/>
                <w:color w:val="auto"/>
                <w:w w:val="92"/>
              </w:rPr>
              <w:t>Paid-in</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4"/>
          </w:tcPr>
          <w:p>
            <w:pPr>
              <w:spacing w:after="0"/>
              <w:rPr>
                <w:sz w:val="20"/>
                <w:szCs w:val="20"/>
                <w:color w:val="auto"/>
              </w:rPr>
            </w:pPr>
            <w:r>
              <w:rPr>
                <w:rFonts w:ascii="Arial" w:cs="Arial" w:eastAsia="Arial" w:hAnsi="Arial"/>
                <w:sz w:val="13"/>
                <w:szCs w:val="13"/>
                <w:b w:val="1"/>
                <w:bCs w:val="1"/>
                <w:color w:val="auto"/>
              </w:rPr>
              <w:t>Retained</w:t>
            </w:r>
          </w:p>
        </w:tc>
        <w:tc>
          <w:tcPr>
            <w:tcW w:w="40" w:type="dxa"/>
            <w:vAlign w:val="bottom"/>
          </w:tcPr>
          <w:p>
            <w:pPr>
              <w:spacing w:after="0"/>
              <w:rPr>
                <w:sz w:val="13"/>
                <w:szCs w:val="13"/>
                <w:color w:val="auto"/>
              </w:rPr>
            </w:pPr>
          </w:p>
        </w:tc>
        <w:tc>
          <w:tcPr>
            <w:tcW w:w="920" w:type="dxa"/>
            <w:vAlign w:val="bottom"/>
            <w:gridSpan w:val="6"/>
          </w:tcPr>
          <w:p>
            <w:pPr>
              <w:spacing w:after="0"/>
              <w:rPr>
                <w:sz w:val="20"/>
                <w:szCs w:val="20"/>
                <w:color w:val="auto"/>
              </w:rPr>
            </w:pPr>
            <w:r>
              <w:rPr>
                <w:rFonts w:ascii="Arial" w:cs="Arial" w:eastAsia="Arial" w:hAnsi="Arial"/>
                <w:sz w:val="13"/>
                <w:szCs w:val="13"/>
                <w:b w:val="1"/>
                <w:bCs w:val="1"/>
                <w:color w:val="auto"/>
                <w:w w:val="92"/>
              </w:rPr>
              <w:t>Comprehensive</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3"/>
          </w:tcPr>
          <w:p>
            <w:pPr>
              <w:spacing w:after="0"/>
              <w:rPr>
                <w:sz w:val="20"/>
                <w:szCs w:val="20"/>
                <w:color w:val="auto"/>
              </w:rPr>
            </w:pPr>
            <w:r>
              <w:rPr>
                <w:rFonts w:ascii="Arial" w:cs="Arial" w:eastAsia="Arial" w:hAnsi="Arial"/>
                <w:sz w:val="13"/>
                <w:szCs w:val="13"/>
                <w:b w:val="1"/>
                <w:bCs w:val="1"/>
                <w:color w:val="auto"/>
                <w:w w:val="86"/>
              </w:rPr>
              <w:t>Stockholders’</w:t>
            </w:r>
          </w:p>
        </w:tc>
      </w:tr>
      <w:tr>
        <w:trPr>
          <w:trHeight w:val="129"/>
        </w:trPr>
        <w:tc>
          <w:tcPr>
            <w:tcW w:w="4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4"/>
          </w:tcPr>
          <w:p>
            <w:pPr>
              <w:ind w:left="60"/>
              <w:spacing w:after="0" w:line="129" w:lineRule="exact"/>
              <w:rPr>
                <w:sz w:val="20"/>
                <w:szCs w:val="20"/>
                <w:color w:val="auto"/>
              </w:rPr>
            </w:pPr>
            <w:r>
              <w:rPr>
                <w:rFonts w:ascii="Arial" w:cs="Arial" w:eastAsia="Arial" w:hAnsi="Arial"/>
                <w:sz w:val="13"/>
                <w:szCs w:val="13"/>
                <w:b w:val="1"/>
                <w:bCs w:val="1"/>
                <w:color w:val="auto"/>
              </w:rPr>
              <w:t>Shares</w:t>
            </w:r>
          </w:p>
        </w:tc>
        <w:tc>
          <w:tcPr>
            <w:tcW w:w="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gridSpan w:val="4"/>
          </w:tcPr>
          <w:p>
            <w:pPr>
              <w:spacing w:after="0" w:line="129" w:lineRule="exact"/>
              <w:rPr>
                <w:sz w:val="20"/>
                <w:szCs w:val="20"/>
                <w:color w:val="auto"/>
              </w:rPr>
            </w:pPr>
            <w:r>
              <w:rPr>
                <w:rFonts w:ascii="Arial" w:cs="Arial" w:eastAsia="Arial" w:hAnsi="Arial"/>
                <w:sz w:val="13"/>
                <w:szCs w:val="13"/>
                <w:b w:val="1"/>
                <w:bCs w:val="1"/>
                <w:color w:val="auto"/>
                <w:w w:val="81"/>
              </w:rPr>
              <w:t>Amount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4"/>
          </w:tcPr>
          <w:p>
            <w:pPr>
              <w:jc w:val="right"/>
              <w:ind w:right="240"/>
              <w:spacing w:after="0" w:line="129" w:lineRule="exact"/>
              <w:rPr>
                <w:sz w:val="20"/>
                <w:szCs w:val="20"/>
                <w:color w:val="auto"/>
              </w:rPr>
            </w:pPr>
            <w:r>
              <w:rPr>
                <w:rFonts w:ascii="Arial" w:cs="Arial" w:eastAsia="Arial" w:hAnsi="Arial"/>
                <w:sz w:val="13"/>
                <w:szCs w:val="13"/>
                <w:b w:val="1"/>
                <w:bCs w:val="1"/>
                <w:color w:val="auto"/>
                <w:w w:val="92"/>
              </w:rPr>
              <w:t>Capital</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4"/>
          </w:tcPr>
          <w:p>
            <w:pPr>
              <w:spacing w:after="0" w:line="129" w:lineRule="exact"/>
              <w:rPr>
                <w:sz w:val="20"/>
                <w:szCs w:val="20"/>
                <w:color w:val="auto"/>
              </w:rPr>
            </w:pPr>
            <w:r>
              <w:rPr>
                <w:rFonts w:ascii="Arial" w:cs="Arial" w:eastAsia="Arial" w:hAnsi="Arial"/>
                <w:sz w:val="13"/>
                <w:szCs w:val="13"/>
                <w:b w:val="1"/>
                <w:bCs w:val="1"/>
                <w:color w:val="auto"/>
              </w:rPr>
              <w:t>Earnings</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4"/>
          </w:tcPr>
          <w:p>
            <w:pPr>
              <w:jc w:val="center"/>
              <w:ind w:right="240"/>
              <w:spacing w:after="0" w:line="129" w:lineRule="exact"/>
              <w:rPr>
                <w:sz w:val="20"/>
                <w:szCs w:val="20"/>
                <w:color w:val="auto"/>
              </w:rPr>
            </w:pPr>
            <w:r>
              <w:rPr>
                <w:rFonts w:ascii="Arial" w:cs="Arial" w:eastAsia="Arial" w:hAnsi="Arial"/>
                <w:sz w:val="13"/>
                <w:szCs w:val="13"/>
                <w:b w:val="1"/>
                <w:bCs w:val="1"/>
                <w:color w:val="auto"/>
                <w:w w:val="87"/>
              </w:rPr>
              <w:t>Income</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120"/>
              <w:spacing w:after="0" w:line="129" w:lineRule="exact"/>
              <w:rPr>
                <w:sz w:val="20"/>
                <w:szCs w:val="20"/>
                <w:color w:val="auto"/>
              </w:rPr>
            </w:pPr>
            <w:r>
              <w:rPr>
                <w:rFonts w:ascii="Arial" w:cs="Arial" w:eastAsia="Arial" w:hAnsi="Arial"/>
                <w:sz w:val="13"/>
                <w:szCs w:val="13"/>
                <w:b w:val="1"/>
                <w:bCs w:val="1"/>
                <w:color w:val="auto"/>
                <w:w w:val="95"/>
              </w:rPr>
              <w:t>Equity</w:t>
            </w:r>
          </w:p>
        </w:tc>
      </w:tr>
      <w:tr>
        <w:trPr>
          <w:trHeight w:val="142"/>
        </w:trPr>
        <w:tc>
          <w:tcPr>
            <w:tcW w:w="426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Balances at December 31, 2020</w:t>
            </w:r>
          </w:p>
        </w:tc>
        <w:tc>
          <w:tcPr>
            <w:tcW w:w="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54,370</w:t>
            </w:r>
          </w:p>
        </w:tc>
        <w:tc>
          <w:tcPr>
            <w:tcW w:w="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54</w:t>
            </w:r>
          </w:p>
        </w:tc>
        <w:tc>
          <w:tcPr>
            <w:tcW w:w="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221,525</w:t>
            </w:r>
          </w:p>
        </w:tc>
        <w:tc>
          <w:tcPr>
            <w:tcW w:w="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186,374</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265</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408,218</w:t>
            </w:r>
          </w:p>
        </w:tc>
      </w:tr>
      <w:tr>
        <w:trPr>
          <w:trHeight w:val="148"/>
        </w:trPr>
        <w:tc>
          <w:tcPr>
            <w:tcW w:w="4260" w:type="dxa"/>
            <w:vAlign w:val="bottom"/>
          </w:tcPr>
          <w:p>
            <w:pPr>
              <w:ind w:left="20"/>
              <w:spacing w:after="0" w:line="149" w:lineRule="exact"/>
              <w:rPr>
                <w:sz w:val="20"/>
                <w:szCs w:val="20"/>
                <w:color w:val="auto"/>
              </w:rPr>
            </w:pPr>
            <w:r>
              <w:rPr>
                <w:rFonts w:ascii="Arial" w:cs="Arial" w:eastAsia="Arial" w:hAnsi="Arial"/>
                <w:sz w:val="14"/>
                <w:szCs w:val="14"/>
                <w:color w:val="auto"/>
              </w:rPr>
              <w:t>Stock-based compensation</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gridSpan w:val="4"/>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16,663</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16,663</w:t>
            </w:r>
          </w:p>
        </w:tc>
      </w:tr>
      <w:tr>
        <w:trPr>
          <w:trHeight w:val="148"/>
        </w:trPr>
        <w:tc>
          <w:tcPr>
            <w:tcW w:w="42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Stock options exercised</w:t>
            </w:r>
          </w:p>
        </w:tc>
        <w:tc>
          <w:tcPr>
            <w:tcW w:w="5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104</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gridSpan w:val="4"/>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545</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4"/>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545</w:t>
            </w:r>
          </w:p>
        </w:tc>
      </w:tr>
      <w:tr>
        <w:trPr>
          <w:trHeight w:val="148"/>
        </w:trPr>
        <w:tc>
          <w:tcPr>
            <w:tcW w:w="4260" w:type="dxa"/>
            <w:vAlign w:val="bottom"/>
          </w:tcPr>
          <w:p>
            <w:pPr>
              <w:ind w:left="20"/>
              <w:spacing w:after="0" w:line="149" w:lineRule="exact"/>
              <w:rPr>
                <w:sz w:val="20"/>
                <w:szCs w:val="20"/>
                <w:color w:val="auto"/>
              </w:rPr>
            </w:pPr>
            <w:r>
              <w:rPr>
                <w:rFonts w:ascii="Arial" w:cs="Arial" w:eastAsia="Arial" w:hAnsi="Arial"/>
                <w:sz w:val="14"/>
                <w:szCs w:val="14"/>
                <w:color w:val="auto"/>
              </w:rPr>
              <w:t>Issuance of common stock upon vesting of restricted stock units</w:t>
            </w:r>
          </w:p>
        </w:tc>
        <w:tc>
          <w:tcPr>
            <w:tcW w:w="5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gridSpan w:val="4"/>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r>
      <w:tr>
        <w:trPr>
          <w:trHeight w:val="149"/>
        </w:trPr>
        <w:tc>
          <w:tcPr>
            <w:tcW w:w="42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7"/>
              </w:rPr>
              <w:t>Net settlement for taxes and/or exercise price related to equity awards</w:t>
            </w:r>
          </w:p>
        </w:tc>
        <w:tc>
          <w:tcPr>
            <w:tcW w:w="640" w:type="dxa"/>
            <w:vAlign w:val="bottom"/>
            <w:gridSpan w:val="5"/>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(37)</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gridSpan w:val="4"/>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(7,525)</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4"/>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(7,525)</w:t>
            </w:r>
          </w:p>
        </w:tc>
      </w:tr>
      <w:tr>
        <w:trPr>
          <w:trHeight w:val="148"/>
        </w:trPr>
        <w:tc>
          <w:tcPr>
            <w:tcW w:w="4260" w:type="dxa"/>
            <w:vAlign w:val="bottom"/>
          </w:tcPr>
          <w:p>
            <w:pPr>
              <w:ind w:left="20"/>
              <w:spacing w:after="0" w:line="149" w:lineRule="exact"/>
              <w:rPr>
                <w:sz w:val="20"/>
                <w:szCs w:val="20"/>
                <w:color w:val="auto"/>
              </w:rPr>
            </w:pPr>
            <w:r>
              <w:rPr>
                <w:rFonts w:ascii="Arial" w:cs="Arial" w:eastAsia="Arial" w:hAnsi="Arial"/>
                <w:sz w:val="14"/>
                <w:szCs w:val="14"/>
                <w:color w:val="auto"/>
              </w:rPr>
              <w:t>Unrealized losses on securities, net of tax</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gridSpan w:val="4"/>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(126)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(126)</w:t>
            </w:r>
          </w:p>
        </w:tc>
      </w:tr>
      <w:tr>
        <w:trPr>
          <w:trHeight w:val="148"/>
        </w:trPr>
        <w:tc>
          <w:tcPr>
            <w:tcW w:w="42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income</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gridSpan w:val="4"/>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36,834</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36,834</w:t>
            </w:r>
          </w:p>
        </w:tc>
      </w:tr>
      <w:tr>
        <w:trPr>
          <w:trHeight w:val="142"/>
        </w:trPr>
        <w:tc>
          <w:tcPr>
            <w:tcW w:w="426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Balances at March 31, 2021</w:t>
            </w:r>
          </w:p>
        </w:tc>
        <w:tc>
          <w:tcPr>
            <w:tcW w:w="20" w:type="dxa"/>
            <w:vAlign w:val="bottom"/>
          </w:tcPr>
          <w:p>
            <w:pPr>
              <w:spacing w:after="0"/>
              <w:rPr>
                <w:sz w:val="12"/>
                <w:szCs w:val="12"/>
                <w:color w:val="auto"/>
              </w:rPr>
            </w:pPr>
          </w:p>
        </w:tc>
        <w:tc>
          <w:tcPr>
            <w:tcW w:w="5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54,451</w:t>
            </w:r>
          </w:p>
        </w:tc>
        <w:tc>
          <w:tcPr>
            <w:tcW w:w="4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54</w:t>
            </w:r>
          </w:p>
        </w:tc>
        <w:tc>
          <w:tcPr>
            <w:tcW w:w="2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8"/>
              </w:rPr>
              <w:t>231,208</w:t>
            </w:r>
          </w:p>
        </w:tc>
        <w:tc>
          <w:tcPr>
            <w:tcW w:w="4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color w:val="auto"/>
              </w:rPr>
              <w:t>223,208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color w:val="auto"/>
              </w:rPr>
              <w:t>139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color w:val="auto"/>
              </w:rPr>
              <w:t>454,609</w:t>
            </w:r>
          </w:p>
        </w:tc>
      </w:tr>
      <w:tr>
        <w:trPr>
          <w:trHeight w:val="20"/>
        </w:trPr>
        <w:tc>
          <w:tcPr>
            <w:tcW w:w="4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345"/>
        </w:trPr>
        <w:tc>
          <w:tcPr>
            <w:tcW w:w="4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19"/>
          </w:tcPr>
          <w:p>
            <w:pPr>
              <w:ind w:left="60"/>
              <w:spacing w:after="0"/>
              <w:rPr>
                <w:sz w:val="20"/>
                <w:szCs w:val="20"/>
                <w:color w:val="auto"/>
              </w:rPr>
            </w:pPr>
            <w:r>
              <w:rPr>
                <w:rFonts w:ascii="Arial" w:cs="Arial" w:eastAsia="Arial" w:hAnsi="Arial"/>
                <w:sz w:val="13"/>
                <w:szCs w:val="13"/>
                <w:b w:val="1"/>
                <w:bCs w:val="1"/>
                <w:color w:val="auto"/>
              </w:rPr>
              <w:t>Nine Months Ended March 31, 2020</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110"/>
        </w:trPr>
        <w:tc>
          <w:tcPr>
            <w:tcW w:w="42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gridSpan w:val="5"/>
          </w:tcPr>
          <w:p>
            <w:pPr>
              <w:jc w:val="center"/>
              <w:ind w:right="40"/>
              <w:spacing w:after="0" w:line="110" w:lineRule="exact"/>
              <w:rPr>
                <w:sz w:val="20"/>
                <w:szCs w:val="20"/>
                <w:color w:val="auto"/>
              </w:rPr>
            </w:pPr>
            <w:r>
              <w:rPr>
                <w:rFonts w:ascii="Arial" w:cs="Arial" w:eastAsia="Arial" w:hAnsi="Arial"/>
                <w:sz w:val="12"/>
                <w:szCs w:val="12"/>
                <w:b w:val="1"/>
                <w:bCs w:val="1"/>
                <w:color w:val="auto"/>
                <w:w w:val="92"/>
              </w:rPr>
              <w:t>Accumulated</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35"/>
        </w:trPr>
        <w:tc>
          <w:tcPr>
            <w:tcW w:w="4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5"/>
          </w:tcPr>
          <w:p>
            <w:pPr>
              <w:ind w:left="40"/>
              <w:spacing w:after="0" w:line="135" w:lineRule="exact"/>
              <w:rPr>
                <w:sz w:val="20"/>
                <w:szCs w:val="20"/>
                <w:color w:val="auto"/>
              </w:rPr>
            </w:pPr>
            <w:r>
              <w:rPr>
                <w:rFonts w:ascii="Arial" w:cs="Arial" w:eastAsia="Arial" w:hAnsi="Arial"/>
                <w:sz w:val="13"/>
                <w:szCs w:val="13"/>
                <w:b w:val="1"/>
                <w:bCs w:val="1"/>
                <w:color w:val="auto"/>
              </w:rPr>
              <w:t>Additional</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4"/>
          </w:tcPr>
          <w:p>
            <w:pPr>
              <w:jc w:val="center"/>
              <w:ind w:right="180"/>
              <w:spacing w:after="0" w:line="135" w:lineRule="exact"/>
              <w:rPr>
                <w:sz w:val="20"/>
                <w:szCs w:val="20"/>
                <w:color w:val="auto"/>
              </w:rPr>
            </w:pPr>
            <w:r>
              <w:rPr>
                <w:rFonts w:ascii="Arial" w:cs="Arial" w:eastAsia="Arial" w:hAnsi="Arial"/>
                <w:sz w:val="13"/>
                <w:szCs w:val="13"/>
                <w:b w:val="1"/>
                <w:bCs w:val="1"/>
                <w:color w:val="auto"/>
                <w:w w:val="97"/>
              </w:rPr>
              <w:t>Other</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53"/>
        </w:trPr>
        <w:tc>
          <w:tcPr>
            <w:tcW w:w="4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gridSpan w:val="11"/>
          </w:tcPr>
          <w:p>
            <w:pPr>
              <w:ind w:left="160"/>
              <w:spacing w:after="0"/>
              <w:rPr>
                <w:sz w:val="20"/>
                <w:szCs w:val="20"/>
                <w:color w:val="auto"/>
              </w:rPr>
            </w:pPr>
            <w:r>
              <w:rPr>
                <w:rFonts w:ascii="Arial" w:cs="Arial" w:eastAsia="Arial" w:hAnsi="Arial"/>
                <w:sz w:val="13"/>
                <w:szCs w:val="13"/>
                <w:b w:val="1"/>
                <w:bCs w:val="1"/>
                <w:color w:val="auto"/>
              </w:rPr>
              <w:t>Common Stock</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4"/>
          </w:tcPr>
          <w:p>
            <w:pPr>
              <w:jc w:val="right"/>
              <w:ind w:right="200"/>
              <w:spacing w:after="0"/>
              <w:rPr>
                <w:sz w:val="20"/>
                <w:szCs w:val="20"/>
                <w:color w:val="auto"/>
              </w:rPr>
            </w:pPr>
            <w:r>
              <w:rPr>
                <w:rFonts w:ascii="Arial" w:cs="Arial" w:eastAsia="Arial" w:hAnsi="Arial"/>
                <w:sz w:val="13"/>
                <w:szCs w:val="13"/>
                <w:b w:val="1"/>
                <w:bCs w:val="1"/>
                <w:color w:val="auto"/>
              </w:rPr>
              <w:t>Paid-in</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4"/>
          </w:tcPr>
          <w:p>
            <w:pPr>
              <w:ind w:left="20"/>
              <w:spacing w:after="0"/>
              <w:rPr>
                <w:sz w:val="20"/>
                <w:szCs w:val="20"/>
                <w:color w:val="auto"/>
              </w:rPr>
            </w:pPr>
            <w:r>
              <w:rPr>
                <w:rFonts w:ascii="Arial" w:cs="Arial" w:eastAsia="Arial" w:hAnsi="Arial"/>
                <w:sz w:val="13"/>
                <w:szCs w:val="13"/>
                <w:b w:val="1"/>
                <w:bCs w:val="1"/>
                <w:color w:val="auto"/>
              </w:rPr>
              <w:t>Retained</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5"/>
          </w:tcPr>
          <w:p>
            <w:pPr>
              <w:ind w:left="20"/>
              <w:spacing w:after="0"/>
              <w:rPr>
                <w:sz w:val="20"/>
                <w:szCs w:val="20"/>
                <w:color w:val="auto"/>
              </w:rPr>
            </w:pPr>
            <w:r>
              <w:rPr>
                <w:rFonts w:ascii="Arial" w:cs="Arial" w:eastAsia="Arial" w:hAnsi="Arial"/>
                <w:sz w:val="13"/>
                <w:szCs w:val="13"/>
                <w:b w:val="1"/>
                <w:bCs w:val="1"/>
                <w:color w:val="auto"/>
                <w:w w:val="88"/>
              </w:rPr>
              <w:t>Comprehensive</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3"/>
          </w:tcPr>
          <w:p>
            <w:pPr>
              <w:ind w:left="20"/>
              <w:spacing w:after="0"/>
              <w:rPr>
                <w:sz w:val="20"/>
                <w:szCs w:val="20"/>
                <w:color w:val="auto"/>
              </w:rPr>
            </w:pPr>
            <w:r>
              <w:rPr>
                <w:rFonts w:ascii="Arial" w:cs="Arial" w:eastAsia="Arial" w:hAnsi="Arial"/>
                <w:sz w:val="13"/>
                <w:szCs w:val="13"/>
                <w:b w:val="1"/>
                <w:bCs w:val="1"/>
                <w:color w:val="auto"/>
                <w:w w:val="83"/>
              </w:rPr>
              <w:t>Stockholders’</w:t>
            </w:r>
          </w:p>
        </w:tc>
      </w:tr>
      <w:tr>
        <w:trPr>
          <w:trHeight w:val="128"/>
        </w:trPr>
        <w:tc>
          <w:tcPr>
            <w:tcW w:w="4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Borders>
              <w:top w:val="single" w:sz="8" w:color="auto"/>
            </w:tcBorders>
            <w:gridSpan w:val="4"/>
          </w:tcPr>
          <w:p>
            <w:pPr>
              <w:ind w:left="120"/>
              <w:spacing w:after="0" w:line="129" w:lineRule="exact"/>
              <w:rPr>
                <w:sz w:val="20"/>
                <w:szCs w:val="20"/>
                <w:color w:val="auto"/>
              </w:rPr>
            </w:pPr>
            <w:r>
              <w:rPr>
                <w:rFonts w:ascii="Arial" w:cs="Arial" w:eastAsia="Arial" w:hAnsi="Arial"/>
                <w:sz w:val="13"/>
                <w:szCs w:val="13"/>
                <w:b w:val="1"/>
                <w:bCs w:val="1"/>
                <w:color w:val="auto"/>
              </w:rPr>
              <w:t>Shares</w:t>
            </w:r>
          </w:p>
        </w:tc>
        <w:tc>
          <w:tcPr>
            <w:tcW w:w="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gridSpan w:val="4"/>
          </w:tcPr>
          <w:p>
            <w:pPr>
              <w:spacing w:after="0" w:line="129" w:lineRule="exact"/>
              <w:rPr>
                <w:sz w:val="20"/>
                <w:szCs w:val="20"/>
                <w:color w:val="auto"/>
              </w:rPr>
            </w:pPr>
            <w:r>
              <w:rPr>
                <w:rFonts w:ascii="Arial" w:cs="Arial" w:eastAsia="Arial" w:hAnsi="Arial"/>
                <w:sz w:val="13"/>
                <w:szCs w:val="13"/>
                <w:b w:val="1"/>
                <w:bCs w:val="1"/>
                <w:color w:val="auto"/>
                <w:w w:val="81"/>
              </w:rPr>
              <w:t>Amount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4"/>
          </w:tcPr>
          <w:p>
            <w:pPr>
              <w:jc w:val="right"/>
              <w:ind w:right="200"/>
              <w:spacing w:after="0" w:line="129" w:lineRule="exact"/>
              <w:rPr>
                <w:sz w:val="20"/>
                <w:szCs w:val="20"/>
                <w:color w:val="auto"/>
              </w:rPr>
            </w:pPr>
            <w:r>
              <w:rPr>
                <w:rFonts w:ascii="Arial" w:cs="Arial" w:eastAsia="Arial" w:hAnsi="Arial"/>
                <w:sz w:val="13"/>
                <w:szCs w:val="13"/>
                <w:b w:val="1"/>
                <w:bCs w:val="1"/>
                <w:color w:val="auto"/>
              </w:rPr>
              <w:t>Capital</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4"/>
          </w:tcPr>
          <w:p>
            <w:pPr>
              <w:ind w:left="20"/>
              <w:spacing w:after="0" w:line="129" w:lineRule="exact"/>
              <w:rPr>
                <w:sz w:val="20"/>
                <w:szCs w:val="20"/>
                <w:color w:val="auto"/>
              </w:rPr>
            </w:pPr>
            <w:r>
              <w:rPr>
                <w:rFonts w:ascii="Arial" w:cs="Arial" w:eastAsia="Arial" w:hAnsi="Arial"/>
                <w:sz w:val="13"/>
                <w:szCs w:val="13"/>
                <w:b w:val="1"/>
                <w:bCs w:val="1"/>
                <w:color w:val="auto"/>
              </w:rPr>
              <w:t>Earnings</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5"/>
          </w:tcPr>
          <w:p>
            <w:pPr>
              <w:jc w:val="center"/>
              <w:ind w:right="20"/>
              <w:spacing w:after="0" w:line="129" w:lineRule="exact"/>
              <w:rPr>
                <w:sz w:val="20"/>
                <w:szCs w:val="20"/>
                <w:color w:val="auto"/>
              </w:rPr>
            </w:pPr>
            <w:r>
              <w:rPr>
                <w:rFonts w:ascii="Arial" w:cs="Arial" w:eastAsia="Arial" w:hAnsi="Arial"/>
                <w:sz w:val="13"/>
                <w:szCs w:val="13"/>
                <w:b w:val="1"/>
                <w:bCs w:val="1"/>
                <w:color w:val="auto"/>
                <w:w w:val="86"/>
              </w:rPr>
              <w:t>Income (Loss)</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100"/>
              <w:spacing w:after="0" w:line="129" w:lineRule="exact"/>
              <w:rPr>
                <w:sz w:val="20"/>
                <w:szCs w:val="20"/>
                <w:color w:val="auto"/>
              </w:rPr>
            </w:pPr>
            <w:r>
              <w:rPr>
                <w:rFonts w:ascii="Arial" w:cs="Arial" w:eastAsia="Arial" w:hAnsi="Arial"/>
                <w:sz w:val="13"/>
                <w:szCs w:val="13"/>
                <w:b w:val="1"/>
                <w:bCs w:val="1"/>
                <w:color w:val="auto"/>
                <w:w w:val="90"/>
              </w:rPr>
              <w:t>Equity</w:t>
            </w:r>
          </w:p>
        </w:tc>
      </w:tr>
      <w:tr>
        <w:trPr>
          <w:trHeight w:val="142"/>
        </w:trPr>
        <w:tc>
          <w:tcPr>
            <w:tcW w:w="426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Balances at June 30, 2019</w:t>
            </w:r>
          </w:p>
        </w:tc>
        <w:tc>
          <w:tcPr>
            <w:tcW w:w="60" w:type="dxa"/>
            <w:vAlign w:val="bottom"/>
            <w:tcBorders>
              <w:top w:val="single" w:sz="8" w:color="CCEEFF"/>
            </w:tcBorders>
            <w:gridSpan w:val="2"/>
            <w:shd w:val="clear" w:color="auto" w:fill="CCEEFF"/>
          </w:tcPr>
          <w:p>
            <w:pPr>
              <w:spacing w:after="0"/>
              <w:rPr>
                <w:sz w:val="12"/>
                <w:szCs w:val="12"/>
                <w:color w:val="auto"/>
              </w:rPr>
            </w:pPr>
          </w:p>
        </w:tc>
        <w:tc>
          <w:tcPr>
            <w:tcW w:w="580" w:type="dxa"/>
            <w:vAlign w:val="bottom"/>
            <w:tcBorders>
              <w:top w:val="single" w:sz="8" w:color="auto"/>
            </w:tcBorders>
            <w:gridSpan w:val="3"/>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53,075</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gridSpan w:val="2"/>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53</w:t>
            </w:r>
          </w:p>
        </w:tc>
        <w:tc>
          <w:tcPr>
            <w:tcW w:w="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207,982</w:t>
            </w: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gridSpan w:val="2"/>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99,817</w:t>
            </w: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gridSpan w:val="2"/>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112</w:t>
            </w:r>
          </w:p>
        </w:tc>
        <w:tc>
          <w:tcPr>
            <w:tcW w:w="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gridSpan w:val="2"/>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307,964</w:t>
            </w:r>
          </w:p>
        </w:tc>
      </w:tr>
      <w:tr>
        <w:trPr>
          <w:trHeight w:val="149"/>
        </w:trPr>
        <w:tc>
          <w:tcPr>
            <w:tcW w:w="4260" w:type="dxa"/>
            <w:vAlign w:val="bottom"/>
          </w:tcPr>
          <w:p>
            <w:pPr>
              <w:ind w:left="20"/>
              <w:spacing w:after="0" w:line="149" w:lineRule="exact"/>
              <w:rPr>
                <w:sz w:val="20"/>
                <w:szCs w:val="20"/>
                <w:color w:val="auto"/>
              </w:rPr>
            </w:pPr>
            <w:r>
              <w:rPr>
                <w:rFonts w:ascii="Arial" w:cs="Arial" w:eastAsia="Arial" w:hAnsi="Arial"/>
                <w:sz w:val="14"/>
                <w:szCs w:val="14"/>
                <w:color w:val="auto"/>
              </w:rPr>
              <w:t>Stock-based compensation</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36,191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36,191</w:t>
            </w:r>
          </w:p>
        </w:tc>
      </w:tr>
      <w:tr>
        <w:trPr>
          <w:trHeight w:val="148"/>
        </w:trPr>
        <w:tc>
          <w:tcPr>
            <w:tcW w:w="42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Stock options exercised</w:t>
            </w:r>
          </w:p>
        </w:tc>
        <w:tc>
          <w:tcPr>
            <w:tcW w:w="640" w:type="dxa"/>
            <w:vAlign w:val="bottom"/>
            <w:gridSpan w:val="5"/>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153</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gridSpan w:val="4"/>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1,707</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1,707</w:t>
            </w:r>
          </w:p>
        </w:tc>
      </w:tr>
      <w:tr>
        <w:trPr>
          <w:trHeight w:val="148"/>
        </w:trPr>
        <w:tc>
          <w:tcPr>
            <w:tcW w:w="4260" w:type="dxa"/>
            <w:vAlign w:val="bottom"/>
          </w:tcPr>
          <w:p>
            <w:pPr>
              <w:ind w:left="20"/>
              <w:spacing w:after="0" w:line="149" w:lineRule="exact"/>
              <w:rPr>
                <w:sz w:val="20"/>
                <w:szCs w:val="20"/>
                <w:color w:val="auto"/>
              </w:rPr>
            </w:pPr>
            <w:r>
              <w:rPr>
                <w:rFonts w:ascii="Arial" w:cs="Arial" w:eastAsia="Arial" w:hAnsi="Arial"/>
                <w:sz w:val="14"/>
                <w:szCs w:val="14"/>
                <w:color w:val="auto"/>
              </w:rPr>
              <w:t>Issuance of common stock upon vesting of restricted stock units</w:t>
            </w:r>
          </w:p>
        </w:tc>
        <w:tc>
          <w:tcPr>
            <w:tcW w:w="640" w:type="dxa"/>
            <w:vAlign w:val="bottom"/>
            <w:gridSpan w:val="5"/>
          </w:tcPr>
          <w:p>
            <w:pPr>
              <w:jc w:val="right"/>
              <w:ind w:right="40"/>
              <w:spacing w:after="0" w:line="149" w:lineRule="exact"/>
              <w:rPr>
                <w:sz w:val="20"/>
                <w:szCs w:val="20"/>
                <w:color w:val="auto"/>
              </w:rPr>
            </w:pPr>
            <w:r>
              <w:rPr>
                <w:rFonts w:ascii="Arial" w:cs="Arial" w:eastAsia="Arial" w:hAnsi="Arial"/>
                <w:sz w:val="14"/>
                <w:szCs w:val="14"/>
                <w:color w:val="auto"/>
              </w:rPr>
              <w:t>708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r>
      <w:tr>
        <w:trPr>
          <w:trHeight w:val="149"/>
        </w:trPr>
        <w:tc>
          <w:tcPr>
            <w:tcW w:w="42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Issuance of common stock under employee stock purchase plan</w:t>
            </w:r>
          </w:p>
        </w:tc>
        <w:tc>
          <w:tcPr>
            <w:tcW w:w="640" w:type="dxa"/>
            <w:vAlign w:val="bottom"/>
            <w:gridSpan w:val="5"/>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45</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gridSpan w:val="4"/>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3,961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3,961</w:t>
            </w:r>
          </w:p>
        </w:tc>
      </w:tr>
      <w:tr>
        <w:trPr>
          <w:trHeight w:val="148"/>
        </w:trPr>
        <w:tc>
          <w:tcPr>
            <w:tcW w:w="4260" w:type="dxa"/>
            <w:vAlign w:val="bottom"/>
          </w:tcPr>
          <w:p>
            <w:pPr>
              <w:ind w:left="20"/>
              <w:spacing w:after="0" w:line="149" w:lineRule="exact"/>
              <w:rPr>
                <w:sz w:val="20"/>
                <w:szCs w:val="20"/>
                <w:color w:val="auto"/>
              </w:rPr>
            </w:pPr>
            <w:r>
              <w:rPr>
                <w:rFonts w:ascii="Arial" w:cs="Arial" w:eastAsia="Arial" w:hAnsi="Arial"/>
                <w:sz w:val="14"/>
                <w:szCs w:val="14"/>
                <w:color w:val="auto"/>
                <w:w w:val="97"/>
              </w:rPr>
              <w:t>Net settlement for taxes and/or exercise price related to equity awards</w:t>
            </w:r>
          </w:p>
        </w:tc>
        <w:tc>
          <w:tcPr>
            <w:tcW w:w="700" w:type="dxa"/>
            <w:vAlign w:val="bottom"/>
            <w:gridSpan w:val="6"/>
          </w:tcPr>
          <w:p>
            <w:pPr>
              <w:jc w:val="right"/>
              <w:ind w:right="40"/>
              <w:spacing w:after="0" w:line="149" w:lineRule="exact"/>
              <w:rPr>
                <w:sz w:val="20"/>
                <w:szCs w:val="20"/>
                <w:color w:val="auto"/>
              </w:rPr>
            </w:pPr>
            <w:r>
              <w:rPr>
                <w:rFonts w:ascii="Arial" w:cs="Arial" w:eastAsia="Arial" w:hAnsi="Arial"/>
                <w:sz w:val="14"/>
                <w:szCs w:val="14"/>
                <w:color w:val="auto"/>
              </w:rPr>
              <w:t>(321)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(34,739)</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(34,739)</w:t>
            </w:r>
          </w:p>
        </w:tc>
      </w:tr>
      <w:tr>
        <w:trPr>
          <w:trHeight w:val="148"/>
        </w:trPr>
        <w:tc>
          <w:tcPr>
            <w:tcW w:w="42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Unrealized losses on securities, net of tax</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gridSpan w:val="4"/>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4"/>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(214)</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(214)</w:t>
            </w:r>
          </w:p>
        </w:tc>
      </w:tr>
      <w:tr>
        <w:trPr>
          <w:trHeight w:val="149"/>
        </w:trPr>
        <w:tc>
          <w:tcPr>
            <w:tcW w:w="4260" w:type="dxa"/>
            <w:vAlign w:val="bottom"/>
          </w:tcPr>
          <w:p>
            <w:pPr>
              <w:ind w:left="20"/>
              <w:spacing w:after="0" w:line="149" w:lineRule="exact"/>
              <w:rPr>
                <w:sz w:val="20"/>
                <w:szCs w:val="20"/>
                <w:color w:val="auto"/>
              </w:rPr>
            </w:pPr>
            <w:r>
              <w:rPr>
                <w:rFonts w:ascii="Arial" w:cs="Arial" w:eastAsia="Arial" w:hAnsi="Arial"/>
                <w:sz w:val="14"/>
                <w:szCs w:val="14"/>
                <w:color w:val="auto"/>
              </w:rPr>
              <w:t>Net income</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59,505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59,505</w:t>
            </w:r>
          </w:p>
        </w:tc>
      </w:tr>
      <w:tr>
        <w:trPr>
          <w:trHeight w:val="142"/>
        </w:trPr>
        <w:tc>
          <w:tcPr>
            <w:tcW w:w="426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Balances at March 31, 2020</w:t>
            </w:r>
          </w:p>
        </w:tc>
        <w:tc>
          <w:tcPr>
            <w:tcW w:w="6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580" w:type="dxa"/>
            <w:vAlign w:val="bottom"/>
            <w:tcBorders>
              <w:top w:val="single" w:sz="8" w:color="auto"/>
              <w:bottom w:val="single" w:sz="8" w:color="auto"/>
            </w:tcBorders>
            <w:gridSpan w:val="3"/>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53,660</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54</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215,101</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159,322</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rPr>
              <w:t>(102)</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374,375</w:t>
            </w:r>
          </w:p>
        </w:tc>
      </w:tr>
      <w:tr>
        <w:trPr>
          <w:trHeight w:val="20"/>
        </w:trPr>
        <w:tc>
          <w:tcPr>
            <w:tcW w:w="4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60" w:type="dxa"/>
            <w:vAlign w:val="bottom"/>
            <w:tcBorders>
              <w:bottom w:val="single" w:sz="8" w:color="auto"/>
            </w:tcBorders>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60" w:type="dxa"/>
            <w:vAlign w:val="bottom"/>
            <w:tcBorders>
              <w:bottom w:val="single" w:sz="8" w:color="auto"/>
            </w:tcBorders>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345"/>
        </w:trPr>
        <w:tc>
          <w:tcPr>
            <w:tcW w:w="4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19"/>
          </w:tcPr>
          <w:p>
            <w:pPr>
              <w:ind w:left="60"/>
              <w:spacing w:after="0"/>
              <w:rPr>
                <w:sz w:val="20"/>
                <w:szCs w:val="20"/>
                <w:color w:val="auto"/>
              </w:rPr>
            </w:pPr>
            <w:r>
              <w:rPr>
                <w:rFonts w:ascii="Arial" w:cs="Arial" w:eastAsia="Arial" w:hAnsi="Arial"/>
                <w:sz w:val="13"/>
                <w:szCs w:val="13"/>
                <w:b w:val="1"/>
                <w:bCs w:val="1"/>
                <w:color w:val="auto"/>
              </w:rPr>
              <w:t>Nine Months Ended March 31, 2021</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110"/>
        </w:trPr>
        <w:tc>
          <w:tcPr>
            <w:tcW w:w="42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gridSpan w:val="5"/>
          </w:tcPr>
          <w:p>
            <w:pPr>
              <w:jc w:val="center"/>
              <w:ind w:right="40"/>
              <w:spacing w:after="0" w:line="110" w:lineRule="exact"/>
              <w:rPr>
                <w:sz w:val="20"/>
                <w:szCs w:val="20"/>
                <w:color w:val="auto"/>
              </w:rPr>
            </w:pPr>
            <w:r>
              <w:rPr>
                <w:rFonts w:ascii="Arial" w:cs="Arial" w:eastAsia="Arial" w:hAnsi="Arial"/>
                <w:sz w:val="12"/>
                <w:szCs w:val="12"/>
                <w:b w:val="1"/>
                <w:bCs w:val="1"/>
                <w:color w:val="auto"/>
                <w:w w:val="92"/>
              </w:rPr>
              <w:t>Accumulated</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35"/>
        </w:trPr>
        <w:tc>
          <w:tcPr>
            <w:tcW w:w="4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5"/>
          </w:tcPr>
          <w:p>
            <w:pPr>
              <w:ind w:left="40"/>
              <w:spacing w:after="0" w:line="135" w:lineRule="exact"/>
              <w:rPr>
                <w:sz w:val="20"/>
                <w:szCs w:val="20"/>
                <w:color w:val="auto"/>
              </w:rPr>
            </w:pPr>
            <w:r>
              <w:rPr>
                <w:rFonts w:ascii="Arial" w:cs="Arial" w:eastAsia="Arial" w:hAnsi="Arial"/>
                <w:sz w:val="13"/>
                <w:szCs w:val="13"/>
                <w:b w:val="1"/>
                <w:bCs w:val="1"/>
                <w:color w:val="auto"/>
              </w:rPr>
              <w:t>Additional</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4"/>
          </w:tcPr>
          <w:p>
            <w:pPr>
              <w:jc w:val="center"/>
              <w:ind w:right="180"/>
              <w:spacing w:after="0" w:line="135" w:lineRule="exact"/>
              <w:rPr>
                <w:sz w:val="20"/>
                <w:szCs w:val="20"/>
                <w:color w:val="auto"/>
              </w:rPr>
            </w:pPr>
            <w:r>
              <w:rPr>
                <w:rFonts w:ascii="Arial" w:cs="Arial" w:eastAsia="Arial" w:hAnsi="Arial"/>
                <w:sz w:val="13"/>
                <w:szCs w:val="13"/>
                <w:b w:val="1"/>
                <w:bCs w:val="1"/>
                <w:color w:val="auto"/>
                <w:w w:val="97"/>
              </w:rPr>
              <w:t>Other</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53"/>
        </w:trPr>
        <w:tc>
          <w:tcPr>
            <w:tcW w:w="4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gridSpan w:val="11"/>
          </w:tcPr>
          <w:p>
            <w:pPr>
              <w:ind w:left="160"/>
              <w:spacing w:after="0"/>
              <w:rPr>
                <w:sz w:val="20"/>
                <w:szCs w:val="20"/>
                <w:color w:val="auto"/>
              </w:rPr>
            </w:pPr>
            <w:r>
              <w:rPr>
                <w:rFonts w:ascii="Arial" w:cs="Arial" w:eastAsia="Arial" w:hAnsi="Arial"/>
                <w:sz w:val="13"/>
                <w:szCs w:val="13"/>
                <w:b w:val="1"/>
                <w:bCs w:val="1"/>
                <w:color w:val="auto"/>
              </w:rPr>
              <w:t>Common Stock</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4"/>
          </w:tcPr>
          <w:p>
            <w:pPr>
              <w:jc w:val="right"/>
              <w:ind w:right="200"/>
              <w:spacing w:after="0"/>
              <w:rPr>
                <w:sz w:val="20"/>
                <w:szCs w:val="20"/>
                <w:color w:val="auto"/>
              </w:rPr>
            </w:pPr>
            <w:r>
              <w:rPr>
                <w:rFonts w:ascii="Arial" w:cs="Arial" w:eastAsia="Arial" w:hAnsi="Arial"/>
                <w:sz w:val="13"/>
                <w:szCs w:val="13"/>
                <w:b w:val="1"/>
                <w:bCs w:val="1"/>
                <w:color w:val="auto"/>
              </w:rPr>
              <w:t>Paid-in</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4"/>
          </w:tcPr>
          <w:p>
            <w:pPr>
              <w:ind w:left="20"/>
              <w:spacing w:after="0"/>
              <w:rPr>
                <w:sz w:val="20"/>
                <w:szCs w:val="20"/>
                <w:color w:val="auto"/>
              </w:rPr>
            </w:pPr>
            <w:r>
              <w:rPr>
                <w:rFonts w:ascii="Arial" w:cs="Arial" w:eastAsia="Arial" w:hAnsi="Arial"/>
                <w:sz w:val="13"/>
                <w:szCs w:val="13"/>
                <w:b w:val="1"/>
                <w:bCs w:val="1"/>
                <w:color w:val="auto"/>
              </w:rPr>
              <w:t>Retained</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5"/>
          </w:tcPr>
          <w:p>
            <w:pPr>
              <w:ind w:left="20"/>
              <w:spacing w:after="0"/>
              <w:rPr>
                <w:sz w:val="20"/>
                <w:szCs w:val="20"/>
                <w:color w:val="auto"/>
              </w:rPr>
            </w:pPr>
            <w:r>
              <w:rPr>
                <w:rFonts w:ascii="Arial" w:cs="Arial" w:eastAsia="Arial" w:hAnsi="Arial"/>
                <w:sz w:val="13"/>
                <w:szCs w:val="13"/>
                <w:b w:val="1"/>
                <w:bCs w:val="1"/>
                <w:color w:val="auto"/>
                <w:w w:val="88"/>
              </w:rPr>
              <w:t>Comprehensive</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3"/>
          </w:tcPr>
          <w:p>
            <w:pPr>
              <w:ind w:left="20"/>
              <w:spacing w:after="0"/>
              <w:rPr>
                <w:sz w:val="20"/>
                <w:szCs w:val="20"/>
                <w:color w:val="auto"/>
              </w:rPr>
            </w:pPr>
            <w:r>
              <w:rPr>
                <w:rFonts w:ascii="Arial" w:cs="Arial" w:eastAsia="Arial" w:hAnsi="Arial"/>
                <w:sz w:val="13"/>
                <w:szCs w:val="13"/>
                <w:b w:val="1"/>
                <w:bCs w:val="1"/>
                <w:color w:val="auto"/>
                <w:w w:val="83"/>
              </w:rPr>
              <w:t>Stockholders’</w:t>
            </w:r>
          </w:p>
        </w:tc>
      </w:tr>
      <w:tr>
        <w:trPr>
          <w:trHeight w:val="128"/>
        </w:trPr>
        <w:tc>
          <w:tcPr>
            <w:tcW w:w="4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Borders>
              <w:top w:val="single" w:sz="8" w:color="auto"/>
            </w:tcBorders>
            <w:gridSpan w:val="4"/>
          </w:tcPr>
          <w:p>
            <w:pPr>
              <w:ind w:left="120"/>
              <w:spacing w:after="0" w:line="129" w:lineRule="exact"/>
              <w:rPr>
                <w:sz w:val="20"/>
                <w:szCs w:val="20"/>
                <w:color w:val="auto"/>
              </w:rPr>
            </w:pPr>
            <w:r>
              <w:rPr>
                <w:rFonts w:ascii="Arial" w:cs="Arial" w:eastAsia="Arial" w:hAnsi="Arial"/>
                <w:sz w:val="13"/>
                <w:szCs w:val="13"/>
                <w:b w:val="1"/>
                <w:bCs w:val="1"/>
                <w:color w:val="auto"/>
              </w:rPr>
              <w:t>Shares</w:t>
            </w:r>
          </w:p>
        </w:tc>
        <w:tc>
          <w:tcPr>
            <w:tcW w:w="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gridSpan w:val="4"/>
          </w:tcPr>
          <w:p>
            <w:pPr>
              <w:spacing w:after="0" w:line="129" w:lineRule="exact"/>
              <w:rPr>
                <w:sz w:val="20"/>
                <w:szCs w:val="20"/>
                <w:color w:val="auto"/>
              </w:rPr>
            </w:pPr>
            <w:r>
              <w:rPr>
                <w:rFonts w:ascii="Arial" w:cs="Arial" w:eastAsia="Arial" w:hAnsi="Arial"/>
                <w:sz w:val="13"/>
                <w:szCs w:val="13"/>
                <w:b w:val="1"/>
                <w:bCs w:val="1"/>
                <w:color w:val="auto"/>
                <w:w w:val="81"/>
              </w:rPr>
              <w:t>Amount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4"/>
          </w:tcPr>
          <w:p>
            <w:pPr>
              <w:jc w:val="right"/>
              <w:ind w:right="200"/>
              <w:spacing w:after="0" w:line="129" w:lineRule="exact"/>
              <w:rPr>
                <w:sz w:val="20"/>
                <w:szCs w:val="20"/>
                <w:color w:val="auto"/>
              </w:rPr>
            </w:pPr>
            <w:r>
              <w:rPr>
                <w:rFonts w:ascii="Arial" w:cs="Arial" w:eastAsia="Arial" w:hAnsi="Arial"/>
                <w:sz w:val="13"/>
                <w:szCs w:val="13"/>
                <w:b w:val="1"/>
                <w:bCs w:val="1"/>
                <w:color w:val="auto"/>
              </w:rPr>
              <w:t>Capital</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4"/>
          </w:tcPr>
          <w:p>
            <w:pPr>
              <w:ind w:left="20"/>
              <w:spacing w:after="0" w:line="129" w:lineRule="exact"/>
              <w:rPr>
                <w:sz w:val="20"/>
                <w:szCs w:val="20"/>
                <w:color w:val="auto"/>
              </w:rPr>
            </w:pPr>
            <w:r>
              <w:rPr>
                <w:rFonts w:ascii="Arial" w:cs="Arial" w:eastAsia="Arial" w:hAnsi="Arial"/>
                <w:sz w:val="13"/>
                <w:szCs w:val="13"/>
                <w:b w:val="1"/>
                <w:bCs w:val="1"/>
                <w:color w:val="auto"/>
              </w:rPr>
              <w:t>Earnings</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4"/>
          </w:tcPr>
          <w:p>
            <w:pPr>
              <w:jc w:val="center"/>
              <w:ind w:right="160"/>
              <w:spacing w:after="0" w:line="129" w:lineRule="exact"/>
              <w:rPr>
                <w:sz w:val="20"/>
                <w:szCs w:val="20"/>
                <w:color w:val="auto"/>
              </w:rPr>
            </w:pPr>
            <w:r>
              <w:rPr>
                <w:rFonts w:ascii="Arial" w:cs="Arial" w:eastAsia="Arial" w:hAnsi="Arial"/>
                <w:sz w:val="13"/>
                <w:szCs w:val="13"/>
                <w:b w:val="1"/>
                <w:bCs w:val="1"/>
                <w:color w:val="auto"/>
                <w:w w:val="87"/>
              </w:rPr>
              <w:t>Income</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100"/>
              <w:spacing w:after="0" w:line="129" w:lineRule="exact"/>
              <w:rPr>
                <w:sz w:val="20"/>
                <w:szCs w:val="20"/>
                <w:color w:val="auto"/>
              </w:rPr>
            </w:pPr>
            <w:r>
              <w:rPr>
                <w:rFonts w:ascii="Arial" w:cs="Arial" w:eastAsia="Arial" w:hAnsi="Arial"/>
                <w:sz w:val="13"/>
                <w:szCs w:val="13"/>
                <w:b w:val="1"/>
                <w:bCs w:val="1"/>
                <w:color w:val="auto"/>
                <w:w w:val="90"/>
              </w:rPr>
              <w:t>Equity</w:t>
            </w:r>
          </w:p>
        </w:tc>
      </w:tr>
      <w:tr>
        <w:trPr>
          <w:trHeight w:val="142"/>
        </w:trPr>
        <w:tc>
          <w:tcPr>
            <w:tcW w:w="426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Balances at June 30, 2020</w:t>
            </w:r>
          </w:p>
        </w:tc>
        <w:tc>
          <w:tcPr>
            <w:tcW w:w="60" w:type="dxa"/>
            <w:vAlign w:val="bottom"/>
            <w:tcBorders>
              <w:top w:val="single" w:sz="8" w:color="CCEEFF"/>
            </w:tcBorders>
            <w:gridSpan w:val="2"/>
            <w:shd w:val="clear" w:color="auto" w:fill="CCEEFF"/>
          </w:tcPr>
          <w:p>
            <w:pPr>
              <w:spacing w:after="0"/>
              <w:rPr>
                <w:sz w:val="12"/>
                <w:szCs w:val="12"/>
                <w:color w:val="auto"/>
              </w:rPr>
            </w:pPr>
          </w:p>
        </w:tc>
        <w:tc>
          <w:tcPr>
            <w:tcW w:w="580" w:type="dxa"/>
            <w:vAlign w:val="bottom"/>
            <w:tcBorders>
              <w:top w:val="single" w:sz="8" w:color="auto"/>
            </w:tcBorders>
            <w:gridSpan w:val="3"/>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53,792</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gridSpan w:val="2"/>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54</w:t>
            </w:r>
          </w:p>
        </w:tc>
        <w:tc>
          <w:tcPr>
            <w:tcW w:w="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227,907</w:t>
            </w: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gridSpan w:val="2"/>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164,272</w:t>
            </w: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gridSpan w:val="2"/>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675</w:t>
            </w:r>
          </w:p>
        </w:tc>
        <w:tc>
          <w:tcPr>
            <w:tcW w:w="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gridSpan w:val="2"/>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392,908</w:t>
            </w:r>
          </w:p>
        </w:tc>
      </w:tr>
      <w:tr>
        <w:trPr>
          <w:trHeight w:val="148"/>
        </w:trPr>
        <w:tc>
          <w:tcPr>
            <w:tcW w:w="4260" w:type="dxa"/>
            <w:vAlign w:val="bottom"/>
          </w:tcPr>
          <w:p>
            <w:pPr>
              <w:ind w:left="20"/>
              <w:spacing w:after="0" w:line="149" w:lineRule="exact"/>
              <w:rPr>
                <w:sz w:val="20"/>
                <w:szCs w:val="20"/>
                <w:color w:val="auto"/>
              </w:rPr>
            </w:pPr>
            <w:r>
              <w:rPr>
                <w:rFonts w:ascii="Arial" w:cs="Arial" w:eastAsia="Arial" w:hAnsi="Arial"/>
                <w:sz w:val="14"/>
                <w:szCs w:val="14"/>
                <w:color w:val="auto"/>
              </w:rPr>
              <w:t>Stock-based compensation</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48,896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48,896</w:t>
            </w:r>
          </w:p>
        </w:tc>
      </w:tr>
      <w:tr>
        <w:trPr>
          <w:trHeight w:val="149"/>
        </w:trPr>
        <w:tc>
          <w:tcPr>
            <w:tcW w:w="42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Stock options exercised</w:t>
            </w:r>
          </w:p>
        </w:tc>
        <w:tc>
          <w:tcPr>
            <w:tcW w:w="640" w:type="dxa"/>
            <w:vAlign w:val="bottom"/>
            <w:gridSpan w:val="5"/>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338</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gridSpan w:val="4"/>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2,477</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2,477</w:t>
            </w:r>
          </w:p>
        </w:tc>
      </w:tr>
      <w:tr>
        <w:trPr>
          <w:trHeight w:val="148"/>
        </w:trPr>
        <w:tc>
          <w:tcPr>
            <w:tcW w:w="4260" w:type="dxa"/>
            <w:vAlign w:val="bottom"/>
          </w:tcPr>
          <w:p>
            <w:pPr>
              <w:ind w:left="20"/>
              <w:spacing w:after="0" w:line="149" w:lineRule="exact"/>
              <w:rPr>
                <w:sz w:val="20"/>
                <w:szCs w:val="20"/>
                <w:color w:val="auto"/>
              </w:rPr>
            </w:pPr>
            <w:r>
              <w:rPr>
                <w:rFonts w:ascii="Arial" w:cs="Arial" w:eastAsia="Arial" w:hAnsi="Arial"/>
                <w:sz w:val="14"/>
                <w:szCs w:val="14"/>
                <w:color w:val="auto"/>
              </w:rPr>
              <w:t>Issuance of common stock upon vesting of restricted stock units</w:t>
            </w:r>
          </w:p>
        </w:tc>
        <w:tc>
          <w:tcPr>
            <w:tcW w:w="640" w:type="dxa"/>
            <w:vAlign w:val="bottom"/>
            <w:gridSpan w:val="5"/>
          </w:tcPr>
          <w:p>
            <w:pPr>
              <w:jc w:val="right"/>
              <w:ind w:right="40"/>
              <w:spacing w:after="0" w:line="149" w:lineRule="exact"/>
              <w:rPr>
                <w:sz w:val="20"/>
                <w:szCs w:val="20"/>
                <w:color w:val="auto"/>
              </w:rPr>
            </w:pPr>
            <w:r>
              <w:rPr>
                <w:rFonts w:ascii="Arial" w:cs="Arial" w:eastAsia="Arial" w:hAnsi="Arial"/>
                <w:sz w:val="14"/>
                <w:szCs w:val="14"/>
                <w:color w:val="auto"/>
              </w:rPr>
              <w:t>622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r>
      <w:tr>
        <w:trPr>
          <w:trHeight w:val="148"/>
        </w:trPr>
        <w:tc>
          <w:tcPr>
            <w:tcW w:w="42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Issuance of common stock under employee stock purchase plan</w:t>
            </w:r>
          </w:p>
        </w:tc>
        <w:tc>
          <w:tcPr>
            <w:tcW w:w="640" w:type="dxa"/>
            <w:vAlign w:val="bottom"/>
            <w:gridSpan w:val="5"/>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60</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gridSpan w:val="4"/>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6,100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6,100</w:t>
            </w:r>
          </w:p>
        </w:tc>
      </w:tr>
      <w:tr>
        <w:trPr>
          <w:trHeight w:val="149"/>
        </w:trPr>
        <w:tc>
          <w:tcPr>
            <w:tcW w:w="4260" w:type="dxa"/>
            <w:vAlign w:val="bottom"/>
          </w:tcPr>
          <w:p>
            <w:pPr>
              <w:ind w:left="20"/>
              <w:spacing w:after="0" w:line="149" w:lineRule="exact"/>
              <w:rPr>
                <w:sz w:val="20"/>
                <w:szCs w:val="20"/>
                <w:color w:val="auto"/>
              </w:rPr>
            </w:pPr>
            <w:r>
              <w:rPr>
                <w:rFonts w:ascii="Arial" w:cs="Arial" w:eastAsia="Arial" w:hAnsi="Arial"/>
                <w:sz w:val="14"/>
                <w:szCs w:val="14"/>
                <w:color w:val="auto"/>
                <w:w w:val="97"/>
              </w:rPr>
              <w:t>Net settlement for taxes and/or exercise price related to equity awards</w:t>
            </w:r>
          </w:p>
        </w:tc>
        <w:tc>
          <w:tcPr>
            <w:tcW w:w="700" w:type="dxa"/>
            <w:vAlign w:val="bottom"/>
            <w:gridSpan w:val="6"/>
          </w:tcPr>
          <w:p>
            <w:pPr>
              <w:jc w:val="right"/>
              <w:ind w:right="40"/>
              <w:spacing w:after="0" w:line="149" w:lineRule="exact"/>
              <w:rPr>
                <w:sz w:val="20"/>
                <w:szCs w:val="20"/>
                <w:color w:val="auto"/>
              </w:rPr>
            </w:pPr>
            <w:r>
              <w:rPr>
                <w:rFonts w:ascii="Arial" w:cs="Arial" w:eastAsia="Arial" w:hAnsi="Arial"/>
                <w:sz w:val="14"/>
                <w:szCs w:val="14"/>
                <w:color w:val="auto"/>
              </w:rPr>
              <w:t>(361)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(54,172)</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(54,172)</w:t>
            </w:r>
          </w:p>
        </w:tc>
      </w:tr>
      <w:tr>
        <w:trPr>
          <w:trHeight w:val="148"/>
        </w:trPr>
        <w:tc>
          <w:tcPr>
            <w:tcW w:w="42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Unrealized losses on securities, net of tax</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gridSpan w:val="4"/>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4"/>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(536)</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(536)</w:t>
            </w:r>
          </w:p>
        </w:tc>
      </w:tr>
      <w:tr>
        <w:trPr>
          <w:trHeight w:val="149"/>
        </w:trPr>
        <w:tc>
          <w:tcPr>
            <w:tcW w:w="4260" w:type="dxa"/>
            <w:vAlign w:val="bottom"/>
          </w:tcPr>
          <w:p>
            <w:pPr>
              <w:ind w:left="20"/>
              <w:spacing w:after="0" w:line="149" w:lineRule="exact"/>
              <w:rPr>
                <w:sz w:val="20"/>
                <w:szCs w:val="20"/>
                <w:color w:val="auto"/>
              </w:rPr>
            </w:pPr>
            <w:r>
              <w:rPr>
                <w:rFonts w:ascii="Arial" w:cs="Arial" w:eastAsia="Arial" w:hAnsi="Arial"/>
                <w:sz w:val="14"/>
                <w:szCs w:val="14"/>
                <w:color w:val="auto"/>
              </w:rPr>
              <w:t>Net income</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58,936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58,936</w:t>
            </w:r>
          </w:p>
        </w:tc>
      </w:tr>
      <w:tr>
        <w:trPr>
          <w:trHeight w:val="142"/>
        </w:trPr>
        <w:tc>
          <w:tcPr>
            <w:tcW w:w="426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Balances at March 31, 2021</w:t>
            </w:r>
          </w:p>
        </w:tc>
        <w:tc>
          <w:tcPr>
            <w:tcW w:w="6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580" w:type="dxa"/>
            <w:vAlign w:val="bottom"/>
            <w:tcBorders>
              <w:top w:val="single" w:sz="8" w:color="auto"/>
              <w:bottom w:val="single" w:sz="8" w:color="auto"/>
            </w:tcBorders>
            <w:gridSpan w:val="3"/>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54,451</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54</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231,208</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223,208</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139</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454,609</w:t>
            </w:r>
          </w:p>
        </w:tc>
      </w:tr>
      <w:tr>
        <w:trPr>
          <w:trHeight w:val="20"/>
        </w:trPr>
        <w:tc>
          <w:tcPr>
            <w:tcW w:w="4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3" w:lineRule="exact"/>
        <w:rPr>
          <w:sz w:val="20"/>
          <w:szCs w:val="20"/>
          <w:color w:val="auto"/>
        </w:rPr>
      </w:pPr>
    </w:p>
    <w:p>
      <w:pPr>
        <w:ind w:left="7160"/>
        <w:spacing w:after="0"/>
        <w:rPr>
          <w:sz w:val="20"/>
          <w:szCs w:val="20"/>
          <w:color w:val="auto"/>
        </w:rPr>
      </w:pPr>
      <w:r>
        <w:rPr>
          <w:rFonts w:ascii="Arial" w:cs="Arial" w:eastAsia="Arial" w:hAnsi="Arial"/>
          <w:sz w:val="14"/>
          <w:szCs w:val="14"/>
          <w:b w:val="1"/>
          <w:bCs w:val="1"/>
          <w:color w:val="auto"/>
        </w:rPr>
        <w:t>Nine Months Ended</w:t>
      </w:r>
    </w:p>
    <w:p>
      <w:pPr>
        <w:ind w:left="7440"/>
        <w:spacing w:after="0" w:line="231"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64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48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operating activities: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200"/>
              <w:spacing w:after="0"/>
              <w:rPr>
                <w:sz w:val="20"/>
                <w:szCs w:val="20"/>
                <w:color w:val="auto"/>
              </w:rPr>
            </w:pPr>
            <w:r>
              <w:rPr>
                <w:rFonts w:ascii="Arial" w:cs="Arial" w:eastAsia="Arial" w:hAnsi="Arial"/>
                <w:sz w:val="17"/>
                <w:szCs w:val="17"/>
                <w:color w:val="auto"/>
              </w:rPr>
              <w:t>Net income</w:t>
            </w:r>
          </w:p>
        </w:tc>
        <w:tc>
          <w:tcPr>
            <w:tcW w:w="320" w:type="dxa"/>
            <w:vAlign w:val="bottom"/>
            <w:gridSpan w:val="2"/>
          </w:tcPr>
          <w:p>
            <w:pPr>
              <w:jc w:val="right"/>
              <w:ind w:right="25"/>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59,505</w:t>
            </w:r>
          </w:p>
        </w:tc>
        <w:tc>
          <w:tcPr>
            <w:tcW w:w="220" w:type="dxa"/>
            <w:vAlign w:val="bottom"/>
          </w:tcPr>
          <w:p>
            <w:pPr>
              <w:spacing w:after="0"/>
              <w:rPr>
                <w:sz w:val="17"/>
                <w:szCs w:val="17"/>
                <w:color w:val="auto"/>
              </w:rPr>
            </w:pPr>
          </w:p>
        </w:tc>
        <w:tc>
          <w:tcPr>
            <w:tcW w:w="180" w:type="dxa"/>
            <w:vAlign w:val="bottom"/>
            <w:gridSpan w:val="2"/>
          </w:tcPr>
          <w:p>
            <w:pPr>
              <w:jc w:val="right"/>
              <w:ind w:right="52"/>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58,936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320"/>
              <w:spacing w:after="0"/>
              <w:rPr>
                <w:sz w:val="20"/>
                <w:szCs w:val="20"/>
                <w:color w:val="auto"/>
              </w:rPr>
            </w:pPr>
            <w:r>
              <w:rPr>
                <w:rFonts w:ascii="Arial" w:cs="Arial" w:eastAsia="Arial" w:hAnsi="Arial"/>
                <w:sz w:val="17"/>
                <w:szCs w:val="17"/>
                <w:color w:val="auto"/>
              </w:rPr>
              <w:t>Stock-based compensation expense</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34,348</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46,947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Depreciation and amortization expense</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27,832</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32,070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320"/>
              <w:spacing w:after="0"/>
              <w:rPr>
                <w:sz w:val="20"/>
                <w:szCs w:val="20"/>
                <w:color w:val="auto"/>
              </w:rPr>
            </w:pPr>
            <w:r>
              <w:rPr>
                <w:rFonts w:ascii="Arial" w:cs="Arial" w:eastAsia="Arial" w:hAnsi="Arial"/>
                <w:sz w:val="17"/>
                <w:szCs w:val="17"/>
                <w:color w:val="auto"/>
              </w:rPr>
              <w:t>Deferred income tax expense (benefit)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1,544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(10,656)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Provision for credit losses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320"/>
              <w:spacing w:after="0"/>
              <w:rPr>
                <w:sz w:val="20"/>
                <w:szCs w:val="20"/>
                <w:color w:val="auto"/>
              </w:rPr>
            </w:pPr>
            <w:r>
              <w:rPr>
                <w:rFonts w:ascii="Arial" w:cs="Arial" w:eastAsia="Arial" w:hAnsi="Arial"/>
                <w:sz w:val="17"/>
                <w:szCs w:val="17"/>
                <w:color w:val="auto"/>
                <w:w w:val="93"/>
              </w:rPr>
              <w:t>Net accretion of discounts and amortization of premiums on available-for-sale securities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(1,673)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315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Amortization of debt issuance costs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320"/>
              <w:spacing w:after="0"/>
              <w:rPr>
                <w:sz w:val="20"/>
                <w:szCs w:val="20"/>
                <w:color w:val="auto"/>
              </w:rPr>
            </w:pPr>
            <w:r>
              <w:rPr>
                <w:rFonts w:ascii="Arial" w:cs="Arial" w:eastAsia="Arial" w:hAnsi="Arial"/>
                <w:sz w:val="17"/>
                <w:szCs w:val="17"/>
                <w:color w:val="auto"/>
              </w:rPr>
              <w:t>Other</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331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545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Changes in operating assets and liabilities: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420"/>
              <w:spacing w:after="0"/>
              <w:rPr>
                <w:sz w:val="20"/>
                <w:szCs w:val="20"/>
                <w:color w:val="auto"/>
              </w:rPr>
            </w:pPr>
            <w:r>
              <w:rPr>
                <w:rFonts w:ascii="Arial" w:cs="Arial" w:eastAsia="Arial" w:hAnsi="Arial"/>
                <w:sz w:val="17"/>
                <w:szCs w:val="17"/>
                <w:color w:val="auto"/>
              </w:rPr>
              <w:t>Accounts receivable</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(1,635)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(4,495)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Deferred contract costs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(37,829)</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(39,621)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420"/>
              <w:spacing w:after="0"/>
              <w:rPr>
                <w:sz w:val="20"/>
                <w:szCs w:val="20"/>
                <w:color w:val="auto"/>
              </w:rPr>
            </w:pPr>
            <w:r>
              <w:rPr>
                <w:rFonts w:ascii="Arial" w:cs="Arial" w:eastAsia="Arial" w:hAnsi="Arial"/>
                <w:sz w:val="17"/>
                <w:szCs w:val="17"/>
                <w:color w:val="auto"/>
              </w:rPr>
              <w:t>Prepaid expenses and other</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68</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(2,531)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Accounts payable</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863</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80" w:type="dxa"/>
            <w:vAlign w:val="bottom"/>
            <w:tcBorders>
              <w:bottom w:val="single" w:sz="8" w:color="CCEEFF"/>
            </w:tcBorders>
          </w:tcPr>
          <w:p>
            <w:pPr>
              <w:ind w:left="420"/>
              <w:spacing w:after="0"/>
              <w:rPr>
                <w:sz w:val="20"/>
                <w:szCs w:val="20"/>
                <w:color w:val="auto"/>
              </w:rPr>
            </w:pPr>
            <w:r>
              <w:rPr>
                <w:rFonts w:ascii="Arial" w:cs="Arial" w:eastAsia="Arial" w:hAnsi="Arial"/>
                <w:sz w:val="17"/>
                <w:szCs w:val="17"/>
                <w:color w:val="auto"/>
              </w:rPr>
              <w:t>Accrued expenses and other</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3,096</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2,318</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Net cash provided by operating activities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86,795</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85,760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80" w:type="dxa"/>
            <w:vAlign w:val="bottom"/>
          </w:tcPr>
          <w:p>
            <w:pPr>
              <w:spacing w:after="0"/>
              <w:rPr>
                <w:sz w:val="20"/>
                <w:szCs w:val="20"/>
                <w:color w:val="auto"/>
              </w:rPr>
            </w:pPr>
            <w:r>
              <w:rPr>
                <w:rFonts w:ascii="Arial" w:cs="Arial" w:eastAsia="Arial" w:hAnsi="Arial"/>
                <w:sz w:val="17"/>
                <w:szCs w:val="17"/>
                <w:color w:val="auto"/>
              </w:rPr>
              <w:t>Cash flows from investing activities: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Purchases of available-for-sale securities and other</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(400,343)</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6480" w:type="dxa"/>
            <w:vAlign w:val="bottom"/>
          </w:tcPr>
          <w:p>
            <w:pPr>
              <w:ind w:left="200"/>
              <w:spacing w:after="0"/>
              <w:rPr>
                <w:sz w:val="20"/>
                <w:szCs w:val="20"/>
                <w:color w:val="auto"/>
              </w:rPr>
            </w:pPr>
            <w:r>
              <w:rPr>
                <w:rFonts w:ascii="Arial" w:cs="Arial" w:eastAsia="Arial" w:hAnsi="Arial"/>
                <w:sz w:val="17"/>
                <w:szCs w:val="17"/>
                <w:color w:val="auto"/>
              </w:rPr>
              <w:t>Proceeds from sales and maturities of available-for-sale securities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250,791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82,488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Capitalized internal-use software costs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(19,213)</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(21,664)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200"/>
              <w:spacing w:after="0"/>
              <w:rPr>
                <w:sz w:val="20"/>
                <w:szCs w:val="20"/>
                <w:color w:val="auto"/>
              </w:rPr>
            </w:pPr>
            <w:r>
              <w:rPr>
                <w:rFonts w:ascii="Arial" w:cs="Arial" w:eastAsia="Arial" w:hAnsi="Arial"/>
                <w:sz w:val="17"/>
                <w:szCs w:val="17"/>
                <w:color w:val="auto"/>
              </w:rPr>
              <w:t>Purchases of property and equipment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(14,578)</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(8,155)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Acquisition of business, net of cash acquired</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(14,992)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80" w:type="dxa"/>
            <w:vAlign w:val="bottom"/>
          </w:tcPr>
          <w:p>
            <w:pPr>
              <w:ind w:left="640"/>
              <w:spacing w:after="0"/>
              <w:rPr>
                <w:sz w:val="20"/>
                <w:szCs w:val="20"/>
                <w:color w:val="auto"/>
              </w:rPr>
            </w:pPr>
            <w:r>
              <w:rPr>
                <w:rFonts w:ascii="Arial" w:cs="Arial" w:eastAsia="Arial" w:hAnsi="Arial"/>
                <w:sz w:val="17"/>
                <w:szCs w:val="17"/>
                <w:color w:val="auto"/>
              </w:rPr>
              <w:t>Net cash provided by (used in) investing activities</w:t>
            </w: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(183,343)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37,677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financing activities: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200"/>
              <w:spacing w:after="0"/>
              <w:rPr>
                <w:sz w:val="20"/>
                <w:szCs w:val="20"/>
                <w:color w:val="auto"/>
              </w:rPr>
            </w:pPr>
            <w:r>
              <w:rPr>
                <w:rFonts w:ascii="Arial" w:cs="Arial" w:eastAsia="Arial" w:hAnsi="Arial"/>
                <w:sz w:val="17"/>
                <w:szCs w:val="17"/>
                <w:color w:val="auto"/>
              </w:rPr>
              <w:t>Net change in client fund obligations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334,707</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724,610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Repayment of credit facility</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200"/>
              <w:spacing w:after="0"/>
              <w:rPr>
                <w:sz w:val="20"/>
                <w:szCs w:val="20"/>
                <w:color w:val="auto"/>
              </w:rPr>
            </w:pPr>
            <w:r>
              <w:rPr>
                <w:rFonts w:ascii="Arial" w:cs="Arial" w:eastAsia="Arial" w:hAnsi="Arial"/>
                <w:sz w:val="17"/>
                <w:szCs w:val="17"/>
                <w:color w:val="auto"/>
              </w:rPr>
              <w:t>Proceeds from exercise of stock options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146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Proceeds from employee stock purchase plan</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3,961</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200"/>
              <w:spacing w:after="0"/>
              <w:rPr>
                <w:sz w:val="20"/>
                <w:szCs w:val="20"/>
                <w:color w:val="auto"/>
              </w:rPr>
            </w:pPr>
            <w:r>
              <w:rPr>
                <w:rFonts w:ascii="Arial" w:cs="Arial" w:eastAsia="Arial" w:hAnsi="Arial"/>
                <w:sz w:val="17"/>
                <w:szCs w:val="17"/>
                <w:color w:val="auto"/>
              </w:rPr>
              <w:t>Taxes paid related to net share settlement of equity awards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(33,136)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(51,828)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Payment of debt issuance costs</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(675)</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8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rPr>
              <w:t>Net cash provided by financing activities</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304,857</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578,972</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80" w:type="dxa"/>
            <w:vAlign w:val="bottom"/>
            <w:shd w:val="clear" w:color="auto" w:fill="CCEEFF"/>
          </w:tcPr>
          <w:p>
            <w:pPr>
              <w:spacing w:after="0"/>
              <w:rPr>
                <w:sz w:val="20"/>
                <w:szCs w:val="20"/>
                <w:color w:val="auto"/>
              </w:rPr>
            </w:pPr>
            <w:r>
              <w:rPr>
                <w:rFonts w:ascii="Arial" w:cs="Arial" w:eastAsia="Arial" w:hAnsi="Arial"/>
                <w:sz w:val="17"/>
                <w:szCs w:val="17"/>
                <w:color w:val="auto"/>
                <w:w w:val="94"/>
              </w:rPr>
              <w:t>Net change in cash, cash equivalents and funds held for clients' cash and cash equivalents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208,309</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702,409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6480" w:type="dxa"/>
            <w:vAlign w:val="bottom"/>
          </w:tcPr>
          <w:p>
            <w:pPr>
              <w:spacing w:after="0" w:line="185" w:lineRule="exact"/>
              <w:rPr>
                <w:sz w:val="20"/>
                <w:szCs w:val="20"/>
                <w:color w:val="auto"/>
              </w:rPr>
            </w:pPr>
            <w:r>
              <w:rPr>
                <w:rFonts w:ascii="Arial" w:cs="Arial" w:eastAsia="Arial" w:hAnsi="Arial"/>
                <w:sz w:val="17"/>
                <w:szCs w:val="17"/>
                <w:color w:val="auto"/>
                <w:w w:val="93"/>
              </w:rPr>
              <w:t>Cash, cash equivalents and funds held for clients' cash and cash equivalents—beginning of</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4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period</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1,426,143</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1,492,133</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w w:val="93"/>
              </w:rPr>
              <w:t>Cash, cash equivalents and funds held for clients' cash and cash equivalents—end of period</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1,634,452</w:t>
            </w: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2,194,542</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7"/>
                <w:szCs w:val="17"/>
                <w:color w:val="auto"/>
              </w:rPr>
              <w:t>Supplemental Disclosure of Non-Cash Investing and Financing Activities</w:t>
            </w: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4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Liabilities assumed for acquisition</w:t>
            </w:r>
          </w:p>
        </w:tc>
        <w:tc>
          <w:tcPr>
            <w:tcW w:w="320" w:type="dxa"/>
            <w:vAlign w:val="bottom"/>
            <w:gridSpan w:val="2"/>
            <w:shd w:val="clear" w:color="auto" w:fill="CCEEFF"/>
          </w:tcPr>
          <w:p>
            <w:pPr>
              <w:jc w:val="right"/>
              <w:ind w:right="25"/>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80" w:type="dxa"/>
            <w:vAlign w:val="bottom"/>
            <w:gridSpan w:val="2"/>
            <w:shd w:val="clear" w:color="auto" w:fill="CCEEFF"/>
          </w:tcPr>
          <w:p>
            <w:pPr>
              <w:jc w:val="right"/>
              <w:ind w:right="52"/>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color w:val="auto"/>
              </w:rPr>
              <w:t>Supplemental Disclosure of Cash Flow Information</w:t>
            </w: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4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Cash paid for interest</w:t>
            </w:r>
          </w:p>
        </w:tc>
        <w:tc>
          <w:tcPr>
            <w:tcW w:w="320" w:type="dxa"/>
            <w:vAlign w:val="bottom"/>
            <w:gridSpan w:val="2"/>
            <w:shd w:val="clear" w:color="auto" w:fill="CCEEFF"/>
          </w:tcPr>
          <w:p>
            <w:pPr>
              <w:jc w:val="right"/>
              <w:ind w:right="25"/>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2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52"/>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CCEEFF"/>
            </w:tcBorders>
            <w:vMerge w:val="restart"/>
          </w:tcPr>
          <w:p>
            <w:pPr>
              <w:ind w:left="200"/>
              <w:spacing w:after="0"/>
              <w:rPr>
                <w:sz w:val="20"/>
                <w:szCs w:val="20"/>
                <w:color w:val="auto"/>
              </w:rPr>
            </w:pPr>
            <w:r>
              <w:rPr>
                <w:rFonts w:ascii="Arial" w:cs="Arial" w:eastAsia="Arial" w:hAnsi="Arial"/>
                <w:sz w:val="17"/>
                <w:szCs w:val="17"/>
                <w:color w:val="auto"/>
              </w:rPr>
              <w:t>Cash paid (refunds received) for income taxes</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8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24</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(222)</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38"/>
        </w:trPr>
        <w:tc>
          <w:tcPr>
            <w:tcW w:w="6480" w:type="dxa"/>
            <w:vAlign w:val="bottom"/>
            <w:shd w:val="clear" w:color="auto" w:fill="CCEEFF"/>
          </w:tcPr>
          <w:p>
            <w:pPr>
              <w:spacing w:after="0" w:line="138" w:lineRule="exact"/>
              <w:rPr>
                <w:sz w:val="20"/>
                <w:szCs w:val="20"/>
                <w:color w:val="auto"/>
              </w:rPr>
            </w:pPr>
            <w:r>
              <w:rPr>
                <w:rFonts w:ascii="Arial" w:cs="Arial" w:eastAsia="Arial" w:hAnsi="Arial"/>
                <w:sz w:val="16"/>
                <w:szCs w:val="16"/>
                <w:color w:val="auto"/>
                <w:w w:val="97"/>
              </w:rPr>
              <w:t>Reconciliation of cash, cash equivalents and funds held for clients' cash and cash equivalents</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6480" w:type="dxa"/>
            <w:vAlign w:val="bottom"/>
            <w:shd w:val="clear" w:color="auto" w:fill="CCEEFF"/>
          </w:tcPr>
          <w:p>
            <w:pPr>
              <w:spacing w:after="0"/>
              <w:rPr>
                <w:sz w:val="20"/>
                <w:szCs w:val="20"/>
                <w:color w:val="auto"/>
              </w:rPr>
            </w:pPr>
            <w:r>
              <w:rPr>
                <w:rFonts w:ascii="Arial" w:cs="Arial" w:eastAsia="Arial" w:hAnsi="Arial"/>
                <w:sz w:val="17"/>
                <w:szCs w:val="17"/>
                <w:color w:val="auto"/>
              </w:rPr>
              <w:t>to the Unaudited Consolidated Balance Sheets</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48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320" w:type="dxa"/>
            <w:vAlign w:val="bottom"/>
            <w:gridSpan w:val="2"/>
          </w:tcPr>
          <w:p>
            <w:pPr>
              <w:jc w:val="right"/>
              <w:ind w:right="25"/>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114,325</w:t>
            </w:r>
          </w:p>
        </w:tc>
        <w:tc>
          <w:tcPr>
            <w:tcW w:w="220" w:type="dxa"/>
            <w:vAlign w:val="bottom"/>
          </w:tcPr>
          <w:p>
            <w:pPr>
              <w:spacing w:after="0"/>
              <w:rPr>
                <w:sz w:val="17"/>
                <w:szCs w:val="17"/>
                <w:color w:val="auto"/>
              </w:rPr>
            </w:pPr>
          </w:p>
        </w:tc>
        <w:tc>
          <w:tcPr>
            <w:tcW w:w="180" w:type="dxa"/>
            <w:vAlign w:val="bottom"/>
            <w:gridSpan w:val="2"/>
          </w:tcPr>
          <w:p>
            <w:pPr>
              <w:jc w:val="right"/>
              <w:ind w:right="52"/>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175,453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spacing w:after="0"/>
              <w:rPr>
                <w:sz w:val="20"/>
                <w:szCs w:val="20"/>
                <w:color w:val="auto"/>
              </w:rPr>
            </w:pPr>
            <w:r>
              <w:rPr>
                <w:rFonts w:ascii="Arial" w:cs="Arial" w:eastAsia="Arial" w:hAnsi="Arial"/>
                <w:sz w:val="17"/>
                <w:szCs w:val="17"/>
                <w:color w:val="auto"/>
              </w:rPr>
              <w:t>Funds held for clients' cash and cash equivalents</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1,520,127</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2,019,089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80" w:type="dxa"/>
            <w:vAlign w:val="bottom"/>
          </w:tcPr>
          <w:p>
            <w:pPr>
              <w:spacing w:after="0"/>
              <w:rPr>
                <w:sz w:val="20"/>
                <w:szCs w:val="20"/>
                <w:color w:val="auto"/>
              </w:rPr>
            </w:pPr>
            <w:r>
              <w:rPr>
                <w:rFonts w:ascii="Arial" w:cs="Arial" w:eastAsia="Arial" w:hAnsi="Arial"/>
                <w:sz w:val="17"/>
                <w:szCs w:val="17"/>
                <w:color w:val="auto"/>
              </w:rPr>
              <w:t>Total cash, cash equivalents and funds held for clients' cash and cash equivalents</w:t>
            </w:r>
          </w:p>
        </w:tc>
        <w:tc>
          <w:tcPr>
            <w:tcW w:w="140" w:type="dxa"/>
            <w:vAlign w:val="bottom"/>
          </w:tcPr>
          <w:p>
            <w:pPr>
              <w:spacing w:after="0"/>
              <w:rPr>
                <w:sz w:val="17"/>
                <w:szCs w:val="17"/>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1,634,452</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2,194,542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amounts in thousands, except per share data)</w:t>
      </w:r>
    </w:p>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29"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Paylocity Holding Corporation (the “Company”) is a cloud-based provider of payroll and human capital management software solutions for medium-sized organizations. Services are provided in a Software-as-a-Service (“SaaS”) delivery model utilizing the Company’s cloud-based platform. The Company’s comprehensive product suite delivers a unified platform that allows clients to make strategic decisions in the areas of payroll, core HR, workforce management, talent and benefits.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340" w:hanging="290"/>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Basis of Presentation, Consolidation and Use of Estimates</w:t>
      </w:r>
    </w:p>
    <w:p>
      <w:pPr>
        <w:spacing w:after="0" w:line="225" w:lineRule="exact"/>
        <w:rPr>
          <w:sz w:val="20"/>
          <w:szCs w:val="20"/>
          <w:color w:val="auto"/>
        </w:rPr>
      </w:pPr>
    </w:p>
    <w:p>
      <w:pPr>
        <w:ind w:left="60" w:right="99" w:firstLine="648"/>
        <w:spacing w:after="0" w:line="311" w:lineRule="auto"/>
        <w:rPr>
          <w:sz w:val="20"/>
          <w:szCs w:val="20"/>
          <w:color w:val="auto"/>
        </w:rPr>
      </w:pPr>
      <w:r>
        <w:rPr>
          <w:rFonts w:ascii="Arial" w:cs="Arial" w:eastAsia="Arial" w:hAnsi="Arial"/>
          <w:sz w:val="16"/>
          <w:szCs w:val="16"/>
          <w:color w:val="auto"/>
        </w:rPr>
        <w:t>These unaudited consolidated financial statements have been prepared in accordance with U.S. generally accepted accounting principles (“GAAP”). The unaudited consolidated financial statements include the accounts of the Company and its wholly owned subsidiaries. All intercompany accounts and transactions have been eliminated in consolidation.</w:t>
      </w:r>
    </w:p>
    <w:p>
      <w:pPr>
        <w:spacing w:after="0" w:line="149" w:lineRule="exact"/>
        <w:rPr>
          <w:sz w:val="20"/>
          <w:szCs w:val="20"/>
          <w:color w:val="auto"/>
        </w:rPr>
      </w:pPr>
    </w:p>
    <w:p>
      <w:pPr>
        <w:ind w:left="60" w:right="99" w:firstLine="648"/>
        <w:spacing w:after="0" w:line="271"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Future events, including the impact from the outbreak of the novel coronavirus disease (“COVID-19”), and their effects cannot be predicted with certainty; accordingly, accounting estimates require the exercise of judgment. Accounting estimates used in the preparation of these consolidated financial statements may change as new events occur, more experience and additional information is acquired, and the operating environment evolves, including the ongoing impact of COVID-19.</w:t>
      </w:r>
    </w:p>
    <w:p>
      <w:pPr>
        <w:spacing w:after="0" w:line="178" w:lineRule="exact"/>
        <w:rPr>
          <w:sz w:val="20"/>
          <w:szCs w:val="20"/>
          <w:color w:val="auto"/>
        </w:rPr>
      </w:pPr>
    </w:p>
    <w:p>
      <w:pPr>
        <w:ind w:left="360" w:hanging="310"/>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Interim Unaudited Consolidated Financial Information</w:t>
      </w:r>
    </w:p>
    <w:p>
      <w:pPr>
        <w:spacing w:after="0" w:line="225" w:lineRule="exact"/>
        <w:rPr>
          <w:sz w:val="20"/>
          <w:szCs w:val="20"/>
          <w:color w:val="auto"/>
        </w:rPr>
      </w:pPr>
    </w:p>
    <w:p>
      <w:pPr>
        <w:ind w:left="60" w:right="179" w:firstLine="648"/>
        <w:spacing w:after="0" w:line="284" w:lineRule="auto"/>
        <w:rPr>
          <w:sz w:val="20"/>
          <w:szCs w:val="20"/>
          <w:color w:val="auto"/>
        </w:rPr>
      </w:pPr>
      <w:r>
        <w:rPr>
          <w:rFonts w:ascii="Arial" w:cs="Arial" w:eastAsia="Arial" w:hAnsi="Arial"/>
          <w:sz w:val="16"/>
          <w:szCs w:val="16"/>
          <w:color w:val="auto"/>
        </w:rPr>
        <w:t>The accompanying unaudited consolidated financial statements and notes have been prepared in accordance with GAAP and applicable rules and regulations of the Securities and Exchange Commission (“SEC”) regarding interim financial reporting. Accordingly, they do not include all of the information and notes required by GAAP for complete financial statements. In the opinion of management, the interim financial information includes all adjustments of a normal recurring nature necessary for a fair presentation of the Company’s financial position, results of operations, changes in stockholders’ equity and cash flows. The results of operations for three or nine months ended March 31, 2021 are not necessarily indicative of the results for the full year or the results for any future periods. The impact of the COVID</w:t>
      </w:r>
      <w:r>
        <w:rPr>
          <w:rFonts w:ascii="Arial" w:cs="Arial" w:eastAsia="Arial" w:hAnsi="Arial"/>
          <w:sz w:val="16"/>
          <w:szCs w:val="16"/>
          <w:i w:val="1"/>
          <w:iCs w:val="1"/>
          <w:color w:val="auto"/>
        </w:rPr>
        <w:t>-</w:t>
      </w:r>
    </w:p>
    <w:p>
      <w:pPr>
        <w:spacing w:after="0" w:line="2" w:lineRule="exact"/>
        <w:rPr>
          <w:sz w:val="20"/>
          <w:szCs w:val="20"/>
          <w:color w:val="auto"/>
        </w:rPr>
      </w:pPr>
    </w:p>
    <w:p>
      <w:pPr>
        <w:ind w:left="60" w:right="139"/>
        <w:spacing w:after="0" w:line="252" w:lineRule="auto"/>
        <w:rPr>
          <w:sz w:val="20"/>
          <w:szCs w:val="20"/>
          <w:color w:val="auto"/>
        </w:rPr>
      </w:pPr>
      <w:r>
        <w:rPr>
          <w:rFonts w:ascii="Arial" w:cs="Arial" w:eastAsia="Arial" w:hAnsi="Arial"/>
          <w:sz w:val="18"/>
          <w:szCs w:val="18"/>
          <w:color w:val="auto"/>
        </w:rPr>
        <w:t>19 pandemic will not be fully known or reflected in the Company’s results of operations and overall financial performance until future periods. Refer to “Part I. Item 1A. Risk Factors” in the Company’s Annual Report on Form 10-K filed with the SEC on August 7, 2020 for risks related to the COVID</w:t>
      </w:r>
      <w:r>
        <w:rPr>
          <w:rFonts w:ascii="Arial" w:cs="Arial" w:eastAsia="Arial" w:hAnsi="Arial"/>
          <w:sz w:val="18"/>
          <w:szCs w:val="18"/>
          <w:i w:val="1"/>
          <w:iCs w:val="1"/>
          <w:color w:val="auto"/>
        </w:rPr>
        <w:t>-</w:t>
      </w:r>
      <w:r>
        <w:rPr>
          <w:rFonts w:ascii="Arial" w:cs="Arial" w:eastAsia="Arial" w:hAnsi="Arial"/>
          <w:sz w:val="18"/>
          <w:szCs w:val="18"/>
          <w:color w:val="auto"/>
        </w:rPr>
        <w:t>19 pandemic and its impact on the Company’s business and financial performance. These unaudited consolidated financial statements should be read in conjunction with the audited consolidated financial statements and related notes for the year ended June 30, 2020 included in the Company’s Annual Report on Form 10-K.</w:t>
      </w:r>
    </w:p>
    <w:p>
      <w:pPr>
        <w:spacing w:after="0" w:line="194" w:lineRule="exact"/>
        <w:rPr>
          <w:sz w:val="20"/>
          <w:szCs w:val="20"/>
          <w:color w:val="auto"/>
        </w:rPr>
      </w:pPr>
    </w:p>
    <w:p>
      <w:pPr>
        <w:ind w:left="340" w:hanging="290"/>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60" w:right="79" w:firstLine="648"/>
        <w:spacing w:after="0" w:line="284" w:lineRule="auto"/>
        <w:rPr>
          <w:sz w:val="20"/>
          <w:szCs w:val="20"/>
          <w:color w:val="auto"/>
        </w:rPr>
      </w:pPr>
      <w:r>
        <w:rPr>
          <w:rFonts w:ascii="Arial" w:cs="Arial" w:eastAsia="Arial" w:hAnsi="Arial"/>
          <w:sz w:val="16"/>
          <w:szCs w:val="16"/>
          <w:color w:val="auto"/>
        </w:rPr>
        <w:t>Income taxes are accounted for in accordance with ASC 740, Income Taxes, using the asset and liability method. The Company’s provision for income taxes is based on the annual effective rate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The Company recognizes deferred tax assets to the extent that it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net-recorded amount, it would make an adjustment to the deferred tax asset valuation allowance, which would reduce the provision for income taxes.</w:t>
      </w:r>
    </w:p>
    <w:p>
      <w:pPr>
        <w:spacing w:after="0" w:line="192" w:lineRule="exact"/>
        <w:rPr>
          <w:sz w:val="20"/>
          <w:szCs w:val="20"/>
          <w:color w:val="auto"/>
        </w:rPr>
      </w:pPr>
    </w:p>
    <w:p>
      <w:pPr>
        <w:ind w:left="360" w:hanging="310"/>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Recently Adopted Accounting Standards</w:t>
      </w:r>
    </w:p>
    <w:p>
      <w:pPr>
        <w:spacing w:after="0" w:line="225" w:lineRule="exact"/>
        <w:rPr>
          <w:sz w:val="20"/>
          <w:szCs w:val="20"/>
          <w:color w:val="auto"/>
        </w:rPr>
      </w:pPr>
    </w:p>
    <w:p>
      <w:pPr>
        <w:ind w:left="60" w:right="79" w:firstLine="648"/>
        <w:spacing w:after="0" w:line="289" w:lineRule="auto"/>
        <w:rPr>
          <w:sz w:val="20"/>
          <w:szCs w:val="20"/>
          <w:color w:val="auto"/>
        </w:rPr>
      </w:pPr>
      <w:r>
        <w:rPr>
          <w:rFonts w:ascii="Arial" w:cs="Arial" w:eastAsia="Arial" w:hAnsi="Arial"/>
          <w:sz w:val="16"/>
          <w:szCs w:val="16"/>
          <w:color w:val="auto"/>
        </w:rPr>
        <w:t>In June 2016, the FASB issued ASU 2016-13, Financial Instruments – Credit Losses (Topic 326): Measurement of Credit Losses on Financial Instruments, which requires the measurement and recognition of expected credit losses for financial instruments held at amortized cost, including trade receivables. Under ASU 2016-13, the Company assesses its allowance for credit losses on accounts receivable by taking into consideration current economic conditions, reasonable and supportable forecasts, as well as past experience including historical write-off trends and client-specific circumstances. The new standard also eliminated the concept of other-than-temporary impairment and requires expected credit losses related to available-for-sale debt securities to be recorded through an allowance for credit losses rather than as a reduction in the amortized cost basis of the securities. The Company adopted this standard effective July 1, 2020, using a modified retrospective approach, and the adoption did not have a material impact on the Company’s financial statements.</w:t>
      </w:r>
    </w:p>
    <w:p>
      <w:pPr>
        <w:spacing w:after="0" w:line="166" w:lineRule="exact"/>
        <w:rPr>
          <w:sz w:val="20"/>
          <w:szCs w:val="20"/>
          <w:color w:val="auto"/>
        </w:rPr>
      </w:pPr>
    </w:p>
    <w:p>
      <w:pPr>
        <w:ind w:left="60" w:right="239" w:firstLine="648"/>
        <w:spacing w:after="0" w:line="293" w:lineRule="auto"/>
        <w:rPr>
          <w:sz w:val="20"/>
          <w:szCs w:val="20"/>
          <w:color w:val="auto"/>
        </w:rPr>
      </w:pPr>
      <w:r>
        <w:rPr>
          <w:rFonts w:ascii="Arial" w:cs="Arial" w:eastAsia="Arial" w:hAnsi="Arial"/>
          <w:sz w:val="16"/>
          <w:szCs w:val="16"/>
          <w:color w:val="auto"/>
        </w:rPr>
        <w:t>In August 2018, the FASB issued ASU 2018-13, Fair Value Measurement (Topic 820): Disclosure Framework – Changes to the Disclosure Requirements for Fair Value Measurement (“ASU 2018-13”), which amends the requirements for fair value measurement disclosures. ASU 2018-13 removes, modifies or adds certain disclosure requirements under GAAP. The Company adopted this standard on July 1, 2020, and removed or modified disclosure requirements retrospectively to all periods presented, whereas any new requirements are being applied prospectively from the adoption date. The adoption of this standard did not have a material impact on the Company’s financial statements.</w:t>
      </w:r>
    </w:p>
    <w:p>
      <w:pPr>
        <w:spacing w:after="0" w:line="164"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8"/>
          <w:szCs w:val="18"/>
          <w:color w:val="auto"/>
        </w:rPr>
        <w:t>In December 2019, the FASB issued ASU 2019-12, Income Taxes (Topic 740): Simplifying the Accounting for Income Taxes (“ASU 2019-12”) which provides guidance to reduce complexity in certain areas of accounting for income taxes. ASU 2019-12 removes certain exceptions to the general principles in Topic 740 and simplifies various aspects of the current guidance to promote consistent application of the standard among reporting entities. The Company adopted ASU 2019-12 on July 1, 2020, and the adoption of this standard did not have a material impact on the Company’s financial statements.</w:t>
      </w:r>
    </w:p>
    <w:p>
      <w:pPr>
        <w:spacing w:after="0" w:line="192" w:lineRule="exact"/>
        <w:rPr>
          <w:sz w:val="20"/>
          <w:szCs w:val="20"/>
          <w:color w:val="auto"/>
        </w:rPr>
      </w:pPr>
    </w:p>
    <w:p>
      <w:pPr>
        <w:ind w:left="340" w:hanging="290"/>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left="60" w:right="199" w:firstLine="648"/>
        <w:spacing w:after="0" w:line="259"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that are adopted by the Company as of the specified effective date. Unless otherwise discussed, the Company believes that the impact of other recently issued standards that are not yet effective will not have a material impact on the Company’s consolidated financial statements upon adoption.</w:t>
      </w:r>
    </w:p>
    <w:p>
      <w:pPr>
        <w:spacing w:after="0" w:line="2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Revenue</w:t>
      </w:r>
    </w:p>
    <w:p>
      <w:pPr>
        <w:spacing w:after="0" w:line="229" w:lineRule="exact"/>
        <w:rPr>
          <w:sz w:val="20"/>
          <w:szCs w:val="20"/>
          <w:color w:val="auto"/>
        </w:rPr>
      </w:pPr>
    </w:p>
    <w:p>
      <w:pPr>
        <w:ind w:left="60" w:right="139" w:firstLine="648"/>
        <w:spacing w:after="0" w:line="283" w:lineRule="auto"/>
        <w:rPr>
          <w:sz w:val="20"/>
          <w:szCs w:val="20"/>
          <w:color w:val="auto"/>
        </w:rPr>
      </w:pPr>
      <w:r>
        <w:rPr>
          <w:rFonts w:ascii="Arial" w:cs="Arial" w:eastAsia="Arial" w:hAnsi="Arial"/>
          <w:sz w:val="16"/>
          <w:szCs w:val="16"/>
          <w:color w:val="auto"/>
        </w:rPr>
        <w:t>The Company derives its revenue from contracts predominantly from recurring and non-recurring service fees. While the majority of its agreements are generally cancellable by the client on 60 days’ notice or less, the Company also has term arrangements, which are generally two years in length. Recurring fees are derived from payroll, timekeeping, and HR-related cloud-based computing services. The majority of the Company’s recurring fees are satisfied over time as services are provided. The performance obligations related to payroll services are satisfied upon the processing of the client’s payroll with the fee charged and collected based on a per employee per payroll frequency fee. The performance obligations related to time and attendance services and HR related services are satisfied over time each month with the fee charged and collected based on a per employee per month fee. For subscription-based fees which can include payroll, time and attendance, and HR related services, the Company recognizes the applicable recurring fees over time each month with the fee charged and collected based on a per employee per month fee. Non-recurring service fees consist mainly of nonrefundable implementation fees, which involve setting the client up in, and loading data into, the</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19"/>
        <w:spacing w:after="0" w:line="286" w:lineRule="auto"/>
        <w:rPr>
          <w:sz w:val="20"/>
          <w:szCs w:val="20"/>
          <w:color w:val="auto"/>
        </w:rPr>
      </w:pPr>
      <w:r>
        <w:rPr>
          <w:rFonts w:ascii="Arial" w:cs="Arial" w:eastAsia="Arial" w:hAnsi="Arial"/>
          <w:sz w:val="17"/>
          <w:szCs w:val="17"/>
          <w:color w:val="auto"/>
        </w:rPr>
        <w:t>Company’s cloud-based modules. These implementation activities are considered set-up activities. The Company has determined that the nonrefundable upfront fees provide certain clients with a material right to renew the contract. Implementation fees are deferred and amortized generally over a period up to 24 months.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disaggregates revenue by Recurring fees and Implementation services and other, which the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Company believes depicts the nature, amount and timing of its revenue:</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1700" w:type="dxa"/>
            <w:vAlign w:val="bottom"/>
            <w:gridSpan w:val="4"/>
          </w:tcPr>
          <w:p>
            <w:pPr>
              <w:jc w:val="right"/>
              <w:ind w:right="215"/>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5"/>
              </w:rPr>
              <w:t>March 31,</w:t>
            </w:r>
          </w:p>
        </w:tc>
        <w:tc>
          <w:tcPr>
            <w:tcW w:w="140" w:type="dxa"/>
            <w:vAlign w:val="bottom"/>
          </w:tcPr>
          <w:p>
            <w:pPr>
              <w:spacing w:after="0"/>
              <w:rPr>
                <w:sz w:val="14"/>
                <w:szCs w:val="14"/>
                <w:color w:val="auto"/>
              </w:rPr>
            </w:pPr>
          </w:p>
        </w:tc>
        <w:tc>
          <w:tcPr>
            <w:tcW w:w="1700" w:type="dxa"/>
            <w:vAlign w:val="bottom"/>
            <w:gridSpan w:val="4"/>
          </w:tcPr>
          <w:p>
            <w:pPr>
              <w:jc w:val="right"/>
              <w:ind w:right="535"/>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50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2021</w:t>
            </w:r>
          </w:p>
        </w:tc>
      </w:tr>
      <w:tr>
        <w:trPr>
          <w:trHeight w:val="21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Recurring fees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161,266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178,711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402,605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448,864</w:t>
            </w:r>
          </w:p>
        </w:tc>
      </w:tr>
      <w:tr>
        <w:trPr>
          <w:trHeight w:val="216"/>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Implementation services and other</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5,829</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6,216</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14,343</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16,331</w:t>
            </w:r>
          </w:p>
        </w:tc>
      </w:tr>
      <w:tr>
        <w:trPr>
          <w:trHeight w:val="209"/>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 from contracts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167,095</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184,927</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416,948</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465,195</w:t>
            </w:r>
          </w:p>
        </w:tc>
      </w:tr>
      <w:tr>
        <w:trPr>
          <w:trHeight w:val="20"/>
        </w:trPr>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25" w:lineRule="exact"/>
        <w:rPr>
          <w:sz w:val="20"/>
          <w:szCs w:val="20"/>
          <w:color w:val="auto"/>
        </w:rPr>
      </w:pPr>
    </w:p>
    <w:p>
      <w:pPr>
        <w:ind w:left="60" w:right="299" w:firstLine="648"/>
        <w:spacing w:after="0" w:line="263" w:lineRule="auto"/>
        <w:rPr>
          <w:sz w:val="20"/>
          <w:szCs w:val="20"/>
          <w:color w:val="auto"/>
        </w:rPr>
      </w:pPr>
      <w:r>
        <w:rPr>
          <w:rFonts w:ascii="Arial" w:cs="Arial" w:eastAsia="Arial" w:hAnsi="Arial"/>
          <w:sz w:val="18"/>
          <w:szCs w:val="18"/>
          <w:color w:val="auto"/>
        </w:rPr>
        <w:t>The timing of revenue recognition for recurring revenue is consistent with the timing of invoicing as they occur simultaneously based on the client’s payroll frequency or by month for subscription-based fees. As such, the Company does not recognize contract assets or liabilities related to recurring revenue.</w:t>
      </w:r>
    </w:p>
    <w:p>
      <w:pPr>
        <w:spacing w:after="0" w:line="184"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The nonrefundable upfront fees related to implementation services are invoiced with the client’s first payroll period. The Company defers and amortizes these nonrefundable upfront fees generally over a period up to 24 months based on the type of contract. The following table summarizes the changes in deferred revenue (i.e. contract liability) related to these nonrefundable upfront fees as follows: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660" w:type="dxa"/>
            <w:vAlign w:val="bottom"/>
            <w:gridSpan w:val="4"/>
          </w:tcPr>
          <w:p>
            <w:pPr>
              <w:jc w:val="right"/>
              <w:ind w:right="214"/>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0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w w:val="99"/>
              </w:rPr>
              <w:t>March 31,</w:t>
            </w:r>
          </w:p>
        </w:tc>
        <w:tc>
          <w:tcPr>
            <w:tcW w:w="6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00" w:type="dxa"/>
            <w:vAlign w:val="bottom"/>
            <w:tcBorders>
              <w:bottom w:val="single" w:sz="8" w:color="auto"/>
            </w:tcBorders>
          </w:tcPr>
          <w:p>
            <w:pPr>
              <w:spacing w:after="0"/>
              <w:rPr>
                <w:sz w:val="14"/>
                <w:szCs w:val="14"/>
                <w:color w:val="auto"/>
              </w:rPr>
            </w:pPr>
          </w:p>
        </w:tc>
      </w:tr>
      <w:tr>
        <w:trPr>
          <w:trHeight w:val="142"/>
        </w:trPr>
        <w:tc>
          <w:tcPr>
            <w:tcW w:w="50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w w:val="89"/>
              </w:rPr>
              <w:t>2021</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w w:val="96"/>
              </w:rPr>
              <w:t>2021</w:t>
            </w:r>
          </w:p>
        </w:tc>
      </w:tr>
      <w:tr>
        <w:trPr>
          <w:trHeight w:val="20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the period</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8,434</w:t>
            </w:r>
          </w:p>
        </w:tc>
      </w:tr>
      <w:tr>
        <w:trPr>
          <w:trHeight w:val="216"/>
        </w:trPr>
        <w:tc>
          <w:tcPr>
            <w:tcW w:w="5060" w:type="dxa"/>
            <w:vAlign w:val="bottom"/>
          </w:tcPr>
          <w:p>
            <w:pPr>
              <w:ind w:left="20"/>
              <w:spacing w:after="0"/>
              <w:rPr>
                <w:sz w:val="20"/>
                <w:szCs w:val="20"/>
                <w:color w:val="auto"/>
              </w:rPr>
            </w:pPr>
            <w:r>
              <w:rPr>
                <w:rFonts w:ascii="Arial" w:cs="Arial" w:eastAsia="Arial" w:hAnsi="Arial"/>
                <w:sz w:val="18"/>
                <w:szCs w:val="18"/>
                <w:color w:val="auto"/>
              </w:rPr>
              <w:t>Deferral of revenue</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6,099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5,821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12,342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11,811</w:t>
            </w:r>
          </w:p>
        </w:tc>
      </w:tr>
      <w:tr>
        <w:trPr>
          <w:trHeight w:val="216"/>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recognized</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(3,992)</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(4,097)</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(9,671)</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(11,456)</w:t>
            </w:r>
          </w:p>
        </w:tc>
      </w:tr>
      <w:tr>
        <w:trPr>
          <w:trHeight w:val="210"/>
        </w:trPr>
        <w:tc>
          <w:tcPr>
            <w:tcW w:w="5060" w:type="dxa"/>
            <w:vAlign w:val="bottom"/>
          </w:tcPr>
          <w:p>
            <w:pPr>
              <w:ind w:left="20"/>
              <w:spacing w:after="0"/>
              <w:rPr>
                <w:sz w:val="20"/>
                <w:szCs w:val="20"/>
                <w:color w:val="auto"/>
              </w:rPr>
            </w:pPr>
            <w:r>
              <w:rPr>
                <w:rFonts w:ascii="Arial" w:cs="Arial" w:eastAsia="Arial" w:hAnsi="Arial"/>
                <w:sz w:val="18"/>
                <w:szCs w:val="18"/>
                <w:color w:val="auto"/>
              </w:rPr>
              <w:t>Balance at end of the period</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8,960</w:t>
            </w: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8,789</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8,960</w:t>
            </w:r>
          </w:p>
        </w:tc>
        <w:tc>
          <w:tcPr>
            <w:tcW w:w="1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8,789</w:t>
            </w:r>
          </w:p>
        </w:tc>
      </w:tr>
      <w:tr>
        <w:trPr>
          <w:trHeight w:val="20"/>
        </w:trPr>
        <w:tc>
          <w:tcPr>
            <w:tcW w:w="5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379" w:firstLine="648"/>
        <w:spacing w:after="0" w:line="311" w:lineRule="auto"/>
        <w:rPr>
          <w:sz w:val="20"/>
          <w:szCs w:val="20"/>
          <w:color w:val="auto"/>
        </w:rPr>
      </w:pPr>
      <w:r>
        <w:rPr>
          <w:rFonts w:ascii="Arial" w:cs="Arial" w:eastAsia="Arial" w:hAnsi="Arial"/>
          <w:sz w:val="16"/>
          <w:szCs w:val="16"/>
          <w:color w:val="auto"/>
        </w:rPr>
        <w:t>Deferred revenue related to these nonrefundable upfront fees are recorded within Accrued expenses and Other long-term liabilities on the Unaudited Consolidated Balance Sheets. The Company expects to recognize these deferred revenue balances of $3,389 in fiscal 2021, $4,425 in fiscal 2022 and $975 in fiscal 2023 and thereafter.</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Deferred contract costs</w:t>
      </w:r>
    </w:p>
    <w:p>
      <w:pPr>
        <w:spacing w:after="0" w:line="225" w:lineRule="exact"/>
        <w:rPr>
          <w:sz w:val="20"/>
          <w:szCs w:val="20"/>
          <w:color w:val="auto"/>
        </w:rPr>
      </w:pPr>
    </w:p>
    <w:p>
      <w:pPr>
        <w:ind w:left="60" w:right="139" w:firstLine="648"/>
        <w:spacing w:after="0" w:line="293" w:lineRule="auto"/>
        <w:rPr>
          <w:sz w:val="20"/>
          <w:szCs w:val="20"/>
          <w:color w:val="auto"/>
        </w:rPr>
      </w:pPr>
      <w:r>
        <w:rPr>
          <w:rFonts w:ascii="Arial" w:cs="Arial" w:eastAsia="Arial" w:hAnsi="Arial"/>
          <w:sz w:val="16"/>
          <w:szCs w:val="16"/>
          <w:color w:val="auto"/>
        </w:rPr>
        <w:t>The Company defers certain selling and commission costs that meet the capitalization criteria under ASC 340-40. The Company also capitalizes certain costs to fulfill a contract related to its proprietary products if they are identifiable, generate or enhance resources used to satisfy future performance obligations and are expected to be recovered under ASC 340-40. Implementation fees are treated as nonrefundable upfront fees and the related implementation costs are required to be capitalized and amortized over the expected period of benefit, which is the period in which the Company expects to recover the costs and enhance its ability to satisfy future performance obligations.</w:t>
      </w:r>
    </w:p>
    <w:p>
      <w:pPr>
        <w:spacing w:after="0" w:line="164"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The Company utilizes the portfolio approach to account for both the cost of obtaining a contract and the cost of fulfilling a contract. These capitalized costs are amortized over the expected period of benefit, which has been determined to be over 7 years based on the Company’s average client life and other qualitative factors, including rate of technological changes. The Company does not incur any additional costs to obtain or fulfill contracts upon renewal. The Company recognizes additional selling and commission costs and fulfillment costs when an existing client purchases additional services. These additional costs only relate to the additional services purchased and do not relate to the renewal of previous services.</w:t>
      </w:r>
    </w:p>
    <w:p>
      <w:pPr>
        <w:sectPr>
          <w:pgSz w:w="11900" w:h="16838" w:orient="portrait"/>
          <w:cols w:equalWidth="0" w:num="1">
            <w:col w:w="9019"/>
          </w:cols>
          <w:pgMar w:left="1440" w:top="517" w:right="1440" w:bottom="1440" w:gutter="0" w:footer="0" w:header="0"/>
        </w:sectPr>
      </w:pP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firstLine="648"/>
        <w:spacing w:after="0" w:line="277" w:lineRule="auto"/>
        <w:rPr>
          <w:sz w:val="20"/>
          <w:szCs w:val="20"/>
          <w:color w:val="auto"/>
        </w:rPr>
      </w:pPr>
      <w:r>
        <w:rPr>
          <w:rFonts w:ascii="Arial" w:cs="Arial" w:eastAsia="Arial" w:hAnsi="Arial"/>
          <w:sz w:val="18"/>
          <w:szCs w:val="18"/>
          <w:color w:val="auto"/>
        </w:rPr>
        <w:t>The following tables present the deferred contract costs and the related amortization expense for these deferred contract costs: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22"/>
          </w:tcPr>
          <w:p>
            <w:pPr>
              <w:jc w:val="center"/>
              <w:ind w:left="539"/>
              <w:spacing w:after="0"/>
              <w:rPr>
                <w:sz w:val="20"/>
                <w:szCs w:val="20"/>
                <w:color w:val="auto"/>
              </w:rPr>
            </w:pPr>
            <w:r>
              <w:rPr>
                <w:rFonts w:ascii="Arial" w:cs="Arial" w:eastAsia="Arial" w:hAnsi="Arial"/>
                <w:sz w:val="14"/>
                <w:szCs w:val="14"/>
                <w:b w:val="1"/>
                <w:bCs w:val="1"/>
                <w:color w:val="auto"/>
                <w:w w:val="95"/>
              </w:rPr>
              <w:t>Three Months Ended March 31, 2020</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center"/>
              <w:ind w:right="19"/>
              <w:spacing w:after="0" w:line="119" w:lineRule="exact"/>
              <w:rPr>
                <w:sz w:val="20"/>
                <w:szCs w:val="20"/>
                <w:color w:val="auto"/>
              </w:rPr>
            </w:pPr>
            <w:r>
              <w:rPr>
                <w:rFonts w:ascii="Arial" w:cs="Arial" w:eastAsia="Arial" w:hAnsi="Arial"/>
                <w:sz w:val="13"/>
                <w:szCs w:val="13"/>
                <w:b w:val="1"/>
                <w:bCs w:val="1"/>
                <w:color w:val="auto"/>
                <w:w w:val="97"/>
              </w:rPr>
              <w:t>Beginning</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gridSpan w:val="5"/>
          </w:tcPr>
          <w:p>
            <w:pPr>
              <w:ind w:left="20"/>
              <w:spacing w:after="0" w:line="119" w:lineRule="exact"/>
              <w:rPr>
                <w:sz w:val="20"/>
                <w:szCs w:val="20"/>
                <w:color w:val="auto"/>
              </w:rPr>
            </w:pPr>
            <w:r>
              <w:rPr>
                <w:rFonts w:ascii="Arial" w:cs="Arial" w:eastAsia="Arial" w:hAnsi="Arial"/>
                <w:sz w:val="13"/>
                <w:szCs w:val="13"/>
                <w:b w:val="1"/>
                <w:bCs w:val="1"/>
                <w:color w:val="auto"/>
              </w:rPr>
              <w:t>Capitalized</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center"/>
              <w:ind w:right="58"/>
              <w:spacing w:after="0" w:line="119" w:lineRule="exact"/>
              <w:rPr>
                <w:sz w:val="20"/>
                <w:szCs w:val="20"/>
                <w:color w:val="auto"/>
              </w:rPr>
            </w:pPr>
            <w:r>
              <w:rPr>
                <w:rFonts w:ascii="Arial" w:cs="Arial" w:eastAsia="Arial" w:hAnsi="Arial"/>
                <w:sz w:val="13"/>
                <w:szCs w:val="13"/>
                <w:b w:val="1"/>
                <w:bCs w:val="1"/>
                <w:color w:val="auto"/>
                <w:w w:val="99"/>
              </w:rPr>
              <w:t>Ending</w:t>
            </w: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Balance</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4"/>
          </w:tcPr>
          <w:p>
            <w:pPr>
              <w:ind w:left="60"/>
              <w:spacing w:after="0"/>
              <w:rPr>
                <w:sz w:val="20"/>
                <w:szCs w:val="20"/>
                <w:color w:val="auto"/>
              </w:rPr>
            </w:pPr>
            <w:r>
              <w:rPr>
                <w:rFonts w:ascii="Arial" w:cs="Arial" w:eastAsia="Arial" w:hAnsi="Arial"/>
                <w:sz w:val="14"/>
                <w:szCs w:val="14"/>
                <w:b w:val="1"/>
                <w:bCs w:val="1"/>
                <w:color w:val="auto"/>
              </w:rPr>
              <w:t>Costs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209"/>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 to obtain a new contract</w:t>
            </w:r>
          </w:p>
        </w:tc>
        <w:tc>
          <w:tcPr>
            <w:tcW w:w="12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92,848</w:t>
            </w: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3"/>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15,141</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3"/>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(5,738)</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102,251</w:t>
            </w:r>
          </w:p>
        </w:tc>
        <w:tc>
          <w:tcPr>
            <w:tcW w:w="0" w:type="dxa"/>
            <w:vAlign w:val="bottom"/>
          </w:tcPr>
          <w:p>
            <w:pPr>
              <w:spacing w:after="0"/>
              <w:rPr>
                <w:sz w:val="1"/>
                <w:szCs w:val="1"/>
                <w:color w:val="auto"/>
              </w:rPr>
            </w:pPr>
          </w:p>
        </w:tc>
      </w:tr>
      <w:tr>
        <w:trPr>
          <w:trHeight w:val="216"/>
        </w:trPr>
        <w:tc>
          <w:tcPr>
            <w:tcW w:w="5000" w:type="dxa"/>
            <w:vAlign w:val="bottom"/>
          </w:tcPr>
          <w:p>
            <w:pPr>
              <w:ind w:left="20"/>
              <w:spacing w:after="0"/>
              <w:rPr>
                <w:sz w:val="20"/>
                <w:szCs w:val="20"/>
                <w:color w:val="auto"/>
              </w:rPr>
            </w:pPr>
            <w:r>
              <w:rPr>
                <w:rFonts w:ascii="Arial" w:cs="Arial" w:eastAsia="Arial" w:hAnsi="Arial"/>
                <w:sz w:val="18"/>
                <w:szCs w:val="18"/>
                <w:color w:val="auto"/>
              </w:rPr>
              <w:t>Costs to fulfill a contract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32,685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7,483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4"/>
          </w:tcPr>
          <w:p>
            <w:pPr>
              <w:jc w:val="right"/>
              <w:ind w:right="120"/>
              <w:spacing w:after="0"/>
              <w:rPr>
                <w:sz w:val="20"/>
                <w:szCs w:val="20"/>
                <w:color w:val="auto"/>
              </w:rPr>
            </w:pPr>
            <w:r>
              <w:rPr>
                <w:rFonts w:ascii="Arial" w:cs="Arial" w:eastAsia="Arial" w:hAnsi="Arial"/>
                <w:sz w:val="18"/>
                <w:szCs w:val="18"/>
                <w:color w:val="auto"/>
              </w:rPr>
              <w:t>(1,491)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38,677</w:t>
            </w: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125,533</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3"/>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22,624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3"/>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(7,229)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140,928</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0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22"/>
          </w:tcPr>
          <w:p>
            <w:pPr>
              <w:jc w:val="center"/>
              <w:ind w:left="539"/>
              <w:spacing w:after="0"/>
              <w:rPr>
                <w:sz w:val="20"/>
                <w:szCs w:val="20"/>
                <w:color w:val="auto"/>
              </w:rPr>
            </w:pPr>
            <w:r>
              <w:rPr>
                <w:rFonts w:ascii="Arial" w:cs="Arial" w:eastAsia="Arial" w:hAnsi="Arial"/>
                <w:sz w:val="14"/>
                <w:szCs w:val="14"/>
                <w:b w:val="1"/>
                <w:bCs w:val="1"/>
                <w:color w:val="auto"/>
                <w:w w:val="95"/>
              </w:rPr>
              <w:t>Three Months Ended March 31, 2021</w:t>
            </w: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center"/>
              <w:ind w:right="19"/>
              <w:spacing w:after="0" w:line="119" w:lineRule="exact"/>
              <w:rPr>
                <w:sz w:val="20"/>
                <w:szCs w:val="20"/>
                <w:color w:val="auto"/>
              </w:rPr>
            </w:pPr>
            <w:r>
              <w:rPr>
                <w:rFonts w:ascii="Arial" w:cs="Arial" w:eastAsia="Arial" w:hAnsi="Arial"/>
                <w:sz w:val="13"/>
                <w:szCs w:val="13"/>
                <w:b w:val="1"/>
                <w:bCs w:val="1"/>
                <w:color w:val="auto"/>
                <w:w w:val="97"/>
              </w:rPr>
              <w:t>Beginning</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gridSpan w:val="5"/>
          </w:tcPr>
          <w:p>
            <w:pPr>
              <w:ind w:left="20"/>
              <w:spacing w:after="0" w:line="119" w:lineRule="exact"/>
              <w:rPr>
                <w:sz w:val="20"/>
                <w:szCs w:val="20"/>
                <w:color w:val="auto"/>
              </w:rPr>
            </w:pPr>
            <w:r>
              <w:rPr>
                <w:rFonts w:ascii="Arial" w:cs="Arial" w:eastAsia="Arial" w:hAnsi="Arial"/>
                <w:sz w:val="13"/>
                <w:szCs w:val="13"/>
                <w:b w:val="1"/>
                <w:bCs w:val="1"/>
                <w:color w:val="auto"/>
              </w:rPr>
              <w:t>Capitalized</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center"/>
              <w:ind w:right="58"/>
              <w:spacing w:after="0" w:line="119" w:lineRule="exact"/>
              <w:rPr>
                <w:sz w:val="20"/>
                <w:szCs w:val="20"/>
                <w:color w:val="auto"/>
              </w:rPr>
            </w:pPr>
            <w:r>
              <w:rPr>
                <w:rFonts w:ascii="Arial" w:cs="Arial" w:eastAsia="Arial" w:hAnsi="Arial"/>
                <w:sz w:val="13"/>
                <w:szCs w:val="13"/>
                <w:b w:val="1"/>
                <w:bCs w:val="1"/>
                <w:color w:val="auto"/>
                <w:w w:val="99"/>
              </w:rPr>
              <w:t>Ending</w:t>
            </w: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Balance</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4"/>
          </w:tcPr>
          <w:p>
            <w:pPr>
              <w:ind w:left="60"/>
              <w:spacing w:after="0"/>
              <w:rPr>
                <w:sz w:val="20"/>
                <w:szCs w:val="20"/>
                <w:color w:val="auto"/>
              </w:rPr>
            </w:pPr>
            <w:r>
              <w:rPr>
                <w:rFonts w:ascii="Arial" w:cs="Arial" w:eastAsia="Arial" w:hAnsi="Arial"/>
                <w:sz w:val="14"/>
                <w:szCs w:val="14"/>
                <w:b w:val="1"/>
                <w:bCs w:val="1"/>
                <w:color w:val="auto"/>
              </w:rPr>
              <w:t>Costs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209"/>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 to obtain a new contract</w:t>
            </w:r>
          </w:p>
        </w:tc>
        <w:tc>
          <w:tcPr>
            <w:tcW w:w="12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125,817</w:t>
            </w: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3"/>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17,315</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3"/>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(7,390)</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135,742</w:t>
            </w:r>
          </w:p>
        </w:tc>
        <w:tc>
          <w:tcPr>
            <w:tcW w:w="0" w:type="dxa"/>
            <w:vAlign w:val="bottom"/>
          </w:tcPr>
          <w:p>
            <w:pPr>
              <w:spacing w:after="0"/>
              <w:rPr>
                <w:sz w:val="1"/>
                <w:szCs w:val="1"/>
                <w:color w:val="auto"/>
              </w:rPr>
            </w:pPr>
          </w:p>
        </w:tc>
      </w:tr>
      <w:tr>
        <w:trPr>
          <w:trHeight w:val="216"/>
        </w:trPr>
        <w:tc>
          <w:tcPr>
            <w:tcW w:w="5000" w:type="dxa"/>
            <w:vAlign w:val="bottom"/>
          </w:tcPr>
          <w:p>
            <w:pPr>
              <w:ind w:left="20"/>
              <w:spacing w:after="0"/>
              <w:rPr>
                <w:sz w:val="20"/>
                <w:szCs w:val="20"/>
                <w:color w:val="auto"/>
              </w:rPr>
            </w:pPr>
            <w:r>
              <w:rPr>
                <w:rFonts w:ascii="Arial" w:cs="Arial" w:eastAsia="Arial" w:hAnsi="Arial"/>
                <w:sz w:val="18"/>
                <w:szCs w:val="18"/>
                <w:color w:val="auto"/>
              </w:rPr>
              <w:t>Costs to fulfill a contract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55,657</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8,872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4"/>
          </w:tcPr>
          <w:p>
            <w:pPr>
              <w:jc w:val="right"/>
              <w:ind w:right="120"/>
              <w:spacing w:after="0"/>
              <w:rPr>
                <w:sz w:val="20"/>
                <w:szCs w:val="20"/>
                <w:color w:val="auto"/>
              </w:rPr>
            </w:pPr>
            <w:r>
              <w:rPr>
                <w:rFonts w:ascii="Arial" w:cs="Arial" w:eastAsia="Arial" w:hAnsi="Arial"/>
                <w:sz w:val="18"/>
                <w:szCs w:val="18"/>
                <w:color w:val="auto"/>
              </w:rPr>
              <w:t>(2,607)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61,922</w:t>
            </w: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181,474</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3"/>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26,187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3"/>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(9,997)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197,664</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21"/>
          </w:tcPr>
          <w:p>
            <w:pPr>
              <w:jc w:val="center"/>
              <w:ind w:right="27"/>
              <w:spacing w:after="0"/>
              <w:rPr>
                <w:sz w:val="20"/>
                <w:szCs w:val="20"/>
                <w:color w:val="auto"/>
              </w:rPr>
            </w:pPr>
            <w:r>
              <w:rPr>
                <w:rFonts w:ascii="Arial" w:cs="Arial" w:eastAsia="Arial" w:hAnsi="Arial"/>
                <w:sz w:val="14"/>
                <w:szCs w:val="14"/>
                <w:b w:val="1"/>
                <w:bCs w:val="1"/>
                <w:color w:val="auto"/>
                <w:w w:val="94"/>
              </w:rPr>
              <w:t>Nine Months Ended March 31, 2020</w:t>
            </w: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Beginning</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gridSpan w:val="5"/>
          </w:tcPr>
          <w:p>
            <w:pPr>
              <w:ind w:left="40"/>
              <w:spacing w:after="0" w:line="119" w:lineRule="exact"/>
              <w:rPr>
                <w:sz w:val="20"/>
                <w:szCs w:val="20"/>
                <w:color w:val="auto"/>
              </w:rPr>
            </w:pPr>
            <w:r>
              <w:rPr>
                <w:rFonts w:ascii="Arial" w:cs="Arial" w:eastAsia="Arial" w:hAnsi="Arial"/>
                <w:sz w:val="13"/>
                <w:szCs w:val="13"/>
                <w:b w:val="1"/>
                <w:bCs w:val="1"/>
                <w:color w:val="auto"/>
              </w:rPr>
              <w:t>Capitalized</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center"/>
              <w:ind w:right="78"/>
              <w:spacing w:after="0" w:line="119" w:lineRule="exact"/>
              <w:rPr>
                <w:sz w:val="20"/>
                <w:szCs w:val="20"/>
                <w:color w:val="auto"/>
              </w:rPr>
            </w:pPr>
            <w:r>
              <w:rPr>
                <w:rFonts w:ascii="Arial" w:cs="Arial" w:eastAsia="Arial" w:hAnsi="Arial"/>
                <w:sz w:val="13"/>
                <w:szCs w:val="13"/>
                <w:b w:val="1"/>
                <w:bCs w:val="1"/>
                <w:color w:val="auto"/>
              </w:rPr>
              <w:t>Ending</w:t>
            </w: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Balance</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4"/>
                <w:szCs w:val="14"/>
                <w:b w:val="1"/>
                <w:bCs w:val="1"/>
                <w:color w:val="auto"/>
              </w:rPr>
              <w:t>Costs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78"/>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 to obtain a new contract</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82,103</w:t>
            </w:r>
          </w:p>
        </w:tc>
        <w:tc>
          <w:tcPr>
            <w:tcW w:w="60" w:type="dxa"/>
            <w:vAlign w:val="bottom"/>
            <w:tcBorders>
              <w:top w:val="single" w:sz="8" w:color="auto"/>
            </w:tcBorders>
            <w:gridSpan w:val="2"/>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4"/>
              </w:rPr>
              <w:t>36,027</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(15,879)</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3"/>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102,251</w:t>
            </w:r>
          </w:p>
        </w:tc>
        <w:tc>
          <w:tcPr>
            <w:tcW w:w="0" w:type="dxa"/>
            <w:vAlign w:val="bottom"/>
          </w:tcPr>
          <w:p>
            <w:pPr>
              <w:spacing w:after="0"/>
              <w:rPr>
                <w:sz w:val="1"/>
                <w:szCs w:val="1"/>
                <w:color w:val="auto"/>
              </w:rPr>
            </w:pPr>
          </w:p>
        </w:tc>
      </w:tr>
      <w:tr>
        <w:trPr>
          <w:trHeight w:val="216"/>
        </w:trPr>
        <w:tc>
          <w:tcPr>
            <w:tcW w:w="5000" w:type="dxa"/>
            <w:vAlign w:val="bottom"/>
          </w:tcPr>
          <w:p>
            <w:pPr>
              <w:ind w:left="20"/>
              <w:spacing w:after="0"/>
              <w:rPr>
                <w:sz w:val="20"/>
                <w:szCs w:val="20"/>
                <w:color w:val="auto"/>
              </w:rPr>
            </w:pPr>
            <w:r>
              <w:rPr>
                <w:rFonts w:ascii="Arial" w:cs="Arial" w:eastAsia="Arial" w:hAnsi="Arial"/>
                <w:sz w:val="18"/>
                <w:szCs w:val="18"/>
                <w:color w:val="auto"/>
              </w:rPr>
              <w:t>Costs to fulfill a contract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20,996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80"/>
              <w:spacing w:after="0"/>
              <w:rPr>
                <w:sz w:val="20"/>
                <w:szCs w:val="20"/>
                <w:color w:val="auto"/>
              </w:rPr>
            </w:pPr>
            <w:r>
              <w:rPr>
                <w:rFonts w:ascii="Arial" w:cs="Arial" w:eastAsia="Arial" w:hAnsi="Arial"/>
                <w:sz w:val="18"/>
                <w:szCs w:val="18"/>
                <w:color w:val="auto"/>
                <w:w w:val="94"/>
              </w:rPr>
              <w:t>21,348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(3,667)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38,677</w:t>
            </w:r>
          </w:p>
        </w:tc>
        <w:tc>
          <w:tcPr>
            <w:tcW w:w="0" w:type="dxa"/>
            <w:vAlign w:val="bottom"/>
          </w:tcPr>
          <w:p>
            <w:pPr>
              <w:spacing w:after="0"/>
              <w:rPr>
                <w:sz w:val="1"/>
                <w:szCs w:val="1"/>
                <w:color w:val="auto"/>
              </w:rPr>
            </w:pPr>
          </w:p>
        </w:tc>
      </w:tr>
      <w:tr>
        <w:trPr>
          <w:trHeight w:val="209"/>
        </w:trPr>
        <w:tc>
          <w:tcPr>
            <w:tcW w:w="5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103,099</w:t>
            </w:r>
          </w:p>
        </w:tc>
        <w:tc>
          <w:tcPr>
            <w:tcW w:w="60" w:type="dxa"/>
            <w:vAlign w:val="bottom"/>
            <w:tcBorders>
              <w:top w:val="single" w:sz="8" w:color="auto"/>
              <w:bottom w:val="single" w:sz="8" w:color="auto"/>
            </w:tcBorders>
            <w:gridSpan w:val="2"/>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4"/>
              </w:rPr>
              <w:t>57,375</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(19,546)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3"/>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140,928</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21"/>
          </w:tcPr>
          <w:p>
            <w:pPr>
              <w:jc w:val="center"/>
              <w:spacing w:after="0"/>
              <w:rPr>
                <w:sz w:val="20"/>
                <w:szCs w:val="20"/>
                <w:color w:val="auto"/>
              </w:rPr>
            </w:pPr>
            <w:r>
              <w:rPr>
                <w:rFonts w:ascii="Arial" w:cs="Arial" w:eastAsia="Arial" w:hAnsi="Arial"/>
                <w:sz w:val="14"/>
                <w:szCs w:val="14"/>
                <w:b w:val="1"/>
                <w:bCs w:val="1"/>
                <w:color w:val="auto"/>
                <w:w w:val="94"/>
              </w:rPr>
              <w:t>Nine Months Ended March 31, 2021</w:t>
            </w: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Beginning</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gridSpan w:val="5"/>
          </w:tcPr>
          <w:p>
            <w:pPr>
              <w:ind w:left="40"/>
              <w:spacing w:after="0" w:line="119" w:lineRule="exact"/>
              <w:rPr>
                <w:sz w:val="20"/>
                <w:szCs w:val="20"/>
                <w:color w:val="auto"/>
              </w:rPr>
            </w:pPr>
            <w:r>
              <w:rPr>
                <w:rFonts w:ascii="Arial" w:cs="Arial" w:eastAsia="Arial" w:hAnsi="Arial"/>
                <w:sz w:val="13"/>
                <w:szCs w:val="13"/>
                <w:b w:val="1"/>
                <w:bCs w:val="1"/>
                <w:color w:val="auto"/>
              </w:rPr>
              <w:t>Capitalized</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center"/>
              <w:ind w:right="58"/>
              <w:spacing w:after="0" w:line="119" w:lineRule="exact"/>
              <w:rPr>
                <w:sz w:val="20"/>
                <w:szCs w:val="20"/>
                <w:color w:val="auto"/>
              </w:rPr>
            </w:pPr>
            <w:r>
              <w:rPr>
                <w:rFonts w:ascii="Arial" w:cs="Arial" w:eastAsia="Arial" w:hAnsi="Arial"/>
                <w:sz w:val="13"/>
                <w:szCs w:val="13"/>
                <w:b w:val="1"/>
                <w:bCs w:val="1"/>
                <w:color w:val="auto"/>
                <w:w w:val="99"/>
              </w:rPr>
              <w:t>Ending</w:t>
            </w: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59"/>
              <w:spacing w:after="0"/>
              <w:rPr>
                <w:sz w:val="20"/>
                <w:szCs w:val="20"/>
                <w:color w:val="auto"/>
              </w:rPr>
            </w:pPr>
            <w:r>
              <w:rPr>
                <w:rFonts w:ascii="Arial" w:cs="Arial" w:eastAsia="Arial" w:hAnsi="Arial"/>
                <w:sz w:val="14"/>
                <w:szCs w:val="14"/>
                <w:b w:val="1"/>
                <w:bCs w:val="1"/>
                <w:color w:val="auto"/>
              </w:rPr>
              <w:t>Balance</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4"/>
                <w:szCs w:val="14"/>
                <w:b w:val="1"/>
                <w:bCs w:val="1"/>
                <w:color w:val="auto"/>
              </w:rPr>
              <w:t>Costs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 to obtain a new contract</w:t>
            </w:r>
          </w:p>
        </w:tc>
        <w:tc>
          <w:tcPr>
            <w:tcW w:w="4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113,575</w:t>
            </w:r>
          </w:p>
        </w:tc>
        <w:tc>
          <w:tcPr>
            <w:tcW w:w="80" w:type="dxa"/>
            <w:vAlign w:val="bottom"/>
            <w:tcBorders>
              <w:top w:val="single" w:sz="8" w:color="auto"/>
            </w:tcBorders>
            <w:gridSpan w:val="3"/>
            <w:shd w:val="clear" w:color="auto" w:fill="CCEEFF"/>
          </w:tcPr>
          <w:p>
            <w:pPr>
              <w:spacing w:after="0"/>
              <w:rPr>
                <w:sz w:val="18"/>
                <w:szCs w:val="18"/>
                <w:color w:val="auto"/>
              </w:rPr>
            </w:pPr>
          </w:p>
        </w:tc>
        <w:tc>
          <w:tcPr>
            <w:tcW w:w="140" w:type="dxa"/>
            <w:vAlign w:val="bottom"/>
            <w:tcBorders>
              <w:top w:val="single" w:sz="8" w:color="CCEEFF"/>
            </w:tcBorders>
            <w:gridSpan w:val="3"/>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0"/>
              </w:rPr>
              <w:t>43,026</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(20,859)</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135,742</w:t>
            </w:r>
          </w:p>
        </w:tc>
        <w:tc>
          <w:tcPr>
            <w:tcW w:w="0" w:type="dxa"/>
            <w:vAlign w:val="bottom"/>
          </w:tcPr>
          <w:p>
            <w:pPr>
              <w:spacing w:after="0"/>
              <w:rPr>
                <w:sz w:val="1"/>
                <w:szCs w:val="1"/>
                <w:color w:val="auto"/>
              </w:rPr>
            </w:pPr>
          </w:p>
        </w:tc>
      </w:tr>
      <w:tr>
        <w:trPr>
          <w:trHeight w:val="216"/>
        </w:trPr>
        <w:tc>
          <w:tcPr>
            <w:tcW w:w="5000" w:type="dxa"/>
            <w:vAlign w:val="bottom"/>
          </w:tcPr>
          <w:p>
            <w:pPr>
              <w:ind w:left="20"/>
              <w:spacing w:after="0"/>
              <w:rPr>
                <w:sz w:val="20"/>
                <w:szCs w:val="20"/>
                <w:color w:val="auto"/>
              </w:rPr>
            </w:pPr>
            <w:r>
              <w:rPr>
                <w:rFonts w:ascii="Arial" w:cs="Arial" w:eastAsia="Arial" w:hAnsi="Arial"/>
                <w:sz w:val="18"/>
                <w:szCs w:val="18"/>
                <w:color w:val="auto"/>
              </w:rPr>
              <w:t>Costs to fulfill a contract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44,468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w w:val="90"/>
              </w:rPr>
              <w:t>24,376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(6,922)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61,922</w:t>
            </w: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158,043</w:t>
            </w:r>
          </w:p>
        </w:tc>
        <w:tc>
          <w:tcPr>
            <w:tcW w:w="80" w:type="dxa"/>
            <w:vAlign w:val="bottom"/>
            <w:tcBorders>
              <w:top w:val="single" w:sz="8" w:color="auto"/>
              <w:bottom w:val="single" w:sz="8" w:color="auto"/>
            </w:tcBorders>
            <w:gridSpan w:val="3"/>
            <w:shd w:val="clear" w:color="auto" w:fill="CCEEFF"/>
          </w:tcPr>
          <w:p>
            <w:pPr>
              <w:spacing w:after="0"/>
              <w:rPr>
                <w:sz w:val="18"/>
                <w:szCs w:val="18"/>
                <w:color w:val="auto"/>
              </w:rPr>
            </w:pPr>
          </w:p>
        </w:tc>
        <w:tc>
          <w:tcPr>
            <w:tcW w:w="14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0"/>
              </w:rPr>
              <w:t>67,402</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(27,781)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197,664</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Deferred contract costs are recorded within Deferred contract costs and Long-term deferred contract costs on the Unaudited Consolidated Balance Sheets. Amortization of deferred contract costs is recorded in Cost of revenues, Sales and marketing, and General and administrative in the Unaudited Consolidated Statements of Operations and Comprehensive Income.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25"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The balance of the Company’s remaining performance obligations related to minimum monthly fees on its term-based contracts was approximately $47,582 as of March 31, 2021, which will be generally recognized over the next 24 months. This balance excludes the value of unsatisfied performance obligations for contracts that have an original expected duration of one year or less and contracts for which the variable consideration is allocated entirely to wholly unsatisfied performance obligations.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Business Combinations</w:t>
      </w:r>
    </w:p>
    <w:p>
      <w:pPr>
        <w:spacing w:after="0" w:line="229" w:lineRule="exact"/>
        <w:rPr>
          <w:sz w:val="20"/>
          <w:szCs w:val="20"/>
          <w:color w:val="auto"/>
        </w:rPr>
      </w:pPr>
    </w:p>
    <w:p>
      <w:pPr>
        <w:ind w:left="60" w:right="419" w:firstLine="648"/>
        <w:spacing w:after="0" w:line="296" w:lineRule="auto"/>
        <w:rPr>
          <w:sz w:val="20"/>
          <w:szCs w:val="20"/>
          <w:color w:val="auto"/>
        </w:rPr>
      </w:pPr>
      <w:r>
        <w:rPr>
          <w:rFonts w:ascii="Arial" w:cs="Arial" w:eastAsia="Arial" w:hAnsi="Arial"/>
          <w:sz w:val="16"/>
          <w:szCs w:val="16"/>
          <w:color w:val="auto"/>
        </w:rPr>
        <w:t>In November 2020, the Company acquired all of the shares outstanding of Samepage Labs Inc. (“Samepage”) through a merger for purchase price consideration of $15,018, which was paid in cash upon closing. Samepage offers digital collaboration tools including task management, file sharing, real-time collaboration and more. This transaction expands the Company’s product functionality in these areas and demonstrates its commitment to building a modern workforce suite of solutions that meet the needs of HR teams and employees.</w:t>
      </w:r>
    </w:p>
    <w:p>
      <w:pPr>
        <w:spacing w:after="0" w:line="161" w:lineRule="exact"/>
        <w:rPr>
          <w:sz w:val="20"/>
          <w:szCs w:val="20"/>
          <w:color w:val="auto"/>
        </w:rPr>
      </w:pPr>
    </w:p>
    <w:p>
      <w:pPr>
        <w:ind w:left="60" w:right="179" w:firstLine="648"/>
        <w:spacing w:after="0" w:line="285" w:lineRule="auto"/>
        <w:rPr>
          <w:sz w:val="20"/>
          <w:szCs w:val="20"/>
          <w:color w:val="auto"/>
        </w:rPr>
      </w:pPr>
      <w:r>
        <w:rPr>
          <w:rFonts w:ascii="Arial" w:cs="Arial" w:eastAsia="Arial" w:hAnsi="Arial"/>
          <w:sz w:val="16"/>
          <w:szCs w:val="16"/>
          <w:color w:val="auto"/>
        </w:rPr>
        <w:t>The Company accounts for business combinations in accordance with ASC 805, Business Combinations. The Company recorded the acquisition using the acquisition method of accounting and recognized assets and liabilities at their fair value as of the date of acquisition, with the excess recorded to goodwill. The preliminary allocation of the purchase price is approximately $11,529 of goodwill, $3,167 of proprietary technology and other immaterial assets and liabilities. The fair values of assets acquired and liabilities assumed may change over the measurement period as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color w:val="auto"/>
        </w:rPr>
        <w:t>additional information is received. The primary area that is subject to change is deferred taxes. The measurement period will end no later than one year from the acquisition date.</w:t>
      </w:r>
    </w:p>
    <w:p>
      <w:pPr>
        <w:spacing w:after="0" w:line="170" w:lineRule="exact"/>
        <w:rPr>
          <w:sz w:val="20"/>
          <w:szCs w:val="20"/>
          <w:color w:val="auto"/>
        </w:rPr>
      </w:pPr>
    </w:p>
    <w:p>
      <w:pPr>
        <w:ind w:left="60" w:right="59" w:firstLine="648"/>
        <w:spacing w:after="0" w:line="257" w:lineRule="auto"/>
        <w:rPr>
          <w:sz w:val="20"/>
          <w:szCs w:val="20"/>
          <w:color w:val="auto"/>
        </w:rPr>
      </w:pPr>
      <w:r>
        <w:rPr>
          <w:rFonts w:ascii="Arial" w:cs="Arial" w:eastAsia="Arial" w:hAnsi="Arial"/>
          <w:sz w:val="18"/>
          <w:szCs w:val="18"/>
          <w:color w:val="auto"/>
        </w:rPr>
        <w:t>The results from this acquisition have been included in the Company’s consolidated financial statements since the closing of the acquisition. Pro forma information was not presented because the effect of the acquisition was not material to the Company’s consolidated financial statements. The goodwill associated with this acquisition is not deductible for income tax purposes. Direct costs related to the acquisition were recorded as General and administrative expenses as incurred.</w:t>
      </w:r>
    </w:p>
    <w:p>
      <w:pPr>
        <w:spacing w:after="0" w:line="188"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In April 2020, the Company acquired all of the shares outstanding of VidGrid Inc. (“VidGrid”). During the second quarter of fiscal 2021, the Company completed its purchase accounting for this acquisition and did not record any changes to the preliminary purchase price allocation. Refer to Note 6 of the audited consolidated financial statements included in the Annual Report on Form 10-K for the fiscal year ended June 30, 2020 for additional details on the acquisition of VidGrid.</w:t>
      </w:r>
    </w:p>
    <w:p>
      <w:pPr>
        <w:sectPr>
          <w:pgSz w:w="11900" w:h="16838" w:orient="portrait"/>
          <w:cols w:equalWidth="0" w:num="1">
            <w:col w:w="9019"/>
          </w:cols>
          <w:pgMar w:left="1440" w:top="517" w:right="1440" w:bottom="1440" w:gutter="0" w:footer="0" w:header="0"/>
        </w:sectPr>
      </w:pP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Balance Sheet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tables provide details of selected consolidated balance sheet items:</w:t>
      </w:r>
    </w:p>
    <w:p>
      <w:pPr>
        <w:spacing w:after="0" w:line="23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Activity in the allowance for credit losses related to accounts receivable was as follows:</w:t>
      </w:r>
    </w:p>
    <w:p>
      <w:pPr>
        <w:spacing w:after="0" w:line="262" w:lineRule="exact"/>
        <w:rPr>
          <w:sz w:val="20"/>
          <w:szCs w:val="20"/>
          <w:color w:val="auto"/>
        </w:rPr>
      </w:pPr>
    </w:p>
    <w:p>
      <w:pPr>
        <w:ind w:left="60"/>
        <w:spacing w:after="0"/>
        <w:rPr>
          <w:sz w:val="20"/>
          <w:szCs w:val="20"/>
          <w:color w:val="auto"/>
        </w:rPr>
      </w:pPr>
      <w:r>
        <w:rPr>
          <w:rFonts w:ascii="Arial" w:cs="Arial" w:eastAsia="Arial" w:hAnsi="Arial"/>
          <w:sz w:val="18"/>
          <w:szCs w:val="18"/>
          <w:color w:val="auto"/>
        </w:rPr>
        <w:t>Balance at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-121920</wp:posOffset>
            </wp:positionV>
            <wp:extent cx="564896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Charged to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5715</wp:posOffset>
            </wp:positionV>
            <wp:extent cx="564896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Write-offs</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18"/>
          <w:szCs w:val="18"/>
          <w:color w:val="auto"/>
        </w:rPr>
        <w:t>Balance at March 31, 2021</w:t>
      </w:r>
    </w:p>
    <w:p>
      <w:pPr>
        <w:spacing w:after="0" w:line="252" w:lineRule="exact"/>
        <w:rPr>
          <w:sz w:val="20"/>
          <w:szCs w:val="20"/>
          <w:color w:val="auto"/>
        </w:rPr>
      </w:pPr>
    </w:p>
    <w:p>
      <w:pPr>
        <w:jc w:val="center"/>
        <w:ind w:left="180"/>
        <w:spacing w:after="0"/>
        <w:rPr>
          <w:sz w:val="20"/>
          <w:szCs w:val="20"/>
          <w:color w:val="auto"/>
        </w:rPr>
      </w:pPr>
      <w:r>
        <w:rPr>
          <w:rFonts w:ascii="Arial" w:cs="Arial" w:eastAsia="Arial" w:hAnsi="Arial"/>
          <w:sz w:val="18"/>
          <w:szCs w:val="18"/>
          <w:color w:val="auto"/>
        </w:rPr>
        <w:t>Capitalized internal-use software and accumulated amortization were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617</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213</w:t>
      </w:r>
    </w:p>
    <w:p>
      <w:pPr>
        <w:spacing w:after="0" w:line="9" w:lineRule="exact"/>
        <w:rPr>
          <w:sz w:val="20"/>
          <w:szCs w:val="20"/>
          <w:color w:val="auto"/>
        </w:rPr>
      </w:pPr>
    </w:p>
    <w:p>
      <w:pPr>
        <w:jc w:val="right"/>
        <w:ind w:right="2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5715</wp:posOffset>
            </wp:positionV>
            <wp:extent cx="93408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ind w:left="1280" w:hanging="1141"/>
        <w:spacing w:after="0"/>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764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14605</wp:posOffset>
            </wp:positionV>
            <wp:extent cx="93408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34085" cy="8255"/>
                    </a:xfrm>
                    <a:prstGeom prst="rect">
                      <a:avLst/>
                    </a:prstGeom>
                    <a:noFill/>
                  </pic:spPr>
                </pic:pic>
              </a:graphicData>
            </a:graphic>
          </wp:anchor>
        </w:drawing>
        <w:drawing>
          <wp:anchor simplePos="0" relativeHeight="251657728" behindDoc="1" locked="0" layoutInCell="0" allowOverlap="1">
            <wp:simplePos x="0" y="0"/>
            <wp:positionH relativeFrom="column">
              <wp:posOffset>92075</wp:posOffset>
            </wp:positionH>
            <wp:positionV relativeFrom="paragraph">
              <wp:posOffset>31750</wp:posOffset>
            </wp:positionV>
            <wp:extent cx="9340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b w:val="1"/>
          <w:bCs w:val="1"/>
          <w:color w:val="auto"/>
        </w:rPr>
        <w:t>June 30,</w:t>
      </w:r>
      <w:r>
        <w:rPr>
          <w:sz w:val="20"/>
          <w:szCs w:val="20"/>
          <w:color w:val="auto"/>
        </w:rPr>
        <w:tab/>
      </w:r>
      <w:r>
        <w:rPr>
          <w:rFonts w:ascii="Arial" w:cs="Arial" w:eastAsia="Arial" w:hAnsi="Arial"/>
          <w:sz w:val="13"/>
          <w:szCs w:val="13"/>
          <w:b w:val="1"/>
          <w:bCs w:val="1"/>
          <w:color w:val="auto"/>
        </w:rPr>
        <w:t>March 31,</w:t>
      </w:r>
    </w:p>
    <w:p>
      <w:pPr>
        <w:ind w:left="120"/>
        <w:spacing w:after="0" w:line="233" w:lineRule="auto"/>
        <w:tabs>
          <w:tab w:leader="none" w:pos="114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2021</w:t>
      </w:r>
    </w:p>
    <w:p>
      <w:pPr>
        <w:spacing w:after="0" w:line="1" w:lineRule="exact"/>
        <w:rPr>
          <w:sz w:val="20"/>
          <w:szCs w:val="20"/>
          <w:color w:val="auto"/>
        </w:rPr>
      </w:pPr>
    </w:p>
    <w:p>
      <w:pPr>
        <w:sectPr>
          <w:pgSz w:w="11900" w:h="16838" w:orient="portrait"/>
          <w:cols w:equalWidth="0" w:num="2">
            <w:col w:w="7020" w:space="160"/>
            <w:col w:w="1839"/>
          </w:cols>
          <w:pgMar w:left="1440" w:top="517" w:right="1440" w:bottom="1440" w:gutter="0" w:footer="0" w:header="0"/>
          <w:type w:val="continuous"/>
        </w:sectPr>
      </w:pPr>
    </w:p>
    <w:tbl>
      <w:tblPr>
        <w:tblLayout w:type="fixed"/>
        <w:tblInd w:w="60" w:type="dxa"/>
        <w:tblCellMar>
          <w:top w:w="0" w:type="dxa"/>
          <w:left w:w="0" w:type="dxa"/>
          <w:bottom w:w="0" w:type="dxa"/>
          <w:right w:w="0" w:type="dxa"/>
        </w:tblCellMar>
      </w:tblPr>
      <w:tr>
        <w:trPr>
          <w:trHeight w:val="212"/>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Capitalized internal-use software</w:t>
            </w:r>
          </w:p>
        </w:tc>
        <w:tc>
          <w:tcPr>
            <w:tcW w:w="2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119,178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142,654</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(82,677)</w:t>
            </w: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(99,950)</w:t>
            </w:r>
          </w:p>
        </w:tc>
      </w:tr>
      <w:tr>
        <w:trPr>
          <w:trHeight w:val="210"/>
        </w:trPr>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Capitalized internal-use software, net</w:t>
            </w:r>
          </w:p>
        </w:tc>
        <w:tc>
          <w:tcPr>
            <w:tcW w:w="2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36,501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42,704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8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319" w:firstLine="648"/>
        <w:spacing w:after="0" w:line="263" w:lineRule="auto"/>
        <w:rPr>
          <w:sz w:val="20"/>
          <w:szCs w:val="20"/>
          <w:color w:val="auto"/>
        </w:rPr>
      </w:pPr>
      <w:r>
        <w:rPr>
          <w:rFonts w:ascii="Arial" w:cs="Arial" w:eastAsia="Arial" w:hAnsi="Arial"/>
          <w:sz w:val="18"/>
          <w:szCs w:val="18"/>
          <w:color w:val="auto"/>
        </w:rPr>
        <w:t>Amortization of capitalized internal-use software costs is included in Cost of revenues and amounted to $4,926 and $6,005 for the three months ended March 31, 2020 and 2021, respectively, and $14,073 and $17,273 for the nine months ended March 31, 2020 and 2021, respectively.</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Property and equipment, net consist of the following:</w:t>
      </w:r>
    </w:p>
    <w:p>
      <w:pPr>
        <w:spacing w:after="0" w:line="23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73"/>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4520" w:type="dxa"/>
            <w:vAlign w:val="bottom"/>
            <w:tcBorders>
              <w:bottom w:val="single" w:sz="8" w:color="CCEEFF"/>
            </w:tcBorders>
          </w:tcPr>
          <w:p>
            <w:pPr>
              <w:spacing w:after="0"/>
              <w:rPr>
                <w:sz w:val="14"/>
                <w:szCs w:val="14"/>
                <w:color w:val="auto"/>
              </w:rPr>
            </w:pPr>
          </w:p>
        </w:tc>
        <w:tc>
          <w:tcPr>
            <w:tcW w:w="24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4"/>
                <w:szCs w:val="14"/>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5,208</w:t>
            </w:r>
          </w:p>
        </w:tc>
        <w:tc>
          <w:tcPr>
            <w:tcW w:w="4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Computer equipment</w:t>
            </w: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42,936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47,078</w:t>
            </w:r>
          </w:p>
        </w:tc>
        <w:tc>
          <w:tcPr>
            <w:tcW w:w="4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13,104</w:t>
            </w:r>
          </w:p>
        </w:tc>
        <w:tc>
          <w:tcPr>
            <w:tcW w:w="4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Software</w:t>
            </w: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6,609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6,627</w:t>
            </w:r>
          </w:p>
        </w:tc>
        <w:tc>
          <w:tcPr>
            <w:tcW w:w="4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46,518</w:t>
            </w:r>
          </w:p>
        </w:tc>
        <w:tc>
          <w:tcPr>
            <w:tcW w:w="40" w:type="dxa"/>
            <w:vAlign w:val="bottom"/>
            <w:shd w:val="clear" w:color="auto" w:fill="CCEEFF"/>
          </w:tcPr>
          <w:p>
            <w:pPr>
              <w:spacing w:after="0"/>
              <w:rPr>
                <w:sz w:val="18"/>
                <w:szCs w:val="18"/>
                <w:color w:val="auto"/>
              </w:rPr>
            </w:pPr>
          </w:p>
        </w:tc>
      </w:tr>
      <w:tr>
        <w:trPr>
          <w:trHeight w:val="216"/>
        </w:trPr>
        <w:tc>
          <w:tcPr>
            <w:tcW w:w="4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Time clocks rented by clients</w:t>
            </w:r>
          </w:p>
        </w:tc>
        <w:tc>
          <w:tcPr>
            <w:tcW w:w="24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4,967</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5,124</w:t>
            </w:r>
          </w:p>
        </w:tc>
        <w:tc>
          <w:tcPr>
            <w:tcW w:w="40" w:type="dxa"/>
            <w:vAlign w:val="bottom"/>
            <w:tcBorders>
              <w:bottom w:val="single" w:sz="8" w:color="CCEEFF"/>
            </w:tcBorders>
          </w:tcPr>
          <w:p>
            <w:pPr>
              <w:spacing w:after="0"/>
              <w:rPr>
                <w:sz w:val="18"/>
                <w:szCs w:val="18"/>
                <w:color w:val="auto"/>
              </w:rPr>
            </w:pPr>
          </w:p>
        </w:tc>
      </w:tr>
      <w:tr>
        <w:trPr>
          <w:trHeight w:val="209"/>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118,046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123,659</w:t>
            </w:r>
          </w:p>
        </w:tc>
        <w:tc>
          <w:tcPr>
            <w:tcW w:w="40" w:type="dxa"/>
            <w:vAlign w:val="bottom"/>
            <w:shd w:val="clear" w:color="auto" w:fill="CCEEFF"/>
          </w:tcPr>
          <w:p>
            <w:pPr>
              <w:spacing w:after="0"/>
              <w:rPr>
                <w:sz w:val="18"/>
                <w:szCs w:val="18"/>
                <w:color w:val="auto"/>
              </w:rPr>
            </w:pPr>
          </w:p>
        </w:tc>
      </w:tr>
      <w:tr>
        <w:trPr>
          <w:trHeight w:val="216"/>
        </w:trPr>
        <w:tc>
          <w:tcPr>
            <w:tcW w:w="4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depreciation</w:t>
            </w:r>
          </w:p>
        </w:tc>
        <w:tc>
          <w:tcPr>
            <w:tcW w:w="24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(51,309)</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(61,472)</w:t>
            </w:r>
          </w:p>
        </w:tc>
        <w:tc>
          <w:tcPr>
            <w:tcW w:w="40" w:type="dxa"/>
            <w:vAlign w:val="bottom"/>
            <w:tcBorders>
              <w:bottom w:val="single" w:sz="8" w:color="CCEEFF"/>
            </w:tcBorders>
          </w:tcPr>
          <w:p>
            <w:pPr>
              <w:spacing w:after="0"/>
              <w:rPr>
                <w:sz w:val="18"/>
                <w:szCs w:val="18"/>
                <w:color w:val="auto"/>
              </w:rPr>
            </w:pPr>
          </w:p>
        </w:tc>
      </w:tr>
      <w:tr>
        <w:trPr>
          <w:trHeight w:val="210"/>
        </w:trPr>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66,737</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62,187</w:t>
            </w: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45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519" w:firstLine="648"/>
        <w:spacing w:after="0" w:line="342" w:lineRule="auto"/>
        <w:rPr>
          <w:sz w:val="20"/>
          <w:szCs w:val="20"/>
          <w:color w:val="auto"/>
        </w:rPr>
      </w:pPr>
      <w:r>
        <w:rPr>
          <w:rFonts w:ascii="Arial" w:cs="Arial" w:eastAsia="Arial" w:hAnsi="Arial"/>
          <w:sz w:val="16"/>
          <w:szCs w:val="16"/>
          <w:color w:val="auto"/>
        </w:rPr>
        <w:t>Depreciation expense amounted to $4,082 and $3,966 for the three months ended March 31, 2020 and 2021, respectively, and $12,071 and $11,985 for the nine months ended March 31, 2020 and 2021, respectively.</w:t>
      </w:r>
    </w:p>
    <w:p>
      <w:pPr>
        <w:sectPr>
          <w:pgSz w:w="11900" w:h="16838" w:orient="portrait"/>
          <w:cols w:equalWidth="0" w:num="1">
            <w:col w:w="9019"/>
          </w:cols>
          <w:pgMar w:left="1440" w:top="517" w:right="1440" w:bottom="1440" w:gutter="0" w:footer="0" w:header="0"/>
          <w:type w:val="continuous"/>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changes in goodwill during the nine months ended March 31, 2021:</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June 30, 2020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21,655</w:t>
            </w:r>
          </w:p>
        </w:tc>
        <w:tc>
          <w:tcPr>
            <w:tcW w:w="8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Additions attributable to current year acquisition</w:t>
            </w: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94"/>
              </w:rPr>
              <w:t>11,529</w:t>
            </w:r>
          </w:p>
        </w:tc>
        <w:tc>
          <w:tcPr>
            <w:tcW w:w="8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March 31, 2021</w:t>
            </w:r>
          </w:p>
        </w:tc>
        <w:tc>
          <w:tcPr>
            <w:tcW w:w="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94"/>
              </w:rPr>
              <w:t>33,184</w:t>
            </w:r>
          </w:p>
        </w:tc>
        <w:tc>
          <w:tcPr>
            <w:tcW w:w="80" w:type="dxa"/>
            <w:vAlign w:val="bottom"/>
            <w:tcBorders>
              <w:bottom w:val="single" w:sz="8" w:color="CCEEFF"/>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vMerge w:val="restart"/>
          </w:tcPr>
          <w:p>
            <w:pPr>
              <w:ind w:left="640"/>
              <w:spacing w:after="0"/>
              <w:rPr>
                <w:sz w:val="20"/>
                <w:szCs w:val="20"/>
                <w:color w:val="auto"/>
              </w:rPr>
            </w:pPr>
            <w:r>
              <w:rPr>
                <w:rFonts w:ascii="Arial" w:cs="Arial" w:eastAsia="Arial" w:hAnsi="Arial"/>
                <w:sz w:val="18"/>
                <w:szCs w:val="18"/>
                <w:color w:val="auto"/>
                <w:w w:val="96"/>
              </w:rPr>
              <w:t>Refer to Note 4 for further details on the current year acquisition.</w:t>
            </w: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56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920" w:type="dxa"/>
            <w:vAlign w:val="bottom"/>
            <w:gridSpan w:val="5"/>
          </w:tcPr>
          <w:p>
            <w:pPr>
              <w:ind w:left="640"/>
              <w:spacing w:after="0"/>
              <w:rPr>
                <w:sz w:val="20"/>
                <w:szCs w:val="20"/>
                <w:color w:val="auto"/>
              </w:rPr>
            </w:pPr>
            <w:r>
              <w:rPr>
                <w:rFonts w:ascii="Arial" w:cs="Arial" w:eastAsia="Arial" w:hAnsi="Arial"/>
                <w:sz w:val="18"/>
                <w:szCs w:val="18"/>
                <w:color w:val="auto"/>
                <w:w w:val="90"/>
              </w:rPr>
              <w:t>The Company’s amortizable intangible assets and estimated useful lives are as follows: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5"/>
              </w:rPr>
              <w:t>March 31,</w:t>
            </w: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Useful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34"/>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Life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Client relationships</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19,200</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19,200</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right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5 - 9 years</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Proprietary technology</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2,962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6,129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2"/>
          </w:tcPr>
          <w:p>
            <w:pPr>
              <w:ind w:left="240"/>
              <w:spacing w:after="0"/>
              <w:rPr>
                <w:sz w:val="20"/>
                <w:szCs w:val="20"/>
                <w:color w:val="auto"/>
              </w:rPr>
            </w:pPr>
            <w:r>
              <w:rPr>
                <w:rFonts w:ascii="Arial" w:cs="Arial" w:eastAsia="Arial" w:hAnsi="Arial"/>
                <w:sz w:val="18"/>
                <w:szCs w:val="18"/>
                <w:color w:val="auto"/>
                <w:w w:val="94"/>
              </w:rPr>
              <w:t>5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Non-solicitation agreements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2 - 4 years</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Trade name</w:t>
            </w: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w w:val="94"/>
              </w:rPr>
              <w:t>5 years</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amortization</w:t>
            </w: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(10,502)</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(13,314)</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13,360</w:t>
            </w: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14,055</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right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599" w:firstLine="648"/>
        <w:spacing w:after="0" w:line="263" w:lineRule="auto"/>
        <w:rPr>
          <w:sz w:val="20"/>
          <w:szCs w:val="20"/>
          <w:color w:val="auto"/>
        </w:rPr>
      </w:pPr>
      <w:r>
        <w:rPr>
          <w:rFonts w:ascii="Arial" w:cs="Arial" w:eastAsia="Arial" w:hAnsi="Arial"/>
          <w:sz w:val="18"/>
          <w:szCs w:val="18"/>
          <w:color w:val="auto"/>
        </w:rPr>
        <w:t>Amortization expense for acquired intangible assets was $563 and $1,028 for the three months ended March 31, 2020 and 2021, respectively and $1,688 and $2,812 for the nine months ended March 31, 2020 and 2021, respectively.</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Future amortization expense for acquired intangible assets as of March 31, 2021 is as follows: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Remainder of fiscal 2021</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6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Fiscal 2022</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4,093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Fiscal 2023</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w:t>
            </w:r>
          </w:p>
        </w:tc>
        <w:tc>
          <w:tcPr>
            <w:tcW w:w="6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Fiscal 2024</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2,914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Fiscal 2025</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w:t>
            </w:r>
          </w:p>
        </w:tc>
        <w:tc>
          <w:tcPr>
            <w:tcW w:w="6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14,055</w:t>
            </w:r>
          </w:p>
        </w:tc>
        <w:tc>
          <w:tcPr>
            <w:tcW w:w="60" w:type="dxa"/>
            <w:vAlign w:val="bottom"/>
            <w:tcBorders>
              <w:bottom w:val="single" w:sz="8" w:color="CCEEFF"/>
              <w:right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vMerge w:val="restart"/>
          </w:tcPr>
          <w:p>
            <w:pPr>
              <w:ind w:left="640"/>
              <w:spacing w:after="0"/>
              <w:rPr>
                <w:sz w:val="20"/>
                <w:szCs w:val="20"/>
                <w:color w:val="auto"/>
              </w:rPr>
            </w:pPr>
            <w:r>
              <w:rPr>
                <w:rFonts w:ascii="Arial" w:cs="Arial" w:eastAsia="Arial" w:hAnsi="Arial"/>
                <w:sz w:val="18"/>
                <w:szCs w:val="18"/>
                <w:color w:val="auto"/>
              </w:rPr>
              <w:t>The components of accrued expenses were as follows:</w:t>
            </w: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69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ind w:right="95"/>
              <w:spacing w:after="0"/>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69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payroll and personnel costs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53,284</w:t>
            </w:r>
          </w:p>
        </w:tc>
        <w:tc>
          <w:tcPr>
            <w:tcW w:w="200" w:type="dxa"/>
            <w:vAlign w:val="bottom"/>
            <w:gridSpan w:val="2"/>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53,767</w:t>
            </w:r>
          </w:p>
        </w:tc>
        <w:tc>
          <w:tcPr>
            <w:tcW w:w="6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Operating lease liabilities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8,083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7,834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9,620</w:t>
            </w:r>
          </w:p>
        </w:tc>
        <w:tc>
          <w:tcPr>
            <w:tcW w:w="6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9,737</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11,918</w:t>
            </w:r>
          </w:p>
        </w:tc>
        <w:tc>
          <w:tcPr>
            <w:tcW w:w="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accrued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79,881</w:t>
            </w:r>
          </w:p>
        </w:tc>
        <w:tc>
          <w:tcPr>
            <w:tcW w:w="200" w:type="dxa"/>
            <w:vAlign w:val="bottom"/>
            <w:tcBorders>
              <w:bottom w:val="single" w:sz="8" w:color="CCEEFF"/>
            </w:tcBorders>
            <w:gridSpan w:val="2"/>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83,139</w:t>
            </w:r>
          </w:p>
        </w:tc>
        <w:tc>
          <w:tcPr>
            <w:tcW w:w="60" w:type="dxa"/>
            <w:vAlign w:val="bottom"/>
            <w:tcBorders>
              <w:bottom w:val="single" w:sz="8" w:color="auto"/>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ind w:left="438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69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6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Corporate Investments and Funds Held for Clients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Corporate investments and funds held for clients consist of the following:</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June 30, 2020</w:t>
            </w: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2"/>
                <w:szCs w:val="12"/>
                <w:color w:val="auto"/>
              </w:rPr>
            </w:pPr>
          </w:p>
        </w:tc>
        <w:tc>
          <w:tcPr>
            <w:tcW w:w="66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2"/>
                <w:szCs w:val="12"/>
                <w:color w:val="auto"/>
              </w:rPr>
            </w:pPr>
          </w:p>
        </w:tc>
        <w:tc>
          <w:tcPr>
            <w:tcW w:w="68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unrealized</w:t>
            </w: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5360" w:type="dxa"/>
            <w:vAlign w:val="bottom"/>
            <w:gridSpan w:val="2"/>
          </w:tcPr>
          <w:p>
            <w:pPr>
              <w:ind w:left="2220"/>
              <w:spacing w:after="0" w:line="158" w:lineRule="exact"/>
              <w:rPr>
                <w:sz w:val="20"/>
                <w:szCs w:val="20"/>
                <w:color w:val="auto"/>
              </w:rPr>
            </w:pPr>
            <w:r>
              <w:rPr>
                <w:rFonts w:ascii="Arial" w:cs="Arial" w:eastAsia="Arial" w:hAnsi="Arial"/>
                <w:sz w:val="14"/>
                <w:szCs w:val="14"/>
                <w:b w:val="1"/>
                <w:bCs w:val="1"/>
                <w:color w:val="auto"/>
              </w:rPr>
              <w:t>Type of Issue</w:t>
            </w:r>
          </w:p>
        </w:tc>
        <w:tc>
          <w:tcPr>
            <w:tcW w:w="120" w:type="dxa"/>
            <w:vAlign w:val="bottom"/>
          </w:tcPr>
          <w:p>
            <w:pPr>
              <w:spacing w:after="0"/>
              <w:rPr>
                <w:sz w:val="13"/>
                <w:szCs w:val="13"/>
                <w:color w:val="auto"/>
              </w:rPr>
            </w:pPr>
          </w:p>
        </w:tc>
        <w:tc>
          <w:tcPr>
            <w:tcW w:w="9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83"/>
              </w:rPr>
              <w:t>cost</w:t>
            </w:r>
          </w:p>
        </w:tc>
        <w:tc>
          <w:tcPr>
            <w:tcW w:w="120" w:type="dxa"/>
            <w:vAlign w:val="bottom"/>
          </w:tcPr>
          <w:p>
            <w:pPr>
              <w:spacing w:after="0"/>
              <w:rPr>
                <w:sz w:val="13"/>
                <w:szCs w:val="13"/>
                <w:color w:val="auto"/>
              </w:rPr>
            </w:pPr>
          </w:p>
        </w:tc>
        <w:tc>
          <w:tcPr>
            <w:tcW w:w="66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3"/>
                <w:szCs w:val="13"/>
                <w:color w:val="auto"/>
              </w:rPr>
            </w:pPr>
          </w:p>
        </w:tc>
        <w:tc>
          <w:tcPr>
            <w:tcW w:w="68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3"/>
                <w:szCs w:val="13"/>
                <w:color w:val="auto"/>
              </w:rPr>
            </w:pPr>
          </w:p>
        </w:tc>
        <w:tc>
          <w:tcPr>
            <w:tcW w:w="820" w:type="dxa"/>
            <w:vAlign w:val="bottom"/>
          </w:tcPr>
          <w:p>
            <w:pPr>
              <w:jc w:val="right"/>
              <w:ind w:right="72"/>
              <w:spacing w:after="0" w:line="158" w:lineRule="exact"/>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209"/>
        </w:trPr>
        <w:tc>
          <w:tcPr>
            <w:tcW w:w="5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250,851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250,851</w:t>
            </w:r>
          </w:p>
        </w:tc>
        <w:tc>
          <w:tcPr>
            <w:tcW w:w="0" w:type="dxa"/>
            <w:vAlign w:val="bottom"/>
          </w:tcPr>
          <w:p>
            <w:pPr>
              <w:spacing w:after="0"/>
              <w:rPr>
                <w:sz w:val="1"/>
                <w:szCs w:val="1"/>
                <w:color w:val="auto"/>
              </w:rPr>
            </w:pPr>
          </w:p>
        </w:tc>
      </w:tr>
      <w:tr>
        <w:trPr>
          <w:trHeight w:val="216"/>
        </w:trPr>
        <w:tc>
          <w:tcPr>
            <w:tcW w:w="5360" w:type="dxa"/>
            <w:vAlign w:val="bottom"/>
            <w:gridSpan w:val="2"/>
          </w:tcPr>
          <w:p>
            <w:pPr>
              <w:ind w:left="20"/>
              <w:spacing w:after="0"/>
              <w:rPr>
                <w:sz w:val="20"/>
                <w:szCs w:val="20"/>
                <w:color w:val="auto"/>
              </w:rPr>
            </w:pPr>
            <w:r>
              <w:rPr>
                <w:rFonts w:ascii="Arial" w:cs="Arial" w:eastAsia="Arial" w:hAnsi="Arial"/>
                <w:sz w:val="18"/>
                <w:szCs w:val="18"/>
                <w:color w:val="auto"/>
              </w:rPr>
              <w:t>Funds held for clients' cash and cash equivalents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2"/>
              </w:rPr>
              <w:t>1,241,282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4"/>
              </w:rPr>
              <w:t>1,241,282</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Available-for-sale securities: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gridSpan w:val="2"/>
          </w:tcPr>
          <w:p>
            <w:pPr>
              <w:ind w:left="220"/>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6,649</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44,757</w:t>
            </w:r>
          </w:p>
        </w:tc>
        <w:tc>
          <w:tcPr>
            <w:tcW w:w="0" w:type="dxa"/>
            <w:vAlign w:val="bottom"/>
          </w:tcPr>
          <w:p>
            <w:pPr>
              <w:spacing w:after="0"/>
              <w:rPr>
                <w:sz w:val="1"/>
                <w:szCs w:val="1"/>
                <w:color w:val="auto"/>
              </w:rPr>
            </w:pPr>
          </w:p>
        </w:tc>
      </w:tr>
      <w:tr>
        <w:trPr>
          <w:trHeight w:val="216"/>
        </w:trPr>
        <w:tc>
          <w:tcPr>
            <w:tcW w:w="5360" w:type="dxa"/>
            <w:vAlign w:val="bottom"/>
            <w:gridSpan w:val="2"/>
          </w:tcPr>
          <w:p>
            <w:pPr>
              <w:ind w:left="220"/>
              <w:spacing w:after="0"/>
              <w:rPr>
                <w:sz w:val="20"/>
                <w:szCs w:val="20"/>
                <w:color w:val="auto"/>
              </w:rPr>
            </w:pPr>
            <w:r>
              <w:rPr>
                <w:rFonts w:ascii="Arial" w:cs="Arial" w:eastAsia="Arial" w:hAnsi="Arial"/>
                <w:sz w:val="18"/>
                <w:szCs w:val="18"/>
                <w:color w:val="auto"/>
              </w:rPr>
              <w:t>Asset-backed securities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49,978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50,402</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U.S. treasury securities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21,369</w:t>
            </w:r>
          </w:p>
        </w:tc>
        <w:tc>
          <w:tcPr>
            <w:tcW w:w="0" w:type="dxa"/>
            <w:vAlign w:val="bottom"/>
          </w:tcPr>
          <w:p>
            <w:pPr>
              <w:spacing w:after="0"/>
              <w:rPr>
                <w:sz w:val="1"/>
                <w:szCs w:val="1"/>
                <w:color w:val="auto"/>
              </w:rPr>
            </w:pPr>
          </w:p>
        </w:tc>
      </w:tr>
      <w:tr>
        <w:trPr>
          <w:trHeight w:val="210"/>
        </w:trPr>
        <w:tc>
          <w:tcPr>
            <w:tcW w:w="5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available-for-sale securities (1)</w:t>
            </w: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122,266</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123,177</w:t>
            </w:r>
          </w:p>
        </w:tc>
        <w:tc>
          <w:tcPr>
            <w:tcW w:w="0" w:type="dxa"/>
            <w:vAlign w:val="bottom"/>
          </w:tcPr>
          <w:p>
            <w:pPr>
              <w:spacing w:after="0"/>
              <w:rPr>
                <w:sz w:val="1"/>
                <w:szCs w:val="1"/>
                <w:color w:val="auto"/>
              </w:rPr>
            </w:pPr>
          </w:p>
        </w:tc>
      </w:tr>
      <w:tr>
        <w:trPr>
          <w:trHeight w:val="209"/>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1,614,399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1,615,310</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20" w:right="179" w:hanging="319"/>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Included within the fair value of total available-for-sale securities above is $37,155 of corporate investments and $86,022 of funds held for clients.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March 31, 2021</w:t>
            </w: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0"/>
                <w:szCs w:val="10"/>
                <w:color w:val="auto"/>
              </w:rPr>
            </w:pPr>
          </w:p>
        </w:tc>
        <w:tc>
          <w:tcPr>
            <w:tcW w:w="68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120" w:type="dxa"/>
            <w:vAlign w:val="bottom"/>
          </w:tcPr>
          <w:p>
            <w:pPr>
              <w:spacing w:after="0"/>
              <w:rPr>
                <w:sz w:val="10"/>
                <w:szCs w:val="10"/>
                <w:color w:val="auto"/>
              </w:rPr>
            </w:pPr>
          </w:p>
        </w:tc>
        <w:tc>
          <w:tcPr>
            <w:tcW w:w="70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340" w:type="dxa"/>
            <w:vAlign w:val="bottom"/>
            <w:gridSpan w:val="2"/>
            <w:vMerge w:val="restart"/>
          </w:tcPr>
          <w:p>
            <w:pPr>
              <w:ind w:left="2240"/>
              <w:spacing w:after="0"/>
              <w:rPr>
                <w:sz w:val="20"/>
                <w:szCs w:val="20"/>
                <w:color w:val="auto"/>
              </w:rPr>
            </w:pPr>
            <w:r>
              <w:rPr>
                <w:rFonts w:ascii="Arial" w:cs="Arial" w:eastAsia="Arial" w:hAnsi="Arial"/>
                <w:sz w:val="14"/>
                <w:szCs w:val="14"/>
                <w:b w:val="1"/>
                <w:bCs w:val="1"/>
                <w:color w:val="auto"/>
              </w:rPr>
              <w:t>Type of Issue</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84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3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cost</w:t>
            </w:r>
          </w:p>
        </w:tc>
        <w:tc>
          <w:tcPr>
            <w:tcW w:w="1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175,453</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175,453</w:t>
            </w:r>
          </w:p>
        </w:tc>
        <w:tc>
          <w:tcPr>
            <w:tcW w:w="0" w:type="dxa"/>
            <w:vAlign w:val="bottom"/>
          </w:tcPr>
          <w:p>
            <w:pPr>
              <w:spacing w:after="0"/>
              <w:rPr>
                <w:sz w:val="1"/>
                <w:szCs w:val="1"/>
                <w:color w:val="auto"/>
              </w:rPr>
            </w:pPr>
          </w:p>
        </w:tc>
      </w:tr>
      <w:tr>
        <w:trPr>
          <w:trHeight w:val="216"/>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Funds held for clients' cash and cash equivalents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9"/>
              </w:rPr>
              <w:t>2,019,089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2,019,089</w:t>
            </w: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Available-for-sale securities: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2"/>
          </w:tcPr>
          <w:p>
            <w:pPr>
              <w:ind w:left="220"/>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19,341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19,457</w:t>
            </w: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Asset-backed securities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20,191</w:t>
            </w:r>
          </w:p>
        </w:tc>
        <w:tc>
          <w:tcPr>
            <w:tcW w:w="0" w:type="dxa"/>
            <w:vAlign w:val="bottom"/>
          </w:tcPr>
          <w:p>
            <w:pPr>
              <w:spacing w:after="0"/>
              <w:rPr>
                <w:sz w:val="1"/>
                <w:szCs w:val="1"/>
                <w:color w:val="auto"/>
              </w:rPr>
            </w:pPr>
          </w:p>
        </w:tc>
      </w:tr>
      <w:tr>
        <w:trPr>
          <w:trHeight w:val="210"/>
        </w:trPr>
        <w:tc>
          <w:tcPr>
            <w:tcW w:w="5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available-for-sale securities (2)</w:t>
            </w: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39,463</w:t>
            </w:r>
          </w:p>
        </w:tc>
        <w:tc>
          <w:tcPr>
            <w:tcW w:w="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39,648</w:t>
            </w:r>
          </w:p>
        </w:tc>
        <w:tc>
          <w:tcPr>
            <w:tcW w:w="0" w:type="dxa"/>
            <w:vAlign w:val="bottom"/>
          </w:tcPr>
          <w:p>
            <w:pPr>
              <w:spacing w:after="0"/>
              <w:rPr>
                <w:sz w:val="1"/>
                <w:szCs w:val="1"/>
                <w:color w:val="auto"/>
              </w:rPr>
            </w:pPr>
          </w:p>
        </w:tc>
      </w:tr>
      <w:tr>
        <w:trPr>
          <w:trHeight w:val="210"/>
        </w:trPr>
        <w:tc>
          <w:tcPr>
            <w:tcW w:w="5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2,234,005</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2,234,190</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20" w:right="279" w:hanging="319"/>
        <w:spacing w:after="0" w:line="277"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Included within the fair value of total available-for-sale securities above is $6,823 of corporate investments and $32,825 of funds held for clients.</w:t>
      </w:r>
    </w:p>
    <w:p>
      <w:pPr>
        <w:spacing w:after="0" w:line="170" w:lineRule="exact"/>
        <w:rPr>
          <w:sz w:val="20"/>
          <w:szCs w:val="20"/>
          <w:color w:val="auto"/>
        </w:rPr>
      </w:pPr>
    </w:p>
    <w:p>
      <w:pPr>
        <w:ind w:left="60" w:right="159" w:firstLine="648"/>
        <w:spacing w:after="0" w:line="263" w:lineRule="auto"/>
        <w:rPr>
          <w:sz w:val="20"/>
          <w:szCs w:val="20"/>
          <w:color w:val="auto"/>
        </w:rPr>
      </w:pPr>
      <w:r>
        <w:rPr>
          <w:rFonts w:ascii="Arial" w:cs="Arial" w:eastAsia="Arial" w:hAnsi="Arial"/>
          <w:sz w:val="18"/>
          <w:szCs w:val="18"/>
          <w:color w:val="auto"/>
        </w:rPr>
        <w:t>Cash and cash equivalents and funds held for clients’ cash and cash equivalents include demand deposit accounts and money market funds at June 30, 2020 and March 31, 2021. All of the Company’s available-for-sale securities had expected maturities of one year or less at March 31, 2021.</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Classification of investments on the unaudited consolidated balance sheets is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840" w:type="dxa"/>
            <w:vAlign w:val="bottom"/>
          </w:tcPr>
          <w:p>
            <w:pPr>
              <w:jc w:val="right"/>
              <w:ind w:right="95"/>
              <w:spacing w:after="0"/>
              <w:rPr>
                <w:sz w:val="20"/>
                <w:szCs w:val="20"/>
                <w:color w:val="auto"/>
              </w:rPr>
            </w:pPr>
            <w:r>
              <w:rPr>
                <w:rFonts w:ascii="Arial" w:cs="Arial" w:eastAsia="Arial" w:hAnsi="Arial"/>
                <w:sz w:val="14"/>
                <w:szCs w:val="14"/>
                <w:b w:val="1"/>
                <w:bCs w:val="1"/>
                <w:color w:val="auto"/>
                <w:w w:val="99"/>
              </w:rPr>
              <w:t>March 31,</w:t>
            </w:r>
          </w:p>
        </w:tc>
      </w:tr>
      <w:tr>
        <w:trPr>
          <w:trHeight w:val="171"/>
        </w:trPr>
        <w:tc>
          <w:tcPr>
            <w:tcW w:w="68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2021</w:t>
            </w:r>
          </w:p>
        </w:tc>
      </w:tr>
      <w:tr>
        <w:trPr>
          <w:trHeight w:val="21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175,453</w:t>
            </w: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Corporate investments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34,556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6,823</w:t>
            </w: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Funds held for clients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1,327,304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2,051,914</w:t>
            </w:r>
          </w:p>
        </w:tc>
      </w:tr>
      <w:tr>
        <w:trPr>
          <w:trHeight w:val="216"/>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Long-term prepaid expenses and other</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1,615,310</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2,234,190</w:t>
            </w:r>
          </w:p>
        </w:tc>
      </w:tr>
      <w:tr>
        <w:trPr>
          <w:trHeight w:val="20"/>
        </w:trPr>
        <w:tc>
          <w:tcPr>
            <w:tcW w:w="6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There were no available-for-sale securities in an unrealized loss position at June 30, 2020 or March 31, 2021. The Company regularly reviews the composition of its portfolio to determine the existence of credit impairment. The Company did not recognize any credit impairment losses during the nine months ended March 31, 2021. All securities in the Company’s portfolio held an A-1 rating or better as of March 31, 2021.</w:t>
      </w:r>
    </w:p>
    <w:p>
      <w:pPr>
        <w:sectPr>
          <w:pgSz w:w="11900" w:h="16838" w:orient="portrait"/>
          <w:cols w:equalWidth="0" w:num="1">
            <w:col w:w="9019"/>
          </w:cols>
          <w:pgMar w:left="1440" w:top="517" w:right="1440"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firstLine="648"/>
        <w:spacing w:after="0" w:line="279" w:lineRule="auto"/>
        <w:rPr>
          <w:sz w:val="20"/>
          <w:szCs w:val="20"/>
          <w:color w:val="auto"/>
        </w:rPr>
      </w:pPr>
      <w:r>
        <w:rPr>
          <w:rFonts w:ascii="Arial" w:cs="Arial" w:eastAsia="Arial" w:hAnsi="Arial"/>
          <w:sz w:val="17"/>
          <w:szCs w:val="17"/>
          <w:color w:val="auto"/>
        </w:rPr>
        <w:t>The Company did not make any material reclassification adjustments out of accumulated other comprehensive income for realized gains and losses on the sale of available-for-sale securities during the three or nine months ended March 31, 2020 or 2021. Gross realized gains and losses on the sale of available-for-sale securities were immaterial for both three and nine months ended March 31, 2020 and 2021.</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Fair Value Measurement</w:t>
      </w:r>
    </w:p>
    <w:p>
      <w:pPr>
        <w:spacing w:after="0" w:line="229" w:lineRule="exact"/>
        <w:rPr>
          <w:sz w:val="20"/>
          <w:szCs w:val="20"/>
          <w:color w:val="auto"/>
        </w:rPr>
      </w:pPr>
    </w:p>
    <w:p>
      <w:pPr>
        <w:ind w:left="60" w:right="199" w:firstLine="648"/>
        <w:spacing w:after="0" w:line="301"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57" w:lineRule="exact"/>
        <w:rPr>
          <w:sz w:val="20"/>
          <w:szCs w:val="20"/>
          <w:color w:val="auto"/>
        </w:rPr>
      </w:pP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and liabilities.</w:t>
      </w:r>
    </w:p>
    <w:p>
      <w:pPr>
        <w:spacing w:after="0" w:line="225" w:lineRule="exact"/>
        <w:rPr>
          <w:rFonts w:ascii="Arial" w:cs="Arial" w:eastAsia="Arial" w:hAnsi="Arial"/>
          <w:sz w:val="18"/>
          <w:szCs w:val="18"/>
          <w:color w:val="auto"/>
        </w:rPr>
      </w:pPr>
    </w:p>
    <w:p>
      <w:pPr>
        <w:jc w:val="both"/>
        <w:ind w:left="1040" w:right="119" w:hanging="315"/>
        <w:spacing w:after="0" w:line="342" w:lineRule="auto"/>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Level 2—Quoted prices in active markets for similar assets and liabilities, or other inputs that are observable for the asset or liability, either directly or indirectly, for substantially the full term of the financial instrument.</w:t>
      </w:r>
    </w:p>
    <w:p>
      <w:pPr>
        <w:spacing w:after="0" w:line="123" w:lineRule="exact"/>
        <w:rPr>
          <w:rFonts w:ascii="Arial" w:cs="Arial" w:eastAsia="Arial" w:hAnsi="Arial"/>
          <w:sz w:val="16"/>
          <w:szCs w:val="16"/>
          <w:color w:val="auto"/>
        </w:rPr>
      </w:pPr>
    </w:p>
    <w:p>
      <w:pPr>
        <w:ind w:left="1040" w:right="139" w:hanging="315"/>
        <w:spacing w:after="0" w:line="286" w:lineRule="auto"/>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Level 3—Unobservable inputs that are supported by little or no market activity and that are significant to the fair value of the assets and liabilities. This includes certain pricing models, discounted cash flow methodologies and similar techniques that use significant unobservable inputs.</w:t>
      </w:r>
    </w:p>
    <w:p>
      <w:pPr>
        <w:spacing w:after="0" w:line="165" w:lineRule="exact"/>
        <w:rPr>
          <w:sz w:val="20"/>
          <w:szCs w:val="20"/>
          <w:color w:val="auto"/>
        </w:rPr>
      </w:pPr>
    </w:p>
    <w:p>
      <w:pPr>
        <w:ind w:left="60" w:right="199" w:firstLine="648"/>
        <w:spacing w:after="0" w:line="279" w:lineRule="auto"/>
        <w:rPr>
          <w:sz w:val="20"/>
          <w:szCs w:val="20"/>
          <w:color w:val="auto"/>
        </w:rPr>
      </w:pPr>
      <w:r>
        <w:rPr>
          <w:rFonts w:ascii="Arial" w:cs="Arial" w:eastAsia="Arial" w:hAnsi="Arial"/>
          <w:sz w:val="17"/>
          <w:szCs w:val="17"/>
          <w:color w:val="auto"/>
        </w:rPr>
        <w:t>The Company measures certain cash and cash equivalents, accounts receivable, accounts payable and client fund obligations at fair value on a recurring basis using Level 1 inputs. The Company considers the recorded value of these financial assets and liabilities to approximate the fair value of the respective assets and liabilities at June 30, 2020 and March 31, 2021 based upon the short-term nature of these assets and liabilities.</w:t>
      </w:r>
    </w:p>
    <w:p>
      <w:pPr>
        <w:spacing w:after="0" w:line="171"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Marketable securities, consisting of securities classified as available-for-sale as well as certain cash equivalents, are recorded at fair value on a recurring basis using Level 2 inputs obtained from an independent pricing service. Available-for-sale securities include commercial paper, corporate bonds, asset-backed securities and U.S. treasury securities. The independent pricing service utilizes a variety of inputs including benchmark yields, broker/dealer quoted prices, reported trades, issuer spreads as well as other available market data. The Company, on a sample basis, validates the pricing from the independent pricing service against another third-party pricing source for reasonableness. The Company has not adjusted any prices obtained by the independent pricing service, as it believes they are appropriately valued. There were no available-for-sale securities classified in Level 3 of the fair value hierarchy at June 30, 2020 or March 31, 2021.</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fair value level for the Company’s cash and cash equivalents and available-for-sale securities is as follows:</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June 30, 2020</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100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2"/>
                <w:szCs w:val="12"/>
                <w:color w:val="auto"/>
              </w:rPr>
            </w:pPr>
          </w:p>
        </w:tc>
        <w:tc>
          <w:tcPr>
            <w:tcW w:w="90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2"/>
                <w:szCs w:val="12"/>
                <w:color w:val="auto"/>
              </w:rPr>
            </w:pPr>
          </w:p>
        </w:tc>
        <w:tc>
          <w:tcPr>
            <w:tcW w:w="72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7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250,851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250,851</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20"/>
              <w:spacing w:after="0"/>
              <w:rPr>
                <w:sz w:val="20"/>
                <w:szCs w:val="20"/>
                <w:color w:val="auto"/>
              </w:rPr>
            </w:pPr>
            <w:r>
              <w:rPr>
                <w:rFonts w:ascii="Arial" w:cs="Arial" w:eastAsia="Arial" w:hAnsi="Arial"/>
                <w:sz w:val="18"/>
                <w:szCs w:val="18"/>
                <w:color w:val="auto"/>
                <w:w w:val="99"/>
              </w:rPr>
              <w:t>Funds held for clients' cash and cash equivalents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2"/>
              </w:rPr>
              <w:t>1,241,282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1,241,282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Available-for-sale securities: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6,649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6,649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44,757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44,757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220"/>
              <w:spacing w:after="0"/>
              <w:rPr>
                <w:sz w:val="20"/>
                <w:szCs w:val="20"/>
                <w:color w:val="auto"/>
              </w:rPr>
            </w:pPr>
            <w:r>
              <w:rPr>
                <w:rFonts w:ascii="Arial" w:cs="Arial" w:eastAsia="Arial" w:hAnsi="Arial"/>
                <w:sz w:val="18"/>
                <w:szCs w:val="18"/>
                <w:color w:val="auto"/>
              </w:rPr>
              <w:t>Asset-backed securities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50,402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50,402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treasury securities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available-for-sale securities</w:t>
            </w:r>
          </w:p>
        </w:tc>
        <w:tc>
          <w:tcPr>
            <w:tcW w:w="7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123,177</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123,177</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7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1,615,310</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1,492,133</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123,177</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740" w:type="dxa"/>
            <w:vAlign w:val="bottom"/>
            <w:vMerge w:val="restart"/>
          </w:tcPr>
          <w:p>
            <w:pPr>
              <w:jc w:val="right"/>
              <w:ind w:right="30"/>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94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9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r>
        <w:trPr>
          <w:trHeight w:val="142"/>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102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2"/>
                <w:szCs w:val="12"/>
                <w:color w:val="auto"/>
              </w:rPr>
            </w:pPr>
          </w:p>
        </w:tc>
        <w:tc>
          <w:tcPr>
            <w:tcW w:w="90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2"/>
                <w:szCs w:val="12"/>
                <w:color w:val="auto"/>
              </w:rPr>
            </w:pPr>
          </w:p>
        </w:tc>
        <w:tc>
          <w:tcPr>
            <w:tcW w:w="72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Level 3</w:t>
            </w:r>
          </w:p>
        </w:tc>
      </w:tr>
      <w:tr>
        <w:trPr>
          <w:trHeight w:val="209"/>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175,453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175,453</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r>
      <w:tr>
        <w:trPr>
          <w:trHeight w:val="216"/>
        </w:trPr>
        <w:tc>
          <w:tcPr>
            <w:tcW w:w="4660" w:type="dxa"/>
            <w:vAlign w:val="bottom"/>
          </w:tcPr>
          <w:p>
            <w:pPr>
              <w:ind w:left="20"/>
              <w:spacing w:after="0"/>
              <w:rPr>
                <w:sz w:val="20"/>
                <w:szCs w:val="20"/>
                <w:color w:val="auto"/>
              </w:rPr>
            </w:pPr>
            <w:r>
              <w:rPr>
                <w:rFonts w:ascii="Arial" w:cs="Arial" w:eastAsia="Arial" w:hAnsi="Arial"/>
                <w:sz w:val="18"/>
                <w:szCs w:val="18"/>
                <w:color w:val="auto"/>
              </w:rPr>
              <w:t>Funds held for clients' cash and cash equivalents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2"/>
              </w:rPr>
              <w:t>2,019,089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2"/>
              </w:rPr>
              <w:t>2,019,089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ind w:left="480"/>
              <w:spacing w:after="0"/>
              <w:rPr>
                <w:sz w:val="20"/>
                <w:szCs w:val="20"/>
                <w:color w:val="auto"/>
              </w:rPr>
            </w:pPr>
            <w:r>
              <w:rPr>
                <w:rFonts w:ascii="Arial" w:cs="Arial" w:eastAsia="Arial" w:hAnsi="Arial"/>
                <w:sz w:val="18"/>
                <w:szCs w:val="18"/>
                <w:color w:val="auto"/>
              </w:rPr>
              <w:t>—</w:t>
            </w:r>
          </w:p>
        </w:tc>
      </w:tr>
      <w:tr>
        <w:trPr>
          <w:trHeight w:val="216"/>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Available-for-sale securities: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4660" w:type="dxa"/>
            <w:vAlign w:val="bottom"/>
          </w:tcPr>
          <w:p>
            <w:pPr>
              <w:ind w:left="220"/>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19,457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19,457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ind w:left="480"/>
              <w:spacing w:after="0"/>
              <w:rPr>
                <w:sz w:val="20"/>
                <w:szCs w:val="20"/>
                <w:color w:val="auto"/>
              </w:rPr>
            </w:pPr>
            <w:r>
              <w:rPr>
                <w:rFonts w:ascii="Arial" w:cs="Arial" w:eastAsia="Arial" w:hAnsi="Arial"/>
                <w:sz w:val="18"/>
                <w:szCs w:val="18"/>
                <w:color w:val="auto"/>
              </w:rPr>
              <w:t>—</w:t>
            </w:r>
          </w:p>
        </w:tc>
      </w:tr>
      <w:tr>
        <w:trPr>
          <w:trHeight w:val="216"/>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Asset-backed securities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r>
      <w:tr>
        <w:trPr>
          <w:trHeight w:val="209"/>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available-for-sale securities</w:t>
            </w: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39,648</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39,648</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rPr>
              <w:t>—</w:t>
            </w:r>
          </w:p>
        </w:tc>
      </w:tr>
      <w:tr>
        <w:trPr>
          <w:trHeight w:val="21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2,234,190</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2,194,542</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39,648</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r>
      <w:tr>
        <w:trPr>
          <w:trHeight w:val="20"/>
        </w:trPr>
        <w:tc>
          <w:tcPr>
            <w:tcW w:w="4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439" w:firstLine="648"/>
        <w:spacing w:after="0" w:line="263" w:lineRule="auto"/>
        <w:rPr>
          <w:sz w:val="20"/>
          <w:szCs w:val="20"/>
          <w:color w:val="auto"/>
        </w:rPr>
      </w:pPr>
      <w:r>
        <w:rPr>
          <w:rFonts w:ascii="Arial" w:cs="Arial" w:eastAsia="Arial" w:hAnsi="Arial"/>
          <w:sz w:val="18"/>
          <w:szCs w:val="18"/>
          <w:color w:val="auto"/>
        </w:rPr>
        <w:t>The Company determined that the carrying value of long-term debt under its revolving credit facility approximates fair value, which was classified as Level 2 as of June 30, 2020, because interest rates associated with the borrowings reflected market rates.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Debt</w:t>
      </w:r>
    </w:p>
    <w:p>
      <w:pPr>
        <w:spacing w:after="0" w:line="229"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In July 2019, the Company entered into a five-year revolving credit agreement with PNC Bank, National Association, and other lenders, which is secured by substantially all of the Company’s assets, subject to certain restrictions. The revolving credit agreement provides for a senior secured revolving credit facility (the “credit facility”) under which the Company may borrow up to $250,000, which may be increased to up to $375,000, subject to obtaining additional lender commitments and certain approvals and satisfying other requirements. The credit facility is scheduled to mature in July 2024. As of June 30, 2020, the Company had $100,000 in borrowings outstanding under the credit facility, which was repaid during the third quarter of fiscal 2021.</w:t>
      </w:r>
    </w:p>
    <w:p>
      <w:pPr>
        <w:spacing w:after="0" w:line="195" w:lineRule="exact"/>
        <w:rPr>
          <w:sz w:val="20"/>
          <w:szCs w:val="20"/>
          <w:color w:val="auto"/>
        </w:rPr>
      </w:pPr>
    </w:p>
    <w:p>
      <w:pPr>
        <w:ind w:left="60" w:right="79" w:firstLine="648"/>
        <w:spacing w:after="0" w:line="275" w:lineRule="auto"/>
        <w:rPr>
          <w:sz w:val="20"/>
          <w:szCs w:val="20"/>
          <w:color w:val="auto"/>
        </w:rPr>
      </w:pPr>
      <w:r>
        <w:rPr>
          <w:rFonts w:ascii="Arial" w:cs="Arial" w:eastAsia="Arial" w:hAnsi="Arial"/>
          <w:sz w:val="17"/>
          <w:szCs w:val="17"/>
          <w:color w:val="auto"/>
        </w:rPr>
        <w:t>The proceeds of any borrowings are to be used to fund working capital, capital expenditures and general corporate purposes, including permitted acquisitions, permitted investments, permitted distributions and share repurchases. The Company may generally borrow, prepay and reborrow under the credit facility and terminate or reduce the lenders’ commitments at any time prior to revolving credit facility expiration without a premium or a penalty, other than customary “breakage” costs with respect to London Interbank Offered Rate (“LIBOR”) revolving loans.</w:t>
      </w:r>
    </w:p>
    <w:p>
      <w:pPr>
        <w:spacing w:after="0" w:line="176" w:lineRule="exact"/>
        <w:rPr>
          <w:sz w:val="20"/>
          <w:szCs w:val="20"/>
          <w:color w:val="auto"/>
        </w:rPr>
      </w:pPr>
    </w:p>
    <w:p>
      <w:pPr>
        <w:ind w:left="60" w:right="119" w:firstLine="648"/>
        <w:spacing w:after="0" w:line="296" w:lineRule="auto"/>
        <w:rPr>
          <w:sz w:val="20"/>
          <w:szCs w:val="20"/>
          <w:color w:val="auto"/>
        </w:rPr>
      </w:pPr>
      <w:r>
        <w:rPr>
          <w:rFonts w:ascii="Arial" w:cs="Arial" w:eastAsia="Arial" w:hAnsi="Arial"/>
          <w:sz w:val="16"/>
          <w:szCs w:val="16"/>
          <w:color w:val="auto"/>
        </w:rPr>
        <w:t>Any borrowings under the credit facility will generally bear interest, at the Company’s option, at a rate per annum determined by reference to either the LIBOR (or a replacement index for the LIBOR rate) or an adjusted base rate, in each case plus an applicable margin ranging from 0.875% to 1.375% and 0.0% to 0.375%, respectively, based on the then-applicable net senior secured leverage ratio. Additionally, the Company is required to pay certain commitment, letter of credit fronting and letter of credit participation fees on available and/or undrawn portions of the credit facility.</w:t>
      </w:r>
    </w:p>
    <w:p>
      <w:pPr>
        <w:spacing w:after="0" w:line="94" w:lineRule="exact"/>
        <w:rPr>
          <w:sz w:val="20"/>
          <w:szCs w:val="20"/>
          <w:color w:val="auto"/>
        </w:rPr>
      </w:pPr>
    </w:p>
    <w:p>
      <w:pPr>
        <w:ind w:left="60" w:right="299" w:firstLine="648"/>
        <w:spacing w:after="0" w:line="301" w:lineRule="auto"/>
        <w:rPr>
          <w:sz w:val="20"/>
          <w:szCs w:val="20"/>
          <w:color w:val="auto"/>
        </w:rPr>
      </w:pPr>
      <w:r>
        <w:rPr>
          <w:rFonts w:ascii="Arial" w:cs="Arial" w:eastAsia="Arial" w:hAnsi="Arial"/>
          <w:sz w:val="16"/>
          <w:szCs w:val="16"/>
          <w:color w:val="auto"/>
        </w:rPr>
        <w:t>Under the credit facility, the Company is required to comply with certain customary affirmative and negative covenants, including a requirement to maintain a maximum net total leverage ratio of not greater than 4.00 to 1.00, a maximum net senior secured leverage ratio of not greater than 3.50 to 1.00 and a minimum interest coverage ratio of not less than 3.00 to 1.00. As of March 31, 2021, the Company was in compliance with all of the aforementioned covenants.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Stock-Based Compensation</w:t>
      </w:r>
    </w:p>
    <w:p>
      <w:pPr>
        <w:spacing w:after="0" w:line="229" w:lineRule="exact"/>
        <w:rPr>
          <w:sz w:val="20"/>
          <w:szCs w:val="20"/>
          <w:color w:val="auto"/>
        </w:rPr>
      </w:pPr>
    </w:p>
    <w:p>
      <w:pPr>
        <w:ind w:left="60" w:right="159" w:firstLine="648"/>
        <w:spacing w:after="0" w:line="283" w:lineRule="auto"/>
        <w:rPr>
          <w:sz w:val="20"/>
          <w:szCs w:val="20"/>
          <w:color w:val="auto"/>
        </w:rPr>
      </w:pPr>
      <w:r>
        <w:rPr>
          <w:rFonts w:ascii="Arial" w:cs="Arial" w:eastAsia="Arial" w:hAnsi="Arial"/>
          <w:sz w:val="16"/>
          <w:szCs w:val="16"/>
          <w:color w:val="auto"/>
        </w:rPr>
        <w:t>The Company maintains a 2008 Equity Incentive Plan (the “2008 Plan”) and a 2014 Equity Incentive Plan (the “2014 Plan”) pursuant to which the Company has reserved shares of its common stock for issuance to its employees, directors and non-employee third parties. The 2014 Plan serves as the successor to the 2008 Plan and permits the granting of restricted stock units and other equity incentives at the discretion of the compensation committee of the Company’s board of directors. No new awards have been or will be issued under the 2008 Plan since the effective date of the 2014 Plan. Outstanding awards under the 2008 Plan continue to be subject to the terms and conditions of the 2008 Plan. The number of shares of common stock reserved for issuance under the 2014 Plan may increase each calendar year, continuing through and including January 1, 2024. The number of shares added each year may be equal to the lesser of (a) four and five tenths percent (4.5%) of the number of shares of common stock of the Company issued and outstanding on the immediately preceding December 31, or (b) an amount determined by the Company’s board of directors. The Company’s board of directors approved the increase in the number of common shares in reserve for issuance under the 2014 Plan by 1,000 shares, effective January 1, 2021.</w:t>
      </w:r>
    </w:p>
    <w:p>
      <w:pPr>
        <w:sectPr>
          <w:pgSz w:w="11900" w:h="16838" w:orient="portrait"/>
          <w:cols w:equalWidth="0" w:num="1">
            <w:col w:w="9019"/>
          </w:cols>
          <w:pgMar w:left="1440" w:top="517" w:right="1440" w:bottom="1440" w:gutter="0" w:footer="0" w:header="0"/>
        </w:sectPr>
      </w:pP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363220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As of March 31, 2021, the Company had 12,685 shares allocated to the plans, of which 2,391 shares were subject to outstanding options or awards. Generally, the Company issues previously unissued shares for the exercise of stock options or vesting of awards; however, shares previously subject to 2014 Plan grants or awards that are forfeited or net settled at exercise or release may be reissued to satisfy future issuances.</w:t>
      </w:r>
    </w:p>
    <w:p>
      <w:pPr>
        <w:spacing w:after="0" w:line="187"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The following table summarizes changes in the number of shares available for grant under the Company’s equity incentive plans during the nine months ended March 31, 2021:</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7920" w:type="dxa"/>
            <w:vAlign w:val="bottom"/>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r>
      <w:tr>
        <w:trPr>
          <w:trHeight w:val="171"/>
        </w:trPr>
        <w:tc>
          <w:tcPr>
            <w:tcW w:w="7920" w:type="dxa"/>
            <w:vAlign w:val="bottom"/>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Shares</w:t>
            </w:r>
          </w:p>
        </w:tc>
      </w:tr>
      <w:tr>
        <w:trPr>
          <w:trHeight w:val="210"/>
        </w:trPr>
        <w:tc>
          <w:tcPr>
            <w:tcW w:w="7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Available for grant at July 1, 2020</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January 1, 2021 Evergreen provision increase</w:t>
            </w:r>
          </w:p>
        </w:tc>
        <w:tc>
          <w:tcPr>
            <w:tcW w:w="900" w:type="dxa"/>
            <w:vAlign w:val="bottom"/>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RSUs granted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8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MSUs granted</w:t>
            </w:r>
          </w:p>
        </w:tc>
        <w:tc>
          <w:tcPr>
            <w:tcW w:w="900" w:type="dxa"/>
            <w:vAlign w:val="bottom"/>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Shares withheld in settlement of taxes and/or exercise price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8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Forfeitures</w:t>
            </w:r>
          </w:p>
        </w:tc>
        <w:tc>
          <w:tcPr>
            <w:tcW w:w="900" w:type="dxa"/>
            <w:vAlign w:val="bottom"/>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Shares removed</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EFF"/>
          </w:tcPr>
          <w:p>
            <w:pPr>
              <w:spacing w:after="0"/>
              <w:rPr>
                <w:sz w:val="18"/>
                <w:szCs w:val="18"/>
                <w:color w:val="auto"/>
              </w:rPr>
            </w:pPr>
          </w:p>
        </w:tc>
      </w:tr>
      <w:tr>
        <w:trPr>
          <w:trHeight w:val="209"/>
        </w:trPr>
        <w:tc>
          <w:tcPr>
            <w:tcW w:w="7920" w:type="dxa"/>
            <w:vAlign w:val="bottom"/>
          </w:tcPr>
          <w:p>
            <w:pPr>
              <w:spacing w:after="0"/>
              <w:rPr>
                <w:sz w:val="20"/>
                <w:szCs w:val="20"/>
                <w:color w:val="auto"/>
              </w:rPr>
            </w:pPr>
            <w:r>
              <w:rPr>
                <w:rFonts w:ascii="Arial" w:cs="Arial" w:eastAsia="Arial" w:hAnsi="Arial"/>
                <w:sz w:val="18"/>
                <w:szCs w:val="18"/>
                <w:color w:val="auto"/>
              </w:rPr>
              <w:t>Available for grant at March 31, 2021</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10,294</w:t>
            </w:r>
          </w:p>
        </w:tc>
        <w:tc>
          <w:tcPr>
            <w:tcW w:w="80" w:type="dxa"/>
            <w:vAlign w:val="bottom"/>
          </w:tcPr>
          <w:p>
            <w:pPr>
              <w:spacing w:after="0"/>
              <w:rPr>
                <w:sz w:val="18"/>
                <w:szCs w:val="18"/>
                <w:color w:val="auto"/>
              </w:rPr>
            </w:pPr>
          </w:p>
        </w:tc>
      </w:tr>
      <w:tr>
        <w:trPr>
          <w:trHeight w:val="20"/>
        </w:trPr>
        <w:tc>
          <w:tcPr>
            <w:tcW w:w="79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319" w:firstLine="648"/>
        <w:spacing w:after="0" w:line="263" w:lineRule="auto"/>
        <w:rPr>
          <w:sz w:val="20"/>
          <w:szCs w:val="20"/>
          <w:color w:val="auto"/>
        </w:rPr>
      </w:pPr>
      <w:r>
        <w:rPr>
          <w:rFonts w:ascii="Arial" w:cs="Arial" w:eastAsia="Arial" w:hAnsi="Arial"/>
          <w:sz w:val="18"/>
          <w:szCs w:val="18"/>
          <w:color w:val="auto"/>
        </w:rPr>
        <w:t>Shares removed represents forfeitures of shares and shares withheld in settlement of taxes and/or payment of exercise price related to grants made under the 2008 Plan. As noted above, no new awards will be issued under the 2008 Plan.</w:t>
      </w:r>
    </w:p>
    <w:p>
      <w:pPr>
        <w:spacing w:after="0" w:line="184" w:lineRule="exact"/>
        <w:rPr>
          <w:sz w:val="20"/>
          <w:szCs w:val="20"/>
          <w:color w:val="auto"/>
        </w:rPr>
      </w:pPr>
    </w:p>
    <w:p>
      <w:pPr>
        <w:jc w:val="both"/>
        <w:ind w:left="60" w:right="299" w:firstLine="648"/>
        <w:spacing w:after="0" w:line="263" w:lineRule="auto"/>
        <w:rPr>
          <w:sz w:val="20"/>
          <w:szCs w:val="20"/>
          <w:color w:val="auto"/>
        </w:rPr>
      </w:pPr>
      <w:r>
        <w:rPr>
          <w:rFonts w:ascii="Arial" w:cs="Arial" w:eastAsia="Arial" w:hAnsi="Arial"/>
          <w:sz w:val="18"/>
          <w:szCs w:val="18"/>
          <w:color w:val="auto"/>
        </w:rPr>
        <w:t>Stock-based compensation expense related to stock options, restricted stock units (“RSUs”), market share units (“MSUs”) and the Employee Stock Purchase Plan is included in the following line items in the accompanying unaudited consolidated statements of operations and comprehensive income:</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60" w:type="dxa"/>
            <w:vAlign w:val="bottom"/>
            <w:gridSpan w:val="4"/>
          </w:tcPr>
          <w:p>
            <w:pPr>
              <w:jc w:val="right"/>
              <w:spacing w:after="0"/>
              <w:rPr>
                <w:sz w:val="20"/>
                <w:szCs w:val="20"/>
                <w:color w:val="auto"/>
              </w:rPr>
            </w:pPr>
            <w:r>
              <w:rPr>
                <w:rFonts w:ascii="Arial" w:cs="Arial" w:eastAsia="Arial" w:hAnsi="Arial"/>
                <w:sz w:val="14"/>
                <w:szCs w:val="14"/>
                <w:b w:val="1"/>
                <w:bCs w:val="1"/>
                <w:color w:val="auto"/>
                <w:w w:val="98"/>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4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60" w:type="dxa"/>
            <w:vAlign w:val="bottom"/>
            <w:gridSpan w:val="4"/>
          </w:tcPr>
          <w:p>
            <w:pPr>
              <w:jc w:val="right"/>
              <w:ind w:right="353"/>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5"/>
              </w:rPr>
              <w:t>March 31,</w:t>
            </w:r>
          </w:p>
        </w:tc>
      </w:tr>
      <w:tr>
        <w:trPr>
          <w:trHeight w:val="142"/>
        </w:trPr>
        <w:tc>
          <w:tcPr>
            <w:tcW w:w="4300" w:type="dxa"/>
            <w:vAlign w:val="bottom"/>
            <w:tcBorders>
              <w:bottom w:val="single" w:sz="8" w:color="CCEEFF"/>
            </w:tcBorders>
          </w:tcPr>
          <w:p>
            <w:pPr>
              <w:spacing w:after="0"/>
              <w:rPr>
                <w:sz w:val="12"/>
                <w:szCs w:val="12"/>
                <w:color w:val="auto"/>
              </w:rPr>
            </w:pPr>
          </w:p>
        </w:tc>
        <w:tc>
          <w:tcPr>
            <w:tcW w:w="138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2"/>
                <w:szCs w:val="12"/>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3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w w:val="86"/>
              </w:rPr>
              <w:t>$ 1,362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5,773</w:t>
            </w:r>
          </w:p>
        </w:tc>
        <w:tc>
          <w:tcPr>
            <w:tcW w:w="40" w:type="dxa"/>
            <w:vAlign w:val="bottom"/>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Sales and marketing</w:t>
            </w:r>
          </w:p>
        </w:tc>
        <w:tc>
          <w:tcPr>
            <w:tcW w:w="2000" w:type="dxa"/>
            <w:vAlign w:val="bottom"/>
            <w:gridSpan w:val="2"/>
          </w:tcPr>
          <w:p>
            <w:pPr>
              <w:jc w:val="right"/>
              <w:ind w:right="1"/>
              <w:spacing w:after="0"/>
              <w:rPr>
                <w:sz w:val="20"/>
                <w:szCs w:val="20"/>
                <w:color w:val="auto"/>
              </w:rPr>
            </w:pPr>
            <w:r>
              <w:rPr>
                <w:rFonts w:ascii="Arial" w:cs="Arial" w:eastAsia="Arial" w:hAnsi="Arial"/>
                <w:sz w:val="18"/>
                <w:szCs w:val="18"/>
                <w:color w:val="auto"/>
              </w:rPr>
              <w:t>3,466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10,813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11,783</w:t>
            </w:r>
          </w:p>
        </w:tc>
        <w:tc>
          <w:tcPr>
            <w:tcW w:w="4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1,899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7,570</w:t>
            </w:r>
          </w:p>
        </w:tc>
        <w:tc>
          <w:tcPr>
            <w:tcW w:w="40" w:type="dxa"/>
            <w:vAlign w:val="bottom"/>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00" w:type="dxa"/>
            <w:vAlign w:val="bottom"/>
            <w:gridSpan w:val="2"/>
          </w:tcPr>
          <w:p>
            <w:pPr>
              <w:jc w:val="right"/>
              <w:ind w:right="1"/>
              <w:spacing w:after="0"/>
              <w:rPr>
                <w:sz w:val="20"/>
                <w:szCs w:val="20"/>
                <w:color w:val="auto"/>
              </w:rPr>
            </w:pPr>
            <w:r>
              <w:rPr>
                <w:rFonts w:ascii="Arial" w:cs="Arial" w:eastAsia="Arial" w:hAnsi="Arial"/>
                <w:sz w:val="18"/>
                <w:szCs w:val="18"/>
                <w:color w:val="auto"/>
              </w:rPr>
              <w:t>2,789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14,533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21,821</w:t>
            </w:r>
          </w:p>
        </w:tc>
        <w:tc>
          <w:tcPr>
            <w:tcW w:w="40" w:type="dxa"/>
            <w:vAlign w:val="bottom"/>
          </w:tcPr>
          <w:p>
            <w:pPr>
              <w:spacing w:after="0"/>
              <w:rPr>
                <w:sz w:val="18"/>
                <w:szCs w:val="18"/>
                <w:color w:val="auto"/>
              </w:rPr>
            </w:pPr>
          </w:p>
        </w:tc>
      </w:tr>
      <w:tr>
        <w:trPr>
          <w:trHeight w:val="209"/>
        </w:trPr>
        <w:tc>
          <w:tcPr>
            <w:tcW w:w="4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w w:val="86"/>
              </w:rPr>
              <w:t>$ 9,516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16,011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34,348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46,947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59" w:firstLine="648"/>
        <w:spacing w:after="0" w:line="263" w:lineRule="auto"/>
        <w:rPr>
          <w:sz w:val="20"/>
          <w:szCs w:val="20"/>
          <w:color w:val="auto"/>
        </w:rPr>
      </w:pPr>
      <w:r>
        <w:rPr>
          <w:rFonts w:ascii="Arial" w:cs="Arial" w:eastAsia="Arial" w:hAnsi="Arial"/>
          <w:sz w:val="18"/>
          <w:szCs w:val="18"/>
          <w:color w:val="auto"/>
        </w:rPr>
        <w:t>In addition, the Company capitalized $535 and $652 of stock-based compensation expense in its capitalized internal-use software costs in the three months ended March 31, 2020 and 2021, respectively, and $1,843 and $1,949 during the nine months ended March 31, 2020 and 2021, respectively.</w:t>
      </w:r>
    </w:p>
    <w:p>
      <w:pPr>
        <w:spacing w:after="0" w:line="184" w:lineRule="exact"/>
        <w:rPr>
          <w:sz w:val="20"/>
          <w:szCs w:val="20"/>
          <w:color w:val="auto"/>
        </w:rPr>
      </w:pPr>
    </w:p>
    <w:p>
      <w:pPr>
        <w:ind w:left="60" w:right="219" w:firstLine="648"/>
        <w:spacing w:after="0" w:line="293" w:lineRule="auto"/>
        <w:rPr>
          <w:sz w:val="20"/>
          <w:szCs w:val="20"/>
          <w:color w:val="auto"/>
        </w:rPr>
      </w:pPr>
      <w:r>
        <w:rPr>
          <w:rFonts w:ascii="Arial" w:cs="Arial" w:eastAsia="Arial" w:hAnsi="Arial"/>
          <w:sz w:val="16"/>
          <w:szCs w:val="16"/>
          <w:color w:val="auto"/>
        </w:rPr>
        <w:t>In August 2020, the Company’s board of directors approved the Company’s fiscal 2021 annual operating plan to reflect the operating and financial impacts of the COVID-19 pandemic. In connection and alignment with the board’s approval of the updated operating plan, the compensation committee of the Company’s board of directors approved the modification of the performance targets for vesting of the performance-based restricted stock units granted in fiscal 2020. The Company recorded $1,776 and $4,560 in stock-based compensation expense during the three and nine months ended March 31, 2021, respectively, related to these modified performance-based restricted stock units.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79" w:firstLine="648"/>
        <w:spacing w:after="0" w:line="277" w:lineRule="auto"/>
        <w:rPr>
          <w:sz w:val="20"/>
          <w:szCs w:val="20"/>
          <w:color w:val="auto"/>
        </w:rPr>
      </w:pPr>
      <w:r>
        <w:rPr>
          <w:rFonts w:ascii="Arial" w:cs="Arial" w:eastAsia="Arial" w:hAnsi="Arial"/>
          <w:sz w:val="18"/>
          <w:szCs w:val="18"/>
          <w:color w:val="auto"/>
        </w:rPr>
        <w:t>There were no stock options granted during the nine months ended March 31, 2020 or 2021. The table below presents stock option activity during the nine months ended March 31, 2021:</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Outstanding Options</w:t>
            </w: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1"/>
              </w:rPr>
              <w:t>Weighted</w:t>
            </w: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8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6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2"/>
                <w:szCs w:val="12"/>
                <w:color w:val="auto"/>
              </w:rPr>
            </w:pPr>
          </w:p>
        </w:tc>
        <w:tc>
          <w:tcPr>
            <w:tcW w:w="7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exercise</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40" w:type="dxa"/>
            <w:vAlign w:val="bottom"/>
          </w:tcPr>
          <w:p>
            <w:pPr>
              <w:spacing w:after="0"/>
              <w:rPr>
                <w:sz w:val="12"/>
                <w:szCs w:val="12"/>
                <w:color w:val="auto"/>
              </w:rPr>
            </w:pPr>
          </w:p>
        </w:tc>
        <w:tc>
          <w:tcPr>
            <w:tcW w:w="8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jc w:val="right"/>
              <w:ind w:right="55"/>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price</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2"/>
              </w:rPr>
              <w:t>term (years)</w:t>
            </w:r>
          </w:p>
        </w:tc>
        <w:tc>
          <w:tcPr>
            <w:tcW w:w="140" w:type="dxa"/>
            <w:vAlign w:val="bottom"/>
          </w:tcPr>
          <w:p>
            <w:pPr>
              <w:spacing w:after="0"/>
              <w:rPr>
                <w:sz w:val="14"/>
                <w:szCs w:val="14"/>
                <w:color w:val="auto"/>
              </w:rPr>
            </w:pPr>
          </w:p>
        </w:tc>
        <w:tc>
          <w:tcPr>
            <w:tcW w:w="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210"/>
        </w:trPr>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July 1, 2020</w:t>
            </w:r>
          </w:p>
        </w:tc>
        <w:tc>
          <w:tcPr>
            <w:tcW w:w="9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12.43</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2.96</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$ 167,406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Options exercised</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(338)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7.35</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2021</w:t>
            </w:r>
          </w:p>
        </w:tc>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2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14.30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rPr>
              <w:t>2.38</w:t>
            </w:r>
          </w:p>
        </w:tc>
        <w:tc>
          <w:tcPr>
            <w:tcW w:w="9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$ 151,959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Options vested and exercisable at March 31, 2021</w:t>
            </w:r>
          </w:p>
        </w:tc>
        <w:tc>
          <w:tcPr>
            <w:tcW w:w="980" w:type="dxa"/>
            <w:vAlign w:val="bottom"/>
            <w:vMerge w:val="restart"/>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w w:val="93"/>
              </w:rPr>
              <w:t>14.30</w:t>
            </w:r>
          </w:p>
        </w:tc>
        <w:tc>
          <w:tcPr>
            <w:tcW w:w="160" w:type="dxa"/>
            <w:vAlign w:val="bottom"/>
          </w:tcPr>
          <w:p>
            <w:pPr>
              <w:spacing w:after="0" w:line="20" w:lineRule="exact"/>
              <w:rPr>
                <w:sz w:val="1"/>
                <w:szCs w:val="1"/>
                <w:color w:val="auto"/>
              </w:rPr>
            </w:pPr>
          </w:p>
        </w:tc>
        <w:tc>
          <w:tcPr>
            <w:tcW w:w="760" w:type="dxa"/>
            <w:vAlign w:val="bottom"/>
            <w:vMerge w:val="restart"/>
          </w:tcPr>
          <w:p>
            <w:pPr>
              <w:jc w:val="right"/>
              <w:ind w:right="2"/>
              <w:spacing w:after="0"/>
              <w:rPr>
                <w:sz w:val="20"/>
                <w:szCs w:val="20"/>
                <w:color w:val="auto"/>
              </w:rPr>
            </w:pPr>
            <w:r>
              <w:rPr>
                <w:rFonts w:ascii="Arial" w:cs="Arial" w:eastAsia="Arial" w:hAnsi="Arial"/>
                <w:sz w:val="18"/>
                <w:szCs w:val="18"/>
                <w:color w:val="auto"/>
              </w:rPr>
              <w:t>2.38</w:t>
            </w: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$ 151,959</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8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917</w:t>
            </w:r>
          </w:p>
        </w:tc>
        <w:tc>
          <w:tcPr>
            <w:tcW w:w="260" w:type="dxa"/>
            <w:vAlign w:val="bottom"/>
            <w:gridSpan w:val="2"/>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total intrinsic value of options exercised was $16,164 and $20,975 during the three months ended</w:t>
      </w:r>
    </w:p>
    <w:p>
      <w:pPr>
        <w:spacing w:after="0" w:line="23" w:lineRule="exact"/>
        <w:rPr>
          <w:sz w:val="20"/>
          <w:szCs w:val="20"/>
          <w:color w:val="auto"/>
        </w:rPr>
      </w:pPr>
    </w:p>
    <w:p>
      <w:pPr>
        <w:ind w:left="60" w:right="159"/>
        <w:spacing w:after="0" w:line="260" w:lineRule="auto"/>
        <w:rPr>
          <w:sz w:val="20"/>
          <w:szCs w:val="20"/>
          <w:color w:val="auto"/>
        </w:rPr>
      </w:pPr>
      <w:r>
        <w:rPr>
          <w:rFonts w:ascii="Arial" w:cs="Arial" w:eastAsia="Arial" w:hAnsi="Arial"/>
          <w:sz w:val="18"/>
          <w:szCs w:val="18"/>
          <w:color w:val="auto"/>
        </w:rPr>
        <w:t>March 31, 2020 and 2021, respectively and $18,244 and $58,252 during the nine months ended March 31, 2020 and 2021, respectively.</w:t>
      </w:r>
    </w:p>
    <w:p>
      <w:pPr>
        <w:spacing w:after="0" w:line="185" w:lineRule="exact"/>
        <w:rPr>
          <w:sz w:val="20"/>
          <w:szCs w:val="20"/>
          <w:color w:val="auto"/>
        </w:rPr>
      </w:pPr>
    </w:p>
    <w:p>
      <w:pPr>
        <w:ind w:left="60" w:right="359" w:firstLine="648"/>
        <w:spacing w:after="0" w:line="255" w:lineRule="auto"/>
        <w:rPr>
          <w:sz w:val="20"/>
          <w:szCs w:val="20"/>
          <w:color w:val="auto"/>
        </w:rPr>
      </w:pPr>
      <w:r>
        <w:rPr>
          <w:rFonts w:ascii="Arial" w:cs="Arial" w:eastAsia="Arial" w:hAnsi="Arial"/>
          <w:sz w:val="18"/>
          <w:szCs w:val="18"/>
          <w:color w:val="auto"/>
        </w:rPr>
        <w:t>The Company grants RSUs under the 2014 Plan with terms determined at the discretion of the compensation committee of the Company’s board of directors. RSUs generally vest over three or four years following the grant date. Certain RSU awards have time-based vesting conditions while other RSUs vest based on the achievement of certain revenue growth and/or Adjusted EBITDA margin targets in future fiscal years. For these performance-based RSUs, the Company recognizes stock-based compensation expense based upon the probable achievement of these aforementioned performance metrics.</w:t>
      </w: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following table represents restricted stock unit activity during the nine months ended March 31, 2021:</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8"/>
        </w:trPr>
        <w:tc>
          <w:tcPr>
            <w:tcW w:w="7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7080" w:type="dxa"/>
            <w:vAlign w:val="bottom"/>
          </w:tcPr>
          <w:p>
            <w:pPr>
              <w:spacing w:after="0"/>
              <w:rPr>
                <w:sz w:val="12"/>
                <w:szCs w:val="12"/>
                <w:color w:val="auto"/>
              </w:rPr>
            </w:pPr>
          </w:p>
        </w:tc>
        <w:tc>
          <w:tcPr>
            <w:tcW w:w="70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Units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210"/>
        </w:trPr>
        <w:tc>
          <w:tcPr>
            <w:tcW w:w="7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RSU balance at July 1, 2020</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RSUs 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483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134.17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RSUs vested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RSUs forfeited</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86.65</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RSU balance at March 31, 2021</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99.54</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8"/>
                <w:szCs w:val="18"/>
                <w:color w:val="auto"/>
              </w:rPr>
              <w:t>RSUs expected to vest at March 31, 2021</w:t>
            </w:r>
          </w:p>
        </w:tc>
        <w:tc>
          <w:tcPr>
            <w:tcW w:w="700" w:type="dxa"/>
            <w:vAlign w:val="bottom"/>
            <w:tcBorders>
              <w:bottom w:val="single" w:sz="8" w:color="auto"/>
            </w:tcBorders>
          </w:tcPr>
          <w:p>
            <w:pPr>
              <w:spacing w:after="0" w:line="20" w:lineRule="exact"/>
              <w:rPr>
                <w:sz w:val="1"/>
                <w:szCs w:val="1"/>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98.77</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80" w:type="dxa"/>
            <w:vAlign w:val="bottom"/>
            <w:vMerge w:val="continue"/>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1,325</w:t>
            </w:r>
          </w:p>
        </w:tc>
        <w:tc>
          <w:tcPr>
            <w:tcW w:w="300" w:type="dxa"/>
            <w:vAlign w:val="bottom"/>
            <w:gridSpan w:val="2"/>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59" w:firstLine="648"/>
        <w:spacing w:after="0" w:line="263" w:lineRule="auto"/>
        <w:rPr>
          <w:sz w:val="20"/>
          <w:szCs w:val="20"/>
          <w:color w:val="auto"/>
        </w:rPr>
      </w:pPr>
      <w:r>
        <w:rPr>
          <w:rFonts w:ascii="Arial" w:cs="Arial" w:eastAsia="Arial" w:hAnsi="Arial"/>
          <w:sz w:val="18"/>
          <w:szCs w:val="18"/>
          <w:color w:val="auto"/>
        </w:rPr>
        <w:t>At March 31, 2021, there was $68,517 of total unrecognized compensation cost, net of estimated forfeitures, related to unvested restricted stock units granted. That cost is expected to be recognized over a weighted average period of 1.82 years.</w:t>
      </w:r>
    </w:p>
    <w:p>
      <w:pPr>
        <w:spacing w:after="0" w:line="184"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color w:val="auto"/>
        </w:rPr>
        <w:t>The Company also grants MSUs under the 2014 Plan with terms determined at the discretion of the Committee. In August 2020, the Company granted approximately 58 MSUs with a grant date fair value of $178.04. The actual number of MSUs that will be eligible to vest is based on the achievement of a relative total shareholder return (“TSR”) target as compared to the TSR realized by each of the companies comprising the Russell 3000 Index over an approximately three-year period. The MSUs cliff-vest at the end of the TSR measurement period, and up to 200% of the target number of shares subject to each MSU are eligible to be earned.</w:t>
      </w:r>
    </w:p>
    <w:p>
      <w:pPr>
        <w:spacing w:after="0" w:line="178" w:lineRule="exact"/>
        <w:rPr>
          <w:sz w:val="20"/>
          <w:szCs w:val="20"/>
          <w:color w:val="auto"/>
        </w:rPr>
      </w:pPr>
    </w:p>
    <w:p>
      <w:pPr>
        <w:ind w:left="60" w:right="719" w:firstLine="648"/>
        <w:spacing w:after="0" w:line="277" w:lineRule="auto"/>
        <w:rPr>
          <w:sz w:val="20"/>
          <w:szCs w:val="20"/>
          <w:color w:val="auto"/>
        </w:rPr>
      </w:pPr>
      <w:r>
        <w:rPr>
          <w:rFonts w:ascii="Arial" w:cs="Arial" w:eastAsia="Arial" w:hAnsi="Arial"/>
          <w:sz w:val="18"/>
          <w:szCs w:val="18"/>
          <w:color w:val="auto"/>
        </w:rPr>
        <w:t>The Company estimated the grant date fair value of the MSUs using a Monte Carlo simulation model that included the following assumptions: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3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3640" w:type="dxa"/>
            <w:vAlign w:val="bottom"/>
          </w:tcPr>
          <w:p>
            <w:pPr>
              <w:jc w:val="right"/>
              <w:spacing w:after="0"/>
              <w:rPr>
                <w:sz w:val="20"/>
                <w:szCs w:val="20"/>
                <w:color w:val="auto"/>
              </w:rPr>
            </w:pPr>
            <w:r>
              <w:rPr>
                <w:rFonts w:ascii="Arial" w:cs="Arial" w:eastAsia="Arial" w:hAnsi="Arial"/>
                <w:sz w:val="18"/>
                <w:szCs w:val="18"/>
                <w:color w:val="auto"/>
              </w:rPr>
              <w:t>52.0</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3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20" w:type="dxa"/>
            <w:vAlign w:val="bottom"/>
            <w:shd w:val="clear" w:color="auto" w:fill="CCEEFF"/>
          </w:tcPr>
          <w:p>
            <w:pPr>
              <w:spacing w:after="0"/>
              <w:rPr>
                <w:sz w:val="18"/>
                <w:szCs w:val="18"/>
                <w:color w:val="auto"/>
              </w:rPr>
            </w:pPr>
          </w:p>
        </w:tc>
      </w:tr>
      <w:tr>
        <w:trPr>
          <w:trHeight w:val="230"/>
        </w:trPr>
        <w:tc>
          <w:tcPr>
            <w:tcW w:w="5040" w:type="dxa"/>
            <w:vAlign w:val="bottom"/>
          </w:tcPr>
          <w:p>
            <w:pPr>
              <w:ind w:left="20"/>
              <w:spacing w:after="0" w:line="207" w:lineRule="exact"/>
              <w:rPr>
                <w:sz w:val="20"/>
                <w:szCs w:val="20"/>
                <w:color w:val="auto"/>
              </w:rPr>
            </w:pPr>
            <w:r>
              <w:rPr>
                <w:rFonts w:ascii="Arial" w:cs="Arial" w:eastAsia="Arial" w:hAnsi="Arial"/>
                <w:sz w:val="18"/>
                <w:szCs w:val="18"/>
                <w:color w:val="auto"/>
              </w:rPr>
              <w:t>Risk</w:t>
            </w:r>
            <w:r>
              <w:rPr>
                <w:rFonts w:ascii="MS PGothic" w:cs="MS PGothic" w:eastAsia="MS PGothic" w:hAnsi="MS PGothic"/>
                <w:sz w:val="18"/>
                <w:szCs w:val="18"/>
                <w:color w:val="auto"/>
              </w:rPr>
              <w:t>‑</w:t>
            </w:r>
            <w:r>
              <w:rPr>
                <w:rFonts w:ascii="Arial" w:cs="Arial" w:eastAsia="Arial" w:hAnsi="Arial"/>
                <w:sz w:val="18"/>
                <w:szCs w:val="18"/>
                <w:color w:val="auto"/>
              </w:rPr>
              <w:t>free interest rate</w:t>
            </w:r>
          </w:p>
        </w:tc>
        <w:tc>
          <w:tcPr>
            <w:tcW w:w="3640" w:type="dxa"/>
            <w:vAlign w:val="bottom"/>
          </w:tcPr>
          <w:p>
            <w:pPr>
              <w:jc w:val="right"/>
              <w:spacing w:after="0"/>
              <w:rPr>
                <w:sz w:val="20"/>
                <w:szCs w:val="20"/>
                <w:color w:val="auto"/>
              </w:rPr>
            </w:pPr>
            <w:r>
              <w:rPr>
                <w:rFonts w:ascii="Arial" w:cs="Arial" w:eastAsia="Arial" w:hAnsi="Arial"/>
                <w:sz w:val="18"/>
                <w:szCs w:val="18"/>
                <w:color w:val="auto"/>
              </w:rPr>
              <w:t>0.18</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r>
    </w:tbl>
    <w:p>
      <w:pPr>
        <w:spacing w:after="0" w:line="187" w:lineRule="exact"/>
        <w:rPr>
          <w:sz w:val="20"/>
          <w:szCs w:val="20"/>
          <w:color w:val="auto"/>
        </w:rPr>
      </w:pPr>
    </w:p>
    <w:p>
      <w:pPr>
        <w:sectPr>
          <w:pgSz w:w="11900" w:h="16838" w:orient="portrait"/>
          <w:cols w:equalWidth="0" w:num="1">
            <w:col w:w="9019"/>
          </w:cols>
          <w:pgMar w:left="1440" w:top="517" w:right="1440" w:bottom="1440" w:gutter="0" w:footer="0" w:header="0"/>
        </w:sect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At March 31, 2021, there was $7,272 of total unrecognized compensation cost, net of estimated forfeitures, related to unvested MSUs. That cost is expected to be recognized over a period of 2.42 years.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Litigation</w:t>
      </w:r>
    </w:p>
    <w:p>
      <w:pPr>
        <w:spacing w:after="0" w:line="229" w:lineRule="exact"/>
        <w:rPr>
          <w:sz w:val="20"/>
          <w:szCs w:val="20"/>
          <w:color w:val="auto"/>
        </w:rPr>
      </w:pPr>
    </w:p>
    <w:p>
      <w:pPr>
        <w:ind w:left="60" w:right="239" w:firstLine="648"/>
        <w:spacing w:after="0" w:line="257" w:lineRule="auto"/>
        <w:rPr>
          <w:sz w:val="20"/>
          <w:szCs w:val="20"/>
          <w:color w:val="auto"/>
        </w:rPr>
      </w:pPr>
      <w:r>
        <w:rPr>
          <w:rFonts w:ascii="Arial" w:cs="Arial" w:eastAsia="Arial" w:hAnsi="Arial"/>
          <w:sz w:val="18"/>
          <w:szCs w:val="18"/>
          <w:color w:val="auto"/>
        </w:rPr>
        <w:t>On November 16, 2020, a potential class action complaint was filed against the Company with the Circuit Court of Cook County alleging that the Company violated the Illinois Biometric Information Privacy Act. The complaint seeks statutory damages, attorney’s fees and other costs. This claim is still in its earliest stages and the Company is unable to estimate any reasonably possible loss, or range of loss, with respect to this matter. The Company intends to vigorously defend against this lawsuit.</w:t>
      </w:r>
    </w:p>
    <w:p>
      <w:pPr>
        <w:spacing w:after="0" w:line="188" w:lineRule="exact"/>
        <w:rPr>
          <w:sz w:val="20"/>
          <w:szCs w:val="20"/>
          <w:color w:val="auto"/>
        </w:rPr>
      </w:pPr>
    </w:p>
    <w:p>
      <w:pPr>
        <w:ind w:left="60" w:right="59" w:firstLine="648"/>
        <w:spacing w:after="0" w:line="255" w:lineRule="auto"/>
        <w:rPr>
          <w:sz w:val="20"/>
          <w:szCs w:val="20"/>
          <w:color w:val="auto"/>
        </w:rPr>
      </w:pPr>
      <w:r>
        <w:rPr>
          <w:rFonts w:ascii="Arial" w:cs="Arial" w:eastAsia="Arial" w:hAnsi="Arial"/>
          <w:sz w:val="18"/>
          <w:szCs w:val="18"/>
          <w:color w:val="auto"/>
        </w:rPr>
        <w:t>From time to time, the Company is subject to litigation arising in the ordinary course of business. Many of these matters are covered in whole or in part by insurance. In the opinion of the Company’s management, the ultimate disposition of any matters currently outstanding or threatened will not have a material adverse effect on the Company’s financial position, results of operations, or liquidity. However, these matters are subject to inherent uncertainties and could materially impact the Company’s financial position, results of operations, or liquidity based on the final disposition of these matters.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ind w:left="60" w:right="219" w:firstLine="648"/>
        <w:spacing w:after="0" w:line="255" w:lineRule="auto"/>
        <w:rPr>
          <w:sz w:val="20"/>
          <w:szCs w:val="20"/>
          <w:color w:val="auto"/>
        </w:rPr>
      </w:pPr>
      <w:r>
        <w:rPr>
          <w:rFonts w:ascii="Arial" w:cs="Arial" w:eastAsia="Arial" w:hAnsi="Arial"/>
          <w:sz w:val="18"/>
          <w:szCs w:val="18"/>
          <w:color w:val="auto"/>
        </w:rPr>
        <w:t>On March 11, 2021, the President signed the American Rescue Plan Act of 2021 into law. The bill complements the provisions set forth in the Coronavirus Aid, Relief, and Economic Security Act (the “CARES Act”) and the Consolidated Appropriations Act, 2021, which were signed into law on March 27, 2020, and December 27, 2020, respectively. While the Company continues to analyze the relevant provisions of the American Rescue Plan, CARES Act and Appropriations Act, it does not expect the provisions of the legislation to have a significant impact on the Company’s income taxes.</w:t>
      </w:r>
    </w:p>
    <w:p>
      <w:pPr>
        <w:spacing w:after="0" w:line="192"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The Company’s quarterly provision for income taxes is based on the annual effective rate method. The Company’s quarterly provision for income taxes also includes the tax impact of certain unusual or infrequently occurring items, if any, including changes in judgment about valuation allowances and effects of changes in tax laws or rates, and other discrete items in the interim period in which they occur.</w:t>
      </w:r>
    </w:p>
    <w:p>
      <w:pPr>
        <w:spacing w:after="0" w:line="187" w:lineRule="exact"/>
        <w:rPr>
          <w:sz w:val="20"/>
          <w:szCs w:val="20"/>
          <w:color w:val="auto"/>
        </w:rPr>
      </w:pPr>
    </w:p>
    <w:p>
      <w:pPr>
        <w:ind w:left="60" w:right="199" w:firstLine="648"/>
        <w:spacing w:after="0" w:line="259" w:lineRule="auto"/>
        <w:rPr>
          <w:sz w:val="20"/>
          <w:szCs w:val="20"/>
          <w:color w:val="auto"/>
        </w:rPr>
      </w:pPr>
      <w:r>
        <w:rPr>
          <w:rFonts w:ascii="Arial" w:cs="Arial" w:eastAsia="Arial" w:hAnsi="Arial"/>
          <w:sz w:val="18"/>
          <w:szCs w:val="18"/>
          <w:color w:val="auto"/>
        </w:rPr>
        <w:t>The Company’s effective tax rate was 16.7% and 5.4% for the three months ended March 31, 2020 and 2021, respectively. The Company’s effective tax rate for the three months ended March 31, 2020 and March 31, 2021 was lower than the federal statutory rate of 21% primarily due to excess tax benefits from employee stock-based compensation and research and development tax credits.</w:t>
      </w:r>
    </w:p>
    <w:p>
      <w:pPr>
        <w:spacing w:after="0" w:line="187" w:lineRule="exact"/>
        <w:rPr>
          <w:sz w:val="20"/>
          <w:szCs w:val="20"/>
          <w:color w:val="auto"/>
        </w:rPr>
      </w:pPr>
    </w:p>
    <w:p>
      <w:pPr>
        <w:ind w:left="60" w:right="239" w:firstLine="648"/>
        <w:spacing w:after="0" w:line="301" w:lineRule="auto"/>
        <w:rPr>
          <w:sz w:val="20"/>
          <w:szCs w:val="20"/>
          <w:color w:val="auto"/>
        </w:rPr>
      </w:pPr>
      <w:r>
        <w:rPr>
          <w:rFonts w:ascii="Arial" w:cs="Arial" w:eastAsia="Arial" w:hAnsi="Arial"/>
          <w:sz w:val="16"/>
          <w:szCs w:val="16"/>
          <w:color w:val="auto"/>
        </w:rPr>
        <w:t>The Company’s effective tax rate was 2.5% and (22.5)% for the nine months ended March 31, 2020 and 2021, respectively. The Company’s effective tax rate for the nine months ended March 31, 2020 and March 31, 2021 was lower than the federal statutory rate of 21% primarily due to excess tax benefits from employee stock-based compensation and research and development tax credits, partially offset by an increase in valuation allowance.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Net Income Per Share</w:t>
      </w:r>
    </w:p>
    <w:p>
      <w:pPr>
        <w:spacing w:after="0" w:line="229" w:lineRule="exact"/>
        <w:rPr>
          <w:sz w:val="20"/>
          <w:szCs w:val="20"/>
          <w:color w:val="auto"/>
        </w:rPr>
      </w:pPr>
    </w:p>
    <w:p>
      <w:pPr>
        <w:ind w:left="60" w:right="59" w:firstLine="648"/>
        <w:spacing w:after="0" w:line="293" w:lineRule="auto"/>
        <w:rPr>
          <w:sz w:val="20"/>
          <w:szCs w:val="20"/>
          <w:color w:val="auto"/>
        </w:rPr>
      </w:pPr>
      <w:r>
        <w:rPr>
          <w:rFonts w:ascii="Arial" w:cs="Arial" w:eastAsia="Arial" w:hAnsi="Arial"/>
          <w:sz w:val="16"/>
          <w:szCs w:val="16"/>
          <w:color w:val="auto"/>
        </w:rPr>
        <w:t>Basic net income per common share is computed using the weighted-average number of common shares outstanding during the period. Diluted net income per share is computed using the weighted-average number of common shares outstanding during the period and, if dilutive, potential common shares outstanding during the period. The Company’s potential common shares consist of the incremental common shares issuable upon the exercise of stock options, the release of restricted stock units and market share units, and the shares purchasable via the employee stock purchase plan as of the balance sheet date. The following table presents the calculation of basic and diluted net income per share:</w:t>
      </w:r>
    </w:p>
    <w:p>
      <w:pPr>
        <w:spacing w:after="0" w:line="15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right"/>
              <w:ind w:right="33"/>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right"/>
              <w:ind w:right="393"/>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0"/>
              </w:rPr>
              <w:t>40,132</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36,834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0"/>
              </w:rPr>
              <w:t>59,505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58,936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Denominator:</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Weighted-average shares used in computing net income per share: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20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53,629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54,415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53,486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54,244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effect of potentially dilutive shares: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tcPr>
          <w:p>
            <w:pPr>
              <w:ind w:left="200"/>
              <w:spacing w:after="0" w:line="201" w:lineRule="exact"/>
              <w:rPr>
                <w:sz w:val="20"/>
                <w:szCs w:val="20"/>
                <w:color w:val="auto"/>
              </w:rPr>
            </w:pPr>
            <w:r>
              <w:rPr>
                <w:rFonts w:ascii="Arial" w:cs="Arial" w:eastAsia="Arial" w:hAnsi="Arial"/>
                <w:sz w:val="18"/>
                <w:szCs w:val="18"/>
                <w:color w:val="auto"/>
                <w:w w:val="92"/>
              </w:rPr>
              <w:t>Employee stock options, restricted stock units, market share units and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employee stock purchase plan shares</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2,324</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1,999</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2,274</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2,094</w:t>
            </w:r>
          </w:p>
        </w:tc>
        <w:tc>
          <w:tcPr>
            <w:tcW w:w="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55,953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56,414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55,760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56,338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200"/>
              <w:spacing w:after="0"/>
              <w:rPr>
                <w:sz w:val="20"/>
                <w:szCs w:val="20"/>
                <w:color w:val="auto"/>
              </w:rPr>
            </w:pPr>
            <w:r>
              <w:rPr>
                <w:rFonts w:ascii="Arial" w:cs="Arial" w:eastAsia="Arial" w:hAnsi="Arial"/>
                <w:sz w:val="18"/>
                <w:szCs w:val="18"/>
                <w:color w:val="auto"/>
              </w:rPr>
              <w:t>Basic</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0.75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0.68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The Company excluded 6 and 1 outstanding RSUs from the diluted per share calculations during the three months ended March 31, 2020 and 2021, respectively, and 17 and 13 outstanding RSUs from the diluted per share calculations during the nine months ended March 31, 2020 and 2021, respectively, because to include them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left="60" w:right="199"/>
        <w:spacing w:after="0" w:line="275" w:lineRule="auto"/>
        <w:rPr>
          <w:sz w:val="20"/>
          <w:szCs w:val="20"/>
          <w:color w:val="auto"/>
        </w:rPr>
      </w:pPr>
      <w:r>
        <w:rPr>
          <w:rFonts w:ascii="Arial" w:cs="Arial" w:eastAsia="Arial" w:hAnsi="Arial"/>
          <w:sz w:val="17"/>
          <w:szCs w:val="17"/>
          <w:i w:val="1"/>
          <w:iCs w:val="1"/>
          <w:color w:val="auto"/>
        </w:rPr>
        <w:t>The statements included herein that are not based solely on historical facts are “forward looking statements.” Such forward-looking statements are based on current expectations and assumptions that are subject to risks and uncertainties. Our actual results could differ materially from those anticipated by us in these forward-looking statements as a result of various factors, including those discussed below and under “Item 1A. Risk Factors” of our Annual Report on Form 10-K for the fiscal year ended June 30, 2020 filed with the SEC on August 7, 2020.</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16" w:lineRule="exact"/>
        <w:rPr>
          <w:sz w:val="20"/>
          <w:szCs w:val="20"/>
          <w:color w:val="auto"/>
        </w:rPr>
      </w:pPr>
    </w:p>
    <w:p>
      <w:pPr>
        <w:ind w:left="60" w:right="219" w:firstLine="648"/>
        <w:spacing w:after="0" w:line="296" w:lineRule="auto"/>
        <w:rPr>
          <w:sz w:val="20"/>
          <w:szCs w:val="20"/>
          <w:color w:val="auto"/>
        </w:rPr>
      </w:pPr>
      <w:r>
        <w:rPr>
          <w:rFonts w:ascii="Arial" w:cs="Arial" w:eastAsia="Arial" w:hAnsi="Arial"/>
          <w:sz w:val="16"/>
          <w:szCs w:val="16"/>
          <w:color w:val="auto"/>
        </w:rPr>
        <w:t>We are a cloud-based provider of payroll and human capital management (“HCM”) software solutions for medium-sized organizations, which we define as those having between 10 and 1,000 employees. Our comprehensive and easy-to-use solutions enable our clients to manage their workforces more effectively. Our product suite delivers a unified platform for professionals to make strategic decisions in the areas of payroll, core HR, workforce management, talent and benefits, all while promoting a modern workplace and improving employee engagement.</w:t>
      </w:r>
    </w:p>
    <w:p>
      <w:pPr>
        <w:spacing w:after="0" w:line="148"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Effective management of human capital is a core function in all organizations and requires a significant commitment of resources. Our solutions were specifically designed to meet the payroll and HCM needs of medium-sized organizations. We designed our cloud-based platform to provide a unified suite of modules using a multi-tenant architecture. Our solutions are highly flexible and configurable and feature a modern, intuitive user experience. Our platform offers automated data integration with over 400 related third-party systems, such as 401(k), benefits and insurance provider systems.</w:t>
      </w:r>
    </w:p>
    <w:p>
      <w:pPr>
        <w:spacing w:after="0" w:line="179" w:lineRule="exact"/>
        <w:rPr>
          <w:sz w:val="20"/>
          <w:szCs w:val="20"/>
          <w:color w:val="auto"/>
        </w:rPr>
      </w:pPr>
    </w:p>
    <w:p>
      <w:pPr>
        <w:ind w:left="60" w:right="219" w:firstLine="648"/>
        <w:spacing w:after="0" w:line="259" w:lineRule="auto"/>
        <w:rPr>
          <w:sz w:val="20"/>
          <w:szCs w:val="20"/>
          <w:color w:val="auto"/>
        </w:rPr>
      </w:pPr>
      <w:r>
        <w:rPr>
          <w:rFonts w:ascii="Arial" w:cs="Arial" w:eastAsia="Arial" w:hAnsi="Arial"/>
          <w:sz w:val="18"/>
          <w:szCs w:val="18"/>
          <w:color w:val="auto"/>
        </w:rPr>
        <w:t>Our payroll solution was the first of our current offerings introduced into the market. We believe payroll is the most critical system of record for medium-sized organizations and an essential gateway to other HCM functionalities. We have invested in, and we intend to continue to invest in, research and development to expand our product offerings and advance our platform.</w:t>
      </w:r>
    </w:p>
    <w:p>
      <w:pPr>
        <w:spacing w:after="0" w:line="173"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We believe there is a significant opportunity to grow our business by increasing our number of clients and we intend to invest in our business to achieve this purpose. We market and sell our solutions through our direct sales force. We have increased our sales and marketing expenses as we have added sales representatives and related sales and marketing personnel. We intend to continue to grow our sales and marketing organization across new and existing geographic territories. In addition to growing our number of clients, we intend to grow our revenue over the long term by increasing the number and quality of products that clients purchase from us. To do so, we must continue to enhance and grow the number of solutions we offer to advance our platform.</w:t>
      </w:r>
    </w:p>
    <w:p>
      <w:pPr>
        <w:spacing w:after="0" w:line="177"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8"/>
          <w:szCs w:val="18"/>
          <w:color w:val="auto"/>
        </w:rPr>
        <w:t>We believe that delivering a positive service experience is an essential element of our ability to sell our solutions and retain our clients. We seek to develop deep relationships with our clients through our unified service model, which has been designed to meet the service needs of mid-market organizations. We expect to continue to invest in and grow our implementation and client service organization as our client base grows.</w:t>
      </w:r>
    </w:p>
    <w:p>
      <w:pPr>
        <w:spacing w:after="0" w:line="187"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7"/>
          <w:szCs w:val="17"/>
          <w:color w:val="auto"/>
        </w:rPr>
        <w:t>We believe we have the opportunity to continue to grow our business over the long term, and to do so we have invested, and intend to continue to invest, across our entire organization. These investments include increasing the number of personnel across all functional areas, along with improving our solutions and infrastructure to support our growth. The timing and amount of these investments vary based on the rate at which we add new clients, add new personnel and scale our application development and other activities. Many of these investments will occur in advance of experiencing any direct benefit from them, which will make it difficult to determine if we are effectively allocating our resources. We expect these investments to increase our costs on an absolute basis, but as we grow our number of clients and our related revenues, we anticipate that we will gain economies of scale and increased operating leverage. As a result, we expect our gross and operating margins will improve over the long term.</w:t>
      </w:r>
    </w:p>
    <w:p>
      <w:pPr>
        <w:spacing w:after="0" w:line="181" w:lineRule="exact"/>
        <w:rPr>
          <w:sz w:val="20"/>
          <w:szCs w:val="20"/>
          <w:color w:val="auto"/>
        </w:rPr>
      </w:pPr>
    </w:p>
    <w:p>
      <w:pPr>
        <w:ind w:left="60" w:right="319" w:firstLine="648"/>
        <w:spacing w:after="0" w:line="279" w:lineRule="auto"/>
        <w:rPr>
          <w:sz w:val="20"/>
          <w:szCs w:val="20"/>
          <w:color w:val="auto"/>
        </w:rPr>
      </w:pPr>
      <w:r>
        <w:rPr>
          <w:rFonts w:ascii="Arial" w:cs="Arial" w:eastAsia="Arial" w:hAnsi="Arial"/>
          <w:sz w:val="17"/>
          <w:szCs w:val="17"/>
          <w:color w:val="auto"/>
        </w:rPr>
        <w:t>Paylocity Holding Corporation is a Delaware corporation, which was formed in November 2013. Our business operations, excluding interest earned on certain cash holdings and expenses associated with certain secondary stock offerings, have historically been, and are currently, conducted by its wholly owned subsidiaries, and the financial results presented herein are entirely attributable to the results of its operations.</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COVID-19 Impact</w:t>
      </w:r>
    </w:p>
    <w:p>
      <w:pPr>
        <w:spacing w:after="0" w:line="229" w:lineRule="exact"/>
        <w:rPr>
          <w:sz w:val="20"/>
          <w:szCs w:val="20"/>
          <w:color w:val="auto"/>
        </w:rPr>
      </w:pPr>
    </w:p>
    <w:p>
      <w:pPr>
        <w:ind w:left="60" w:right="59" w:firstLine="648"/>
        <w:spacing w:after="0" w:line="288" w:lineRule="auto"/>
        <w:rPr>
          <w:sz w:val="20"/>
          <w:szCs w:val="20"/>
          <w:color w:val="auto"/>
        </w:rPr>
      </w:pPr>
      <w:r>
        <w:rPr>
          <w:rFonts w:ascii="Arial" w:cs="Arial" w:eastAsia="Arial" w:hAnsi="Arial"/>
          <w:sz w:val="16"/>
          <w:szCs w:val="16"/>
          <w:color w:val="auto"/>
        </w:rPr>
        <w:t>The novel coronavirus disease (“COVID-19”) continues to impact the global economy. The duration and severity of the COVID-19 pandemic, and the long-term effects the pandemic will have on our clients and general economic conditions, remain uncertain and difficult to predict. Many of our prospective and existing clients’ businesses have been impacted by stay-at-home, business closure and other restrictive orders, which has resulted in reduced employee headcount, temporary and permanent business closures, and/or delayed sales/starts. Our business and financial performance may continue to be unfavorably impacted in future periods by sustained lower level of client employee counts, reduction in business confidence and activity, a decrease in payroll and HCM solutions spending by medium-sized organizations, the pace of the macro-economic recovery or a further decline of interest rates, among other factors. Refer to “Part I. Item 1A. Risk Factors” in our Annual Report on Form 10-K filed with the Securities and Exchange Commission on August 7, 2020 for risks related to the COVID-19 pandemic and its impact on our business and financial performance.</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Key Metrics</w:t>
      </w:r>
    </w:p>
    <w:p>
      <w:pPr>
        <w:spacing w:after="0" w:line="229" w:lineRule="exact"/>
        <w:rPr>
          <w:sz w:val="20"/>
          <w:szCs w:val="20"/>
          <w:color w:val="auto"/>
        </w:rPr>
      </w:pPr>
    </w:p>
    <w:p>
      <w:pPr>
        <w:ind w:left="60" w:right="199" w:firstLine="648"/>
        <w:spacing w:after="0" w:line="342" w:lineRule="auto"/>
        <w:rPr>
          <w:sz w:val="20"/>
          <w:szCs w:val="20"/>
          <w:color w:val="auto"/>
        </w:rPr>
      </w:pPr>
      <w:r>
        <w:rPr>
          <w:rFonts w:ascii="Arial" w:cs="Arial" w:eastAsia="Arial" w:hAnsi="Arial"/>
          <w:sz w:val="16"/>
          <w:szCs w:val="16"/>
          <w:color w:val="auto"/>
        </w:rPr>
        <w:t>We regularly review a number of metrics, including the following key metrics, to evaluate our business, measure our performance, identify trends affecting our business, formulate financial projections and make strategic decisions.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Growth</w:t>
      </w:r>
    </w:p>
    <w:p>
      <w:pPr>
        <w:spacing w:after="0" w:line="225" w:lineRule="exact"/>
        <w:rPr>
          <w:sz w:val="20"/>
          <w:szCs w:val="20"/>
          <w:color w:val="auto"/>
        </w:rPr>
      </w:pPr>
    </w:p>
    <w:p>
      <w:pPr>
        <w:ind w:left="60" w:right="99" w:firstLine="648"/>
        <w:spacing w:after="0" w:line="270" w:lineRule="auto"/>
        <w:rPr>
          <w:sz w:val="20"/>
          <w:szCs w:val="20"/>
          <w:color w:val="auto"/>
        </w:rPr>
      </w:pPr>
      <w:r>
        <w:rPr>
          <w:rFonts w:ascii="Arial" w:cs="Arial" w:eastAsia="Arial" w:hAnsi="Arial"/>
          <w:sz w:val="17"/>
          <w:szCs w:val="17"/>
          <w:color w:val="auto"/>
        </w:rPr>
        <w:t>Our recurring revenue model and high annual revenue retention rates provide significant visibility into our future operating results and cash flow from operations. This visibility enables us to better manage and invest in our business. Total revenues increased from $171.6 million for the three months ended March 31, 2020 to $186.1 million for the three months ended March 31, 2021, representing an 8% year-over-year increase. Total revenues increased from $430.7 million for the nine months ended March 31, 2020 to $468.2 million for the nine months ended March 31, 2021, representing a 9% year-over-year increase. Our total revenue growth during the three and nine months ended March 31, 2021 was impacted by the ongoing effects from the COVID-19 pandemic. Our revenue growth in future periods may continue to be impacted by sustained lower level of client employee counts, potential increases in client losses, a continued low interest rate environment and the pace of the macro-economic recovery, among other factors.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Adjusted Gross Profit and Adjusted EBITDA</w:t>
      </w:r>
    </w:p>
    <w:p>
      <w:pPr>
        <w:spacing w:after="0" w:line="225" w:lineRule="exact"/>
        <w:rPr>
          <w:sz w:val="20"/>
          <w:szCs w:val="20"/>
          <w:color w:val="auto"/>
        </w:rPr>
      </w:pPr>
    </w:p>
    <w:p>
      <w:pPr>
        <w:ind w:left="60" w:right="159" w:firstLine="648"/>
        <w:spacing w:after="0" w:line="257" w:lineRule="auto"/>
        <w:rPr>
          <w:sz w:val="20"/>
          <w:szCs w:val="20"/>
          <w:color w:val="auto"/>
        </w:rPr>
      </w:pPr>
      <w:r>
        <w:rPr>
          <w:rFonts w:ascii="Arial" w:cs="Arial" w:eastAsia="Arial" w:hAnsi="Arial"/>
          <w:sz w:val="18"/>
          <w:szCs w:val="18"/>
          <w:color w:val="auto"/>
        </w:rPr>
        <w:t>We disclose Adjusted Gross Profit and Adjusted EBITDA because we use them to evaluate our performance, and we believe Adjusted Gross Profit and Adjusted EBITDA assist in the comparison of our performance across reporting periods by excluding certain items that we do not believe are indicative of our core operating performance. We believe these metrics are used in the financial community, and we present them to enhance investors’ understanding of our operating performance and cash flows.</w:t>
      </w:r>
    </w:p>
    <w:p>
      <w:pPr>
        <w:spacing w:after="0" w:line="188" w:lineRule="exact"/>
        <w:rPr>
          <w:sz w:val="20"/>
          <w:szCs w:val="20"/>
          <w:color w:val="auto"/>
        </w:rPr>
      </w:pPr>
    </w:p>
    <w:p>
      <w:pPr>
        <w:ind w:left="60" w:right="199" w:firstLine="648"/>
        <w:spacing w:after="0" w:line="296" w:lineRule="auto"/>
        <w:rPr>
          <w:sz w:val="20"/>
          <w:szCs w:val="20"/>
          <w:color w:val="auto"/>
        </w:rPr>
      </w:pPr>
      <w:r>
        <w:rPr>
          <w:rFonts w:ascii="Arial" w:cs="Arial" w:eastAsia="Arial" w:hAnsi="Arial"/>
          <w:sz w:val="16"/>
          <w:szCs w:val="16"/>
          <w:color w:val="auto"/>
        </w:rPr>
        <w:t>Adjusted Gross Profit and Adjusted EBITDA are not measurements of financial performance under generally accepted accounting principles in the United States (“GAAP”), and you should not consider Adjusted Gross Profit as an alternative to gross profit or Adjusted EBITDA as an alternative to net income or cash provided by operating activities, in each case as determined in accordance with GAAP. In addition, our definition of Adjusted Gross Profit and Adjusted EBITDA may be different than the definition utilized for similarly-titled measures used by other companies.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firstLine="648"/>
        <w:spacing w:after="0" w:line="255" w:lineRule="auto"/>
        <w:rPr>
          <w:sz w:val="20"/>
          <w:szCs w:val="20"/>
          <w:color w:val="auto"/>
        </w:rPr>
      </w:pPr>
      <w:r>
        <w:rPr>
          <w:rFonts w:ascii="Arial" w:cs="Arial" w:eastAsia="Arial" w:hAnsi="Arial"/>
          <w:sz w:val="18"/>
          <w:szCs w:val="18"/>
          <w:color w:val="auto"/>
        </w:rPr>
        <w:t>We define Adjusted Gross Profit as gross profit before amortization of capitalized internal-use software costs, stock-based compensation expense and employer payroll taxes related to stock releases and option exercises. We define Adjusted EBITDA as net income before interest expense, income tax expense, depreciation and amortization expense, stock-based compensation expense and employer payroll taxes related to stock releases and option exercises and other items as defined below. The table below sets forth our Adjusted Gross Profit and Adjusted EBITDA for the periods presented.</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7"/>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20" w:type="dxa"/>
            <w:vAlign w:val="bottom"/>
          </w:tcPr>
          <w:p>
            <w:pPr>
              <w:spacing w:after="0"/>
              <w:rPr>
                <w:sz w:val="14"/>
                <w:szCs w:val="14"/>
                <w:color w:val="auto"/>
              </w:rPr>
            </w:pPr>
          </w:p>
        </w:tc>
        <w:tc>
          <w:tcPr>
            <w:tcW w:w="1780" w:type="dxa"/>
            <w:vAlign w:val="bottom"/>
            <w:gridSpan w:val="7"/>
          </w:tcPr>
          <w:p>
            <w:pPr>
              <w:ind w:left="24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95"/>
              </w:rPr>
              <w:t>March 31,</w:t>
            </w:r>
          </w:p>
        </w:tc>
        <w:tc>
          <w:tcPr>
            <w:tcW w:w="20" w:type="dxa"/>
            <w:vAlign w:val="bottom"/>
          </w:tcPr>
          <w:p>
            <w:pPr>
              <w:spacing w:after="0"/>
              <w:rPr>
                <w:sz w:val="14"/>
                <w:szCs w:val="14"/>
                <w:color w:val="auto"/>
              </w:rPr>
            </w:pPr>
          </w:p>
        </w:tc>
        <w:tc>
          <w:tcPr>
            <w:tcW w:w="1780" w:type="dxa"/>
            <w:vAlign w:val="bottom"/>
            <w:gridSpan w:val="7"/>
          </w:tcPr>
          <w:p>
            <w:pPr>
              <w:ind w:left="54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bottom w:val="single" w:sz="8" w:color="auto"/>
            </w:tcBorders>
            <w:gridSpan w:val="2"/>
          </w:tcPr>
          <w:p>
            <w:pPr>
              <w:ind w:left="260"/>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5"/>
          </w:tcPr>
          <w:p>
            <w:pPr>
              <w:jc w:val="center"/>
              <w:ind w:right="13"/>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40" w:type="dxa"/>
            <w:vAlign w:val="bottom"/>
            <w:gridSpan w:val="6"/>
          </w:tcPr>
          <w:p>
            <w:pPr>
              <w:jc w:val="center"/>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Gross Profit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129,906</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136,728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$ 313,290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331,602</w:t>
            </w:r>
          </w:p>
        </w:tc>
        <w:tc>
          <w:tcPr>
            <w:tcW w:w="4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Adjusted EBITDA</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68,247</w:t>
            </w:r>
          </w:p>
        </w:tc>
        <w:tc>
          <w:tcPr>
            <w:tcW w:w="14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66,941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89"/>
              </w:rPr>
              <w:t>$ 128,989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132,775</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41"/>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w w:val="95"/>
              </w:rPr>
              <w:t>Three Months Ended</w:t>
            </w:r>
          </w:p>
        </w:tc>
        <w:tc>
          <w:tcPr>
            <w:tcW w:w="20" w:type="dxa"/>
            <w:vAlign w:val="bottom"/>
          </w:tcPr>
          <w:p>
            <w:pPr>
              <w:spacing w:after="0"/>
              <w:rPr>
                <w:sz w:val="24"/>
                <w:szCs w:val="24"/>
                <w:color w:val="auto"/>
              </w:rPr>
            </w:pPr>
          </w:p>
        </w:tc>
        <w:tc>
          <w:tcPr>
            <w:tcW w:w="1780" w:type="dxa"/>
            <w:vAlign w:val="bottom"/>
            <w:gridSpan w:val="7"/>
          </w:tcPr>
          <w:p>
            <w:pPr>
              <w:jc w:val="center"/>
              <w:ind w:right="40"/>
              <w:spacing w:after="0"/>
              <w:rPr>
                <w:sz w:val="20"/>
                <w:szCs w:val="20"/>
                <w:color w:val="auto"/>
              </w:rPr>
            </w:pPr>
            <w:r>
              <w:rPr>
                <w:rFonts w:ascii="Arial" w:cs="Arial" w:eastAsia="Arial" w:hAnsi="Arial"/>
                <w:sz w:val="14"/>
                <w:szCs w:val="14"/>
                <w:b w:val="1"/>
                <w:bCs w:val="1"/>
                <w:color w:val="auto"/>
                <w:w w:val="93"/>
              </w:rPr>
              <w:t>Nine Months Ended</w:t>
            </w:r>
          </w:p>
        </w:tc>
        <w:tc>
          <w:tcPr>
            <w:tcW w:w="20" w:type="dxa"/>
            <w:vAlign w:val="bottom"/>
          </w:tcPr>
          <w:p>
            <w:pPr>
              <w:spacing w:after="0"/>
              <w:rPr>
                <w:sz w:val="24"/>
                <w:szCs w:val="24"/>
                <w:color w:val="auto"/>
              </w:rPr>
            </w:pPr>
          </w:p>
        </w:tc>
      </w:t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99"/>
              </w:rPr>
              <w:t>March 31,</w:t>
            </w:r>
          </w:p>
        </w:tc>
        <w:tc>
          <w:tcPr>
            <w:tcW w:w="20" w:type="dxa"/>
            <w:vAlign w:val="bottom"/>
          </w:tcPr>
          <w:p>
            <w:pPr>
              <w:spacing w:after="0"/>
              <w:rPr>
                <w:sz w:val="14"/>
                <w:szCs w:val="14"/>
                <w:color w:val="auto"/>
              </w:rPr>
            </w:pPr>
          </w:p>
        </w:tc>
        <w:tc>
          <w:tcPr>
            <w:tcW w:w="178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5"/>
              </w:rPr>
              <w:t>March 31,</w:t>
            </w: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Borders>
              <w:top w:val="single" w:sz="8" w:color="auto"/>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6"/>
          </w:tcPr>
          <w:p>
            <w:pPr>
              <w:jc w:val="center"/>
              <w:ind w:right="120"/>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80" w:type="dxa"/>
            <w:vAlign w:val="bottom"/>
            <w:gridSpan w:val="7"/>
          </w:tcPr>
          <w:p>
            <w:pPr>
              <w:jc w:val="center"/>
              <w:ind w:right="60"/>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from Gross Profit to Adjusted Gross Profit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Gross profit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123,565</w:t>
            </w: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128,727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89"/>
              </w:rPr>
              <w:t>$ 294,605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307,928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capitalized internal-use software costs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14,073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17,273</w:t>
            </w:r>
          </w:p>
        </w:tc>
        <w:tc>
          <w:tcPr>
            <w:tcW w:w="4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5200" w:type="dxa"/>
            <w:vAlign w:val="bottom"/>
          </w:tcPr>
          <w:p>
            <w:pPr>
              <w:spacing w:after="0" w:line="201" w:lineRule="exact"/>
              <w:rPr>
                <w:sz w:val="20"/>
                <w:szCs w:val="20"/>
                <w:color w:val="auto"/>
              </w:rPr>
            </w:pPr>
            <w:r>
              <w:rPr>
                <w:rFonts w:ascii="Arial" w:cs="Arial" w:eastAsia="Arial" w:hAnsi="Arial"/>
                <w:sz w:val="18"/>
                <w:szCs w:val="18"/>
                <w:color w:val="auto"/>
              </w:rPr>
              <w:t>Stock-based compensation expense and employer payroll taxes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related to stock releases and option exercises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1,415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1,996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4,612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6,401</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Adjusted Gross Profit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129,906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136,728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$ 313,290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331,602</w:t>
            </w:r>
          </w:p>
        </w:tc>
        <w:tc>
          <w:tcPr>
            <w:tcW w:w="40" w:type="dxa"/>
            <w:vAlign w:val="bottom"/>
            <w:tcBorders>
              <w:top w:val="single" w:sz="8" w:color="auto"/>
              <w:bottom w:val="single" w:sz="8" w:color="auto"/>
              <w:right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2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w w:val="95"/>
              </w:rPr>
              <w:t>Three Months Ended</w:t>
            </w:r>
          </w:p>
        </w:tc>
        <w:tc>
          <w:tcPr>
            <w:tcW w:w="20" w:type="dxa"/>
            <w:vAlign w:val="bottom"/>
          </w:tcPr>
          <w:p>
            <w:pPr>
              <w:spacing w:after="0"/>
              <w:rPr>
                <w:sz w:val="24"/>
                <w:szCs w:val="24"/>
                <w:color w:val="auto"/>
              </w:rPr>
            </w:pPr>
          </w:p>
        </w:tc>
        <w:tc>
          <w:tcPr>
            <w:tcW w:w="1780" w:type="dxa"/>
            <w:vAlign w:val="bottom"/>
            <w:gridSpan w:val="7"/>
          </w:tcPr>
          <w:p>
            <w:pPr>
              <w:jc w:val="center"/>
              <w:ind w:right="40"/>
              <w:spacing w:after="0"/>
              <w:rPr>
                <w:sz w:val="20"/>
                <w:szCs w:val="20"/>
                <w:color w:val="auto"/>
              </w:rPr>
            </w:pPr>
            <w:r>
              <w:rPr>
                <w:rFonts w:ascii="Arial" w:cs="Arial" w:eastAsia="Arial" w:hAnsi="Arial"/>
                <w:sz w:val="14"/>
                <w:szCs w:val="14"/>
                <w:b w:val="1"/>
                <w:bCs w:val="1"/>
                <w:color w:val="auto"/>
                <w:w w:val="93"/>
              </w:rPr>
              <w:t>Nine Months Ended</w:t>
            </w:r>
          </w:p>
        </w:tc>
        <w:tc>
          <w:tcPr>
            <w:tcW w:w="20" w:type="dxa"/>
            <w:vAlign w:val="bottom"/>
          </w:tcPr>
          <w:p>
            <w:pPr>
              <w:spacing w:after="0"/>
              <w:rPr>
                <w:sz w:val="24"/>
                <w:szCs w:val="24"/>
                <w:color w:val="auto"/>
              </w:rPr>
            </w:pPr>
          </w:p>
        </w:tc>
      </w:t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99"/>
              </w:rPr>
              <w:t>March 31,</w:t>
            </w:r>
          </w:p>
        </w:tc>
        <w:tc>
          <w:tcPr>
            <w:tcW w:w="20" w:type="dxa"/>
            <w:vAlign w:val="bottom"/>
          </w:tcPr>
          <w:p>
            <w:pPr>
              <w:spacing w:after="0"/>
              <w:rPr>
                <w:sz w:val="14"/>
                <w:szCs w:val="14"/>
                <w:color w:val="auto"/>
              </w:rPr>
            </w:pPr>
          </w:p>
        </w:tc>
        <w:tc>
          <w:tcPr>
            <w:tcW w:w="178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5"/>
              </w:rPr>
              <w:t>March 31,</w:t>
            </w: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Borders>
              <w:top w:val="single" w:sz="8" w:color="auto"/>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6"/>
          </w:tcPr>
          <w:p>
            <w:pPr>
              <w:jc w:val="center"/>
              <w:ind w:right="120"/>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80" w:type="dxa"/>
            <w:vAlign w:val="bottom"/>
            <w:gridSpan w:val="7"/>
          </w:tcPr>
          <w:p>
            <w:pPr>
              <w:jc w:val="center"/>
              <w:ind w:right="60"/>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from Net Income to Adjusted EBITDA</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40,132</w:t>
            </w: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36,834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5"/>
              </w:rPr>
              <w:t>$  59,505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58,936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4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8,044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2,102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1,544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(10,836)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27,832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32,070</w:t>
            </w:r>
          </w:p>
        </w:tc>
        <w:tc>
          <w:tcPr>
            <w:tcW w:w="4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00" w:type="dxa"/>
            <w:vAlign w:val="bottom"/>
          </w:tcPr>
          <w:p>
            <w:pPr>
              <w:ind w:left="220"/>
              <w:spacing w:after="0"/>
              <w:rPr>
                <w:sz w:val="20"/>
                <w:szCs w:val="20"/>
                <w:color w:val="auto"/>
              </w:rPr>
            </w:pPr>
            <w:r>
              <w:rPr>
                <w:rFonts w:ascii="Arial" w:cs="Arial" w:eastAsia="Arial" w:hAnsi="Arial"/>
                <w:sz w:val="18"/>
                <w:szCs w:val="18"/>
                <w:color w:val="auto"/>
              </w:rPr>
              <w:t>EBITDA</w:t>
            </w: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57,849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50,139</w:t>
            </w: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89,171</w:t>
            </w:r>
          </w:p>
        </w:tc>
        <w:tc>
          <w:tcPr>
            <w:tcW w:w="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81,065</w:t>
            </w:r>
          </w:p>
        </w:tc>
        <w:tc>
          <w:tcPr>
            <w:tcW w:w="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5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 compensation expense and employer payroll taxes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related to stock releases and option exercises</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10,013</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16,510</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36,871</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50,333</w:t>
            </w:r>
          </w:p>
        </w:tc>
        <w:tc>
          <w:tcPr>
            <w:tcW w:w="40" w:type="dxa"/>
            <w:vAlign w:val="bottom"/>
            <w:tcBorders>
              <w:right w:val="single" w:sz="8" w:color="CCEEFF"/>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Other items*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2,947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1,377</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Adjusted EBITDA</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68,247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66,941</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$ 128,989</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132,775</w:t>
            </w:r>
          </w:p>
        </w:tc>
        <w:tc>
          <w:tcPr>
            <w:tcW w:w="40" w:type="dxa"/>
            <w:vAlign w:val="bottom"/>
            <w:tcBorders>
              <w:top w:val="single" w:sz="8" w:color="auto"/>
              <w:bottom w:val="single" w:sz="8" w:color="auto"/>
              <w:right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right="179" w:hanging="650"/>
        <w:spacing w:after="0" w:line="342" w:lineRule="auto"/>
        <w:tabs>
          <w:tab w:leader="none" w:pos="7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Represents nonrecurring costs including acquisition-related and lease exit costs. Also includes the settlement of a certain legal matter and related litigation costs of $2.0 million during the nine months ended March 31, 2020.</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Recurring and other revenue</w:t>
      </w:r>
    </w:p>
    <w:p>
      <w:pPr>
        <w:spacing w:after="0" w:line="225" w:lineRule="exact"/>
        <w:rPr>
          <w:sz w:val="20"/>
          <w:szCs w:val="20"/>
          <w:color w:val="auto"/>
        </w:rPr>
      </w:pPr>
    </w:p>
    <w:p>
      <w:pPr>
        <w:ind w:left="60" w:right="259" w:firstLine="648"/>
        <w:spacing w:after="0" w:line="290" w:lineRule="auto"/>
        <w:rPr>
          <w:sz w:val="20"/>
          <w:szCs w:val="20"/>
          <w:color w:val="auto"/>
        </w:rPr>
      </w:pPr>
      <w:r>
        <w:rPr>
          <w:rFonts w:ascii="Arial" w:cs="Arial" w:eastAsia="Arial" w:hAnsi="Arial"/>
          <w:sz w:val="16"/>
          <w:szCs w:val="16"/>
          <w:color w:val="auto"/>
        </w:rPr>
        <w:t>We derive the majority of our revenues from recurring fees attributable to our cloud-based payroll and HCM software solutions. Recurring fees for each client generally include a base fee in addition to a fee based on the number of client employees and the number of products a client uses. We also charge fees attributable to our preparation of W-2 documents and annual required filings on behalf of our clients. We charge implementation fees for professional services provided to implement our payroll and HCM solutions. Implementations of our payroll solutions typically require only three to four weeks at which point the new client’s payroll is first processed using our solution. We implement additional HCM products as requested by clients and leverage the data within our payroll solution to accelerate our implementation processes. Our average client size has continued to be over 100 employees.</w:t>
      </w:r>
    </w:p>
    <w:p>
      <w:pPr>
        <w:sectPr>
          <w:pgSz w:w="11900" w:h="16838" w:orient="portrait"/>
          <w:cols w:equalWidth="0" w:num="1">
            <w:col w:w="9019"/>
          </w:cols>
          <w:pgMar w:left="1440" w:top="517"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96" w:lineRule="auto"/>
        <w:rPr>
          <w:sz w:val="20"/>
          <w:szCs w:val="20"/>
          <w:color w:val="auto"/>
        </w:rPr>
      </w:pPr>
      <w:r>
        <w:rPr>
          <w:rFonts w:ascii="Arial" w:cs="Arial" w:eastAsia="Arial" w:hAnsi="Arial"/>
          <w:sz w:val="16"/>
          <w:szCs w:val="16"/>
          <w:color w:val="auto"/>
        </w:rPr>
        <w:t>We derive revenue from a client based on the solutions purchased by the client, the number of client employees as well as the amount, type and timing of services provided with respect to those client employees. As such, the number of client employees on our system is not a good indicator of our financial results in any period. Recurring and other revenue accounted for 97% and 99% of our total revenues during the three months ended March 31, 2020 and 2021 respectively, and 97% and 99% of our total revenues during the nine months ended March 31, 2020 and 2021, respectively.</w:t>
      </w:r>
    </w:p>
    <w:p>
      <w:pPr>
        <w:spacing w:after="0" w:line="161" w:lineRule="exact"/>
        <w:rPr>
          <w:sz w:val="20"/>
          <w:szCs w:val="20"/>
          <w:color w:val="auto"/>
        </w:rPr>
      </w:pPr>
    </w:p>
    <w:p>
      <w:pPr>
        <w:ind w:left="60" w:right="79" w:firstLine="648"/>
        <w:spacing w:after="0" w:line="296" w:lineRule="auto"/>
        <w:rPr>
          <w:sz w:val="20"/>
          <w:szCs w:val="20"/>
          <w:color w:val="auto"/>
        </w:rPr>
      </w:pPr>
      <w:r>
        <w:rPr>
          <w:rFonts w:ascii="Arial" w:cs="Arial" w:eastAsia="Arial" w:hAnsi="Arial"/>
          <w:sz w:val="16"/>
          <w:szCs w:val="16"/>
          <w:color w:val="auto"/>
        </w:rPr>
        <w:t>While the majority of our agreements with clients are generally cancellable by the client on 60 days’ notice or less, we have term agreements which are generally two years in length. Our agreements do not include general rights of return and do not provide clients with the right to take possession of the software supporting the services being provided. We recognize recurring fees in the period in which services are provided and the related performance obligations have been satisfied. We defer implementation fees related to our proprietary products over a period generally up to 24 months.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Income on Funds Held for Clients</w:t>
      </w:r>
    </w:p>
    <w:p>
      <w:pPr>
        <w:spacing w:after="0" w:line="225"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We earn interest income on funds held for clients. We collect funds for employee payroll payments and related taxes in advance of remittance to employees and taxing authorities. Prior to remittance to employees and taxing authorities, we earn interest on these funds through demand deposit accounts with financial institutions with which we have automated clearing house, or ACH, arrangements. We also earn interest by investing a portion of funds held for clients in highly liquid, investment-grade marketable securities.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Cost of revenues includes costs to provide our payroll and other HCM solutions which primarily consists of employee-related expenses, including wages, stock-based compensation, bonuses and benefits, relating to the provision of ongoing client support and implementation activities, payroll tax filing, distribution of printed checks and other materials as well as delivery costs, computing costs, and bank fees associated with client fund transfers. Employee costs for recurring support are generally expensed as incurred whereas such costs for implementation of our proprietary products are capitalized and amortized over a period of 7 years. Our cost of revenues is expected to increase in absolute dollars for the foreseeable future as we increase our client base. However, we expect to realize cost efficiencies over the long term as our business scales, resulting in improved operating leverage and increased margins.</w:t>
      </w:r>
    </w:p>
    <w:p>
      <w:pPr>
        <w:spacing w:after="0" w:line="165" w:lineRule="exact"/>
        <w:rPr>
          <w:sz w:val="20"/>
          <w:szCs w:val="20"/>
          <w:color w:val="auto"/>
        </w:rPr>
      </w:pPr>
    </w:p>
    <w:p>
      <w:pPr>
        <w:ind w:left="60" w:right="259" w:firstLine="648"/>
        <w:spacing w:after="0" w:line="259" w:lineRule="auto"/>
        <w:rPr>
          <w:sz w:val="20"/>
          <w:szCs w:val="20"/>
          <w:color w:val="auto"/>
        </w:rPr>
      </w:pPr>
      <w:r>
        <w:rPr>
          <w:rFonts w:ascii="Arial" w:cs="Arial" w:eastAsia="Arial" w:hAnsi="Arial"/>
          <w:sz w:val="18"/>
          <w:szCs w:val="18"/>
          <w:color w:val="auto"/>
        </w:rPr>
        <w:t>We also capitalize a portion of our internal-use software costs, which are then all amortized as Cost of revenues. We amortized $4.9 million and $6.0 million of capitalized internal-use software costs during the three months ended March 31, 2020 and 2021, respectively, and $14.1 million and $17.3 million of capitalized internal-use software costs during the nine months ended March 31, 2020 and 2021, respectively.</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left="60" w:right="119" w:firstLine="648"/>
        <w:spacing w:after="0" w:line="273" w:lineRule="auto"/>
        <w:rPr>
          <w:sz w:val="20"/>
          <w:szCs w:val="20"/>
          <w:color w:val="auto"/>
        </w:rPr>
      </w:pPr>
      <w:r>
        <w:rPr>
          <w:rFonts w:ascii="Arial" w:cs="Arial" w:eastAsia="Arial" w:hAnsi="Arial"/>
          <w:sz w:val="17"/>
          <w:szCs w:val="17"/>
          <w:color w:val="auto"/>
        </w:rPr>
        <w:t>Sales and marketing expenses consist primarily of employee-related expenses for our direct sales and marketing staff, including wages, commissions, stock-based compensation, bonuses and benefits, marketing expenses and other related costs. We capitalize certain selling and commission costs related to new contracts or purchases of additional services by our existing clients and amortize them over a period of 7 years. We pay commissions the following month after the start of service or contract signing, and bonuses for attainment of certain annual performance criteria are subsequently paid annually in the first fiscal quarter of the following year.</w:t>
      </w:r>
    </w:p>
    <w:p>
      <w:pPr>
        <w:spacing w:after="0" w:line="178" w:lineRule="exact"/>
        <w:rPr>
          <w:sz w:val="20"/>
          <w:szCs w:val="20"/>
          <w:color w:val="auto"/>
        </w:rPr>
      </w:pPr>
    </w:p>
    <w:p>
      <w:pPr>
        <w:ind w:left="60" w:right="99" w:firstLine="648"/>
        <w:spacing w:after="0" w:line="263" w:lineRule="auto"/>
        <w:rPr>
          <w:sz w:val="20"/>
          <w:szCs w:val="20"/>
          <w:color w:val="auto"/>
        </w:rPr>
      </w:pPr>
      <w:r>
        <w:rPr>
          <w:rFonts w:ascii="Arial" w:cs="Arial" w:eastAsia="Arial" w:hAnsi="Arial"/>
          <w:sz w:val="18"/>
          <w:szCs w:val="18"/>
          <w:color w:val="auto"/>
        </w:rPr>
        <w:t>We will seek to grow our number of clients for the foreseeable future, and therefore our sales and marketing expense is expected to continue to increase in absolute dollars as we grow our sales organization and expand our marketing activities.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left="60" w:right="759" w:firstLine="648"/>
        <w:spacing w:after="0" w:line="291" w:lineRule="auto"/>
        <w:rPr>
          <w:sz w:val="20"/>
          <w:szCs w:val="20"/>
          <w:color w:val="auto"/>
        </w:rPr>
      </w:pPr>
      <w:r>
        <w:rPr>
          <w:rFonts w:ascii="Arial" w:cs="Arial" w:eastAsia="Arial" w:hAnsi="Arial"/>
          <w:sz w:val="16"/>
          <w:szCs w:val="16"/>
          <w:color w:val="auto"/>
        </w:rPr>
        <w:t>Research and development expenses consist primarily of employee-related expenses for our research and development and product management staff, including wages, stock-based compensation, bonuses and benefits.</w:t>
      </w: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3" w:lineRule="auto"/>
        <w:rPr>
          <w:sz w:val="20"/>
          <w:szCs w:val="20"/>
          <w:color w:val="auto"/>
        </w:rPr>
      </w:pPr>
      <w:r>
        <w:rPr>
          <w:rFonts w:ascii="Arial" w:cs="Arial" w:eastAsia="Arial" w:hAnsi="Arial"/>
          <w:sz w:val="18"/>
          <w:szCs w:val="18"/>
          <w:color w:val="auto"/>
        </w:rPr>
        <w:t>Additional expenses include costs related to the development, maintenance, quality assurance and testing of new technologies and ongoing refinement of our existing solutions. Research and development expenses, other than internal-use software costs qualifying for capitalization, are expensed as incurred.</w:t>
      </w:r>
    </w:p>
    <w:p>
      <w:pPr>
        <w:spacing w:after="0" w:line="184"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We capitalize a portion of our development costs related to internal-use software. The timing of our capitalized development projects may affect the amount of development costs expensed in any given period. The table below sets forth the amounts of capitalized and expensed research and development expenses for the three and nine months ended March 31, 2020 and 2021.</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620" w:type="dxa"/>
            <w:vAlign w:val="bottom"/>
            <w:gridSpan w:val="5"/>
          </w:tcPr>
          <w:p>
            <w:pPr>
              <w:ind w:left="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center"/>
              <w:ind w:left="280"/>
              <w:spacing w:after="0"/>
              <w:rPr>
                <w:sz w:val="20"/>
                <w:szCs w:val="20"/>
                <w:color w:val="auto"/>
              </w:rPr>
            </w:pPr>
            <w:r>
              <w:rPr>
                <w:rFonts w:ascii="Arial" w:cs="Arial" w:eastAsia="Arial" w:hAnsi="Arial"/>
                <w:sz w:val="14"/>
                <w:szCs w:val="14"/>
                <w:b w:val="1"/>
                <w:bCs w:val="1"/>
                <w:color w:val="auto"/>
                <w:w w:val="95"/>
              </w:rPr>
              <w:t>March 31,</w:t>
            </w:r>
          </w:p>
        </w:tc>
        <w:tc>
          <w:tcPr>
            <w:tcW w:w="5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w w:val="92"/>
              </w:rPr>
              <w:t>March 31,</w:t>
            </w:r>
          </w:p>
        </w:tc>
        <w:tc>
          <w:tcPr>
            <w:tcW w:w="5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5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w w:val="89"/>
              </w:rPr>
              <w:t>2021</w:t>
            </w: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2"/>
                <w:szCs w:val="12"/>
                <w:color w:val="auto"/>
              </w:rPr>
            </w:pPr>
          </w:p>
        </w:tc>
      </w:tr>
      <w:tr>
        <w:trPr>
          <w:trHeight w:val="128"/>
        </w:trPr>
        <w:tc>
          <w:tcPr>
            <w:tcW w:w="5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gridSpan w:val="4"/>
          </w:tcPr>
          <w:p>
            <w:pPr>
              <w:jc w:val="center"/>
              <w:ind w:right="55"/>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4"/>
          </w:tcPr>
          <w:p>
            <w:pPr>
              <w:ind w:left="260"/>
              <w:spacing w:after="0" w:line="129" w:lineRule="exact"/>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1"/>
                <w:szCs w:val="11"/>
                <w:color w:val="auto"/>
              </w:rPr>
            </w:pPr>
          </w:p>
        </w:tc>
      </w:tr>
      <w:tr>
        <w:trPr>
          <w:trHeight w:val="216"/>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portion of research and development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8"/>
              </w:rPr>
              <w:t>20,654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23,476</w:t>
            </w:r>
          </w:p>
        </w:tc>
        <w:tc>
          <w:tcPr>
            <w:tcW w:w="40" w:type="dxa"/>
            <w:vAlign w:val="bottom"/>
            <w:shd w:val="clear" w:color="auto" w:fill="CCEEFF"/>
          </w:tcPr>
          <w:p>
            <w:pPr>
              <w:spacing w:after="0"/>
              <w:rPr>
                <w:sz w:val="18"/>
                <w:szCs w:val="18"/>
                <w:color w:val="auto"/>
              </w:rPr>
            </w:pPr>
          </w:p>
        </w:tc>
      </w:tr>
      <w:tr>
        <w:trPr>
          <w:trHeight w:val="216"/>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Expensed portion of research and development</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15,612</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18,458</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8"/>
              </w:rPr>
              <w:t>45,416</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8"/>
              </w:rPr>
              <w:t>56,443</w:t>
            </w:r>
          </w:p>
        </w:tc>
        <w:tc>
          <w:tcPr>
            <w:tcW w:w="40" w:type="dxa"/>
            <w:vAlign w:val="bottom"/>
            <w:tcBorders>
              <w:bottom w:val="single" w:sz="8" w:color="CCEEFF"/>
            </w:tcBorders>
          </w:tcPr>
          <w:p>
            <w:pPr>
              <w:spacing w:after="0"/>
              <w:rPr>
                <w:sz w:val="18"/>
                <w:szCs w:val="18"/>
                <w:color w:val="auto"/>
              </w:rPr>
            </w:pPr>
          </w:p>
        </w:tc>
      </w:tr>
      <w:tr>
        <w:trPr>
          <w:trHeight w:val="20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research and development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26,544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8"/>
              </w:rPr>
              <w:t>66,070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79,919</w:t>
            </w:r>
          </w:p>
        </w:tc>
        <w:tc>
          <w:tcPr>
            <w:tcW w:w="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8"/>
          <w:szCs w:val="18"/>
          <w:color w:val="auto"/>
        </w:rPr>
        <w:t>We expect to grow our research and development efforts as we continue to broaden our product offerings and extend our technological leadership by investing in the development of new technologies and introducing them to new and existing clients. We expect research and development expenses to continue to increase in absolute dollars but to vary as a percentage of total revenue on a period-to-period basis.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left="60" w:right="59" w:firstLine="648"/>
        <w:spacing w:after="0" w:line="257" w:lineRule="auto"/>
        <w:rPr>
          <w:sz w:val="20"/>
          <w:szCs w:val="20"/>
          <w:color w:val="auto"/>
        </w:rPr>
      </w:pPr>
      <w:r>
        <w:rPr>
          <w:rFonts w:ascii="Arial" w:cs="Arial" w:eastAsia="Arial" w:hAnsi="Arial"/>
          <w:sz w:val="18"/>
          <w:szCs w:val="18"/>
          <w:color w:val="auto"/>
        </w:rPr>
        <w:t>General and administrative expenses consist primarily of employee-related costs, including wages, stock-based compensation, bonuses and benefits for our administrative, finance, accounting, and human resources departments. Additional expenses include consulting and professional fees, occupancy costs, insurance and other corporate expenses. We expect our general and administrative expenses to continue to increase in absolute dollars as our company continues to grow.</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 (Expense)</w:t>
      </w:r>
    </w:p>
    <w:p>
      <w:pPr>
        <w:spacing w:after="0" w:line="225" w:lineRule="exact"/>
        <w:rPr>
          <w:sz w:val="20"/>
          <w:szCs w:val="20"/>
          <w:color w:val="auto"/>
        </w:rPr>
      </w:pPr>
    </w:p>
    <w:p>
      <w:pPr>
        <w:ind w:left="60" w:right="199" w:firstLine="648"/>
        <w:spacing w:after="0" w:line="263" w:lineRule="auto"/>
        <w:rPr>
          <w:sz w:val="20"/>
          <w:szCs w:val="20"/>
          <w:color w:val="auto"/>
        </w:rPr>
      </w:pPr>
      <w:r>
        <w:rPr>
          <w:rFonts w:ascii="Arial" w:cs="Arial" w:eastAsia="Arial" w:hAnsi="Arial"/>
          <w:sz w:val="18"/>
          <w:szCs w:val="18"/>
          <w:color w:val="auto"/>
        </w:rPr>
        <w:t>Other income (expense) generally consists of interest income related to interest earned on our cash and cash equivalents and corporate investments, net of losses on disposal of property and equipment and interest expense related to our revolving credit facility.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sets forth our statements of operations data for each of the periods indicated.</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4"/>
                <w:szCs w:val="14"/>
                <w:color w:val="auto"/>
              </w:rPr>
            </w:pPr>
          </w:p>
        </w:tc>
        <w:tc>
          <w:tcPr>
            <w:tcW w:w="16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9"/>
              </w:rPr>
              <w:t>March 31,</w:t>
            </w:r>
          </w:p>
        </w:tc>
        <w:tc>
          <w:tcPr>
            <w:tcW w:w="120" w:type="dxa"/>
            <w:vAlign w:val="bottom"/>
          </w:tcPr>
          <w:p>
            <w:pPr>
              <w:spacing w:after="0"/>
              <w:rPr>
                <w:sz w:val="14"/>
                <w:szCs w:val="14"/>
                <w:color w:val="auto"/>
              </w:rPr>
            </w:pPr>
          </w:p>
        </w:tc>
        <w:tc>
          <w:tcPr>
            <w:tcW w:w="16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5"/>
              </w:rPr>
              <w:t>March 31,</w:t>
            </w:r>
          </w:p>
        </w:tc>
      </w:tr>
      <w:tr>
        <w:trPr>
          <w:trHeight w:val="142"/>
        </w:trPr>
        <w:tc>
          <w:tcPr>
            <w:tcW w:w="52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r>
      <w:tr>
        <w:trPr>
          <w:trHeight w:val="128"/>
        </w:trPr>
        <w:tc>
          <w:tcPr>
            <w:tcW w:w="5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gridSpan w:val="4"/>
          </w:tcPr>
          <w:p>
            <w:pPr>
              <w:jc w:val="center"/>
              <w:ind w:right="11"/>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gridSpan w:val="4"/>
          </w:tcPr>
          <w:p>
            <w:pPr>
              <w:jc w:val="center"/>
              <w:ind w:right="31"/>
              <w:spacing w:after="0" w:line="129" w:lineRule="exact"/>
              <w:rPr>
                <w:sz w:val="20"/>
                <w:szCs w:val="20"/>
                <w:color w:val="auto"/>
              </w:rPr>
            </w:pPr>
            <w:r>
              <w:rPr>
                <w:rFonts w:ascii="Arial" w:cs="Arial" w:eastAsia="Arial" w:hAnsi="Arial"/>
                <w:sz w:val="14"/>
                <w:szCs w:val="14"/>
                <w:b w:val="1"/>
                <w:bCs w:val="1"/>
                <w:color w:val="auto"/>
                <w:w w:val="89"/>
              </w:rPr>
              <w:t>(in thousands)</w:t>
            </w:r>
          </w:p>
        </w:tc>
        <w:tc>
          <w:tcPr>
            <w:tcW w:w="60" w:type="dxa"/>
            <w:vAlign w:val="bottom"/>
          </w:tcPr>
          <w:p>
            <w:pPr>
              <w:spacing w:after="0"/>
              <w:rPr>
                <w:sz w:val="11"/>
                <w:szCs w:val="1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Operations Data:</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Recurring and other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167,095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184,927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416,948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465,195</w:t>
            </w:r>
          </w:p>
        </w:tc>
        <w:tc>
          <w:tcPr>
            <w:tcW w:w="60" w:type="dxa"/>
            <w:vAlign w:val="bottom"/>
            <w:shd w:val="clear" w:color="auto" w:fill="CCEEFF"/>
          </w:tcPr>
          <w:p>
            <w:pPr>
              <w:spacing w:after="0"/>
              <w:rPr>
                <w:sz w:val="18"/>
                <w:szCs w:val="18"/>
                <w:color w:val="auto"/>
              </w:rPr>
            </w:pPr>
          </w:p>
        </w:tc>
      </w:tr>
      <w:tr>
        <w:trPr>
          <w:trHeight w:val="216"/>
        </w:trPr>
        <w:tc>
          <w:tcPr>
            <w:tcW w:w="52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income on funds held for clients</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2,981</w:t>
            </w:r>
          </w:p>
        </w:tc>
        <w:tc>
          <w:tcPr>
            <w:tcW w:w="60" w:type="dxa"/>
            <w:vAlign w:val="bottom"/>
            <w:tcBorders>
              <w:bottom w:val="single" w:sz="8" w:color="CCEEFF"/>
            </w:tcBorders>
          </w:tcPr>
          <w:p>
            <w:pPr>
              <w:spacing w:after="0"/>
              <w:rPr>
                <w:sz w:val="18"/>
                <w:szCs w:val="18"/>
                <w:color w:val="auto"/>
              </w:rPr>
            </w:pPr>
          </w:p>
        </w:tc>
      </w:tr>
      <w:tr>
        <w:trPr>
          <w:trHeight w:val="20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171,646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186,053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430,740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468,176</w:t>
            </w:r>
          </w:p>
        </w:tc>
        <w:tc>
          <w:tcPr>
            <w:tcW w:w="60" w:type="dxa"/>
            <w:vAlign w:val="bottom"/>
            <w:shd w:val="clear" w:color="auto" w:fill="CCEEFF"/>
          </w:tcPr>
          <w:p>
            <w:pPr>
              <w:spacing w:after="0"/>
              <w:rPr>
                <w:sz w:val="18"/>
                <w:szCs w:val="18"/>
                <w:color w:val="auto"/>
              </w:rPr>
            </w:pPr>
          </w:p>
        </w:tc>
      </w:tr>
      <w:tr>
        <w:trPr>
          <w:trHeight w:val="216"/>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revenues</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48,081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57,326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136,135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160,248</w:t>
            </w:r>
          </w:p>
        </w:tc>
        <w:tc>
          <w:tcPr>
            <w:tcW w:w="60" w:type="dxa"/>
            <w:vAlign w:val="bottom"/>
            <w:tcBorders>
              <w:bottom w:val="single" w:sz="8" w:color="CCEEFF"/>
            </w:tcBorders>
          </w:tcPr>
          <w:p>
            <w:pPr>
              <w:spacing w:after="0"/>
              <w:rPr>
                <w:sz w:val="18"/>
                <w:szCs w:val="18"/>
                <w:color w:val="auto"/>
              </w:rPr>
            </w:pPr>
          </w:p>
        </w:tc>
      </w:tr>
      <w:tr>
        <w:trPr>
          <w:trHeight w:val="20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123,565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128,727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294,605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307,928</w:t>
            </w:r>
          </w:p>
        </w:tc>
        <w:tc>
          <w:tcPr>
            <w:tcW w:w="60" w:type="dxa"/>
            <w:vAlign w:val="bottom"/>
            <w:shd w:val="clear" w:color="auto" w:fill="CCEEFF"/>
          </w:tcPr>
          <w:p>
            <w:pPr>
              <w:spacing w:after="0"/>
              <w:rPr>
                <w:sz w:val="18"/>
                <w:szCs w:val="18"/>
                <w:color w:val="auto"/>
              </w:rPr>
            </w:pPr>
          </w:p>
        </w:tc>
      </w:tr>
      <w:tr>
        <w:trPr>
          <w:trHeight w:val="209"/>
        </w:trPr>
        <w:tc>
          <w:tcPr>
            <w:tcW w:w="52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112,051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115,504</w:t>
            </w:r>
          </w:p>
        </w:tc>
        <w:tc>
          <w:tcPr>
            <w:tcW w:w="60" w:type="dxa"/>
            <w:vAlign w:val="bottom"/>
            <w:shd w:val="clear" w:color="auto" w:fill="CCEEFF"/>
          </w:tcPr>
          <w:p>
            <w:pPr>
              <w:spacing w:after="0"/>
              <w:rPr>
                <w:sz w:val="18"/>
                <w:szCs w:val="18"/>
                <w:color w:val="auto"/>
              </w:rPr>
            </w:pPr>
          </w:p>
        </w:tc>
      </w:tr>
      <w:tr>
        <w:trPr>
          <w:trHeight w:val="216"/>
        </w:trPr>
        <w:tc>
          <w:tcPr>
            <w:tcW w:w="524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15,612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18,458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45,416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56,443</w:t>
            </w:r>
          </w:p>
        </w:tc>
        <w:tc>
          <w:tcPr>
            <w:tcW w:w="60" w:type="dxa"/>
            <w:vAlign w:val="bottom"/>
          </w:tcPr>
          <w:p>
            <w:pPr>
              <w:spacing w:after="0"/>
              <w:rPr>
                <w:sz w:val="18"/>
                <w:szCs w:val="18"/>
                <w:color w:val="auto"/>
              </w:rPr>
            </w:pPr>
          </w:p>
        </w:tc>
      </w:tr>
      <w:tr>
        <w:trPr>
          <w:trHeight w:val="216"/>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22,411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31,071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77,283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87,038</w:t>
            </w:r>
          </w:p>
        </w:tc>
        <w:tc>
          <w:tcPr>
            <w:tcW w:w="60" w:type="dxa"/>
            <w:vAlign w:val="bottom"/>
            <w:shd w:val="clear" w:color="auto" w:fill="CCEEFF"/>
          </w:tcPr>
          <w:p>
            <w:pPr>
              <w:spacing w:after="0"/>
              <w:rPr>
                <w:sz w:val="18"/>
                <w:szCs w:val="18"/>
                <w:color w:val="auto"/>
              </w:rPr>
            </w:pPr>
          </w:p>
        </w:tc>
      </w:tr>
      <w:tr>
        <w:trPr>
          <w:trHeight w:val="209"/>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75,824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89,584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234,750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258,985</w:t>
            </w:r>
          </w:p>
        </w:tc>
        <w:tc>
          <w:tcPr>
            <w:tcW w:w="60" w:type="dxa"/>
            <w:vAlign w:val="bottom"/>
            <w:tcBorders>
              <w:bottom w:val="single" w:sz="8" w:color="CCEEFF"/>
            </w:tcBorders>
          </w:tcPr>
          <w:p>
            <w:pPr>
              <w:spacing w:after="0"/>
              <w:rPr>
                <w:sz w:val="18"/>
                <w:szCs w:val="18"/>
                <w:color w:val="auto"/>
              </w:rPr>
            </w:pPr>
          </w:p>
        </w:tc>
      </w:tr>
      <w:tr>
        <w:trPr>
          <w:trHeight w:val="210"/>
        </w:trPr>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39,143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59,855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48,943</w:t>
            </w:r>
          </w:p>
        </w:tc>
        <w:tc>
          <w:tcPr>
            <w:tcW w:w="60" w:type="dxa"/>
            <w:vAlign w:val="bottom"/>
            <w:shd w:val="clear" w:color="auto" w:fill="CCEEFF"/>
          </w:tcPr>
          <w:p>
            <w:pPr>
              <w:spacing w:after="0"/>
              <w:rPr>
                <w:sz w:val="18"/>
                <w:szCs w:val="18"/>
                <w:color w:val="auto"/>
              </w:rPr>
            </w:pP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1,194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(843)</w:t>
            </w:r>
          </w:p>
        </w:tc>
      </w:tr>
      <w:tr>
        <w:trPr>
          <w:trHeight w:val="209"/>
        </w:trPr>
        <w:tc>
          <w:tcPr>
            <w:tcW w:w="52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48,176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38,936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61,049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1,544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(10,836)</w:t>
            </w:r>
          </w:p>
        </w:tc>
      </w:tr>
      <w:tr>
        <w:trPr>
          <w:trHeight w:val="210"/>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40,132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36,834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59,505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58,936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299" w:firstLine="648"/>
        <w:spacing w:after="0" w:line="277" w:lineRule="auto"/>
        <w:rPr>
          <w:sz w:val="20"/>
          <w:szCs w:val="20"/>
          <w:color w:val="auto"/>
        </w:rPr>
      </w:pPr>
      <w:r>
        <w:rPr>
          <w:rFonts w:ascii="Arial" w:cs="Arial" w:eastAsia="Arial" w:hAnsi="Arial"/>
          <w:sz w:val="18"/>
          <w:szCs w:val="18"/>
          <w:color w:val="auto"/>
        </w:rPr>
        <w:t>The following table sets forth our statements of operations data as a percentage of total revenues for each of the periods indicated.</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740" w:type="dxa"/>
            <w:vAlign w:val="bottom"/>
            <w:gridSpan w:val="4"/>
          </w:tcPr>
          <w:p>
            <w:pPr>
              <w:jc w:val="right"/>
              <w:ind w:right="250"/>
              <w:spacing w:after="0"/>
              <w:rPr>
                <w:sz w:val="20"/>
                <w:szCs w:val="20"/>
                <w:color w:val="auto"/>
              </w:rPr>
            </w:pPr>
            <w:r>
              <w:rPr>
                <w:rFonts w:ascii="Arial" w:cs="Arial" w:eastAsia="Arial" w:hAnsi="Arial"/>
                <w:sz w:val="14"/>
                <w:szCs w:val="14"/>
                <w:b w:val="1"/>
                <w:bCs w:val="1"/>
                <w:color w:val="auto"/>
                <w:w w:val="99"/>
              </w:rPr>
              <w:t>Three Months Ended</w:t>
            </w:r>
          </w:p>
        </w:tc>
        <w:tc>
          <w:tcPr>
            <w:tcW w:w="1700" w:type="dxa"/>
            <w:vAlign w:val="bottom"/>
            <w:gridSpan w:val="4"/>
          </w:tcPr>
          <w:p>
            <w:pPr>
              <w:jc w:val="right"/>
              <w:ind w:right="25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460" w:type="dxa"/>
            <w:vAlign w:val="bottom"/>
          </w:tcPr>
          <w:p>
            <w:pPr>
              <w:spacing w:after="0"/>
              <w:rPr>
                <w:sz w:val="14"/>
                <w:szCs w:val="14"/>
                <w:color w:val="auto"/>
              </w:rPr>
            </w:pPr>
          </w:p>
        </w:tc>
        <w:tc>
          <w:tcPr>
            <w:tcW w:w="1740" w:type="dxa"/>
            <w:vAlign w:val="bottom"/>
            <w:gridSpan w:val="4"/>
          </w:tcPr>
          <w:p>
            <w:pPr>
              <w:jc w:val="right"/>
              <w:ind w:right="610"/>
              <w:spacing w:after="0"/>
              <w:rPr>
                <w:sz w:val="20"/>
                <w:szCs w:val="20"/>
                <w:color w:val="auto"/>
              </w:rPr>
            </w:pPr>
            <w:r>
              <w:rPr>
                <w:rFonts w:ascii="Arial" w:cs="Arial" w:eastAsia="Arial" w:hAnsi="Arial"/>
                <w:sz w:val="14"/>
                <w:szCs w:val="14"/>
                <w:b w:val="1"/>
                <w:bCs w:val="1"/>
                <w:color w:val="auto"/>
              </w:rPr>
              <w:t>March 31,</w:t>
            </w:r>
          </w:p>
        </w:tc>
        <w:tc>
          <w:tcPr>
            <w:tcW w:w="1700" w:type="dxa"/>
            <w:vAlign w:val="bottom"/>
            <w:gridSpan w:val="4"/>
          </w:tcPr>
          <w:p>
            <w:pPr>
              <w:jc w:val="right"/>
              <w:ind w:right="57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546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r>
      <w:tr>
        <w:trPr>
          <w:trHeight w:val="21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Operations Data:</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460" w:type="dxa"/>
            <w:vAlign w:val="bottom"/>
          </w:tcPr>
          <w:p>
            <w:pPr>
              <w:ind w:left="20"/>
              <w:spacing w:after="0"/>
              <w:rPr>
                <w:sz w:val="20"/>
                <w:szCs w:val="20"/>
                <w:color w:val="auto"/>
              </w:rPr>
            </w:pPr>
            <w:r>
              <w:rPr>
                <w:rFonts w:ascii="Arial" w:cs="Arial" w:eastAsia="Arial" w:hAnsi="Arial"/>
                <w:sz w:val="18"/>
                <w:szCs w:val="18"/>
                <w:color w:val="auto"/>
              </w:rPr>
              <w:t>Revenues:</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Recurring and other revenue</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97 %</w:t>
            </w:r>
          </w:p>
        </w:tc>
        <w:tc>
          <w:tcPr>
            <w:tcW w:w="8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99 %</w:t>
            </w: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97 %</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99 %</w:t>
            </w:r>
          </w:p>
        </w:tc>
      </w:tr>
      <w:tr>
        <w:trPr>
          <w:trHeight w:val="216"/>
        </w:trPr>
        <w:tc>
          <w:tcPr>
            <w:tcW w:w="5460" w:type="dxa"/>
            <w:vAlign w:val="bottom"/>
          </w:tcPr>
          <w:p>
            <w:pPr>
              <w:ind w:left="220"/>
              <w:spacing w:after="0"/>
              <w:rPr>
                <w:sz w:val="20"/>
                <w:szCs w:val="20"/>
                <w:color w:val="auto"/>
              </w:rPr>
            </w:pPr>
            <w:r>
              <w:rPr>
                <w:rFonts w:ascii="Arial" w:cs="Arial" w:eastAsia="Arial" w:hAnsi="Arial"/>
                <w:sz w:val="18"/>
                <w:szCs w:val="18"/>
                <w:color w:val="auto"/>
              </w:rPr>
              <w:t>Interest income on funds held for clients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880" w:type="dxa"/>
            <w:vAlign w:val="bottom"/>
            <w:gridSpan w:val="2"/>
          </w:tcPr>
          <w:p>
            <w:pPr>
              <w:jc w:val="right"/>
              <w:ind w:right="10"/>
              <w:spacing w:after="0"/>
              <w:rPr>
                <w:sz w:val="20"/>
                <w:szCs w:val="20"/>
                <w:color w:val="auto"/>
              </w:rPr>
            </w:pPr>
            <w:r>
              <w:rPr>
                <w:rFonts w:ascii="Arial" w:cs="Arial" w:eastAsia="Arial" w:hAnsi="Arial"/>
                <w:sz w:val="18"/>
                <w:szCs w:val="18"/>
                <w:color w:val="auto"/>
              </w:rPr>
              <w:t>1 %</w:t>
            </w: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3 %</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1 %</w:t>
            </w:r>
          </w:p>
        </w:tc>
      </w:tr>
      <w:tr>
        <w:trPr>
          <w:trHeight w:val="210"/>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5460" w:type="dxa"/>
            <w:vAlign w:val="bottom"/>
          </w:tcPr>
          <w:p>
            <w:pPr>
              <w:ind w:left="20"/>
              <w:spacing w:after="0"/>
              <w:rPr>
                <w:sz w:val="20"/>
                <w:szCs w:val="20"/>
                <w:color w:val="auto"/>
              </w:rPr>
            </w:pPr>
            <w:r>
              <w:rPr>
                <w:rFonts w:ascii="Arial" w:cs="Arial" w:eastAsia="Arial" w:hAnsi="Arial"/>
                <w:sz w:val="18"/>
                <w:szCs w:val="18"/>
                <w:color w:val="auto"/>
              </w:rPr>
              <w:t>Cost of revenues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28 %</w:t>
            </w:r>
          </w:p>
        </w:tc>
        <w:tc>
          <w:tcPr>
            <w:tcW w:w="880" w:type="dxa"/>
            <w:vAlign w:val="bottom"/>
            <w:gridSpan w:val="2"/>
          </w:tcPr>
          <w:p>
            <w:pPr>
              <w:jc w:val="right"/>
              <w:ind w:right="10"/>
              <w:spacing w:after="0"/>
              <w:rPr>
                <w:sz w:val="20"/>
                <w:szCs w:val="20"/>
                <w:color w:val="auto"/>
              </w:rPr>
            </w:pPr>
            <w:r>
              <w:rPr>
                <w:rFonts w:ascii="Arial" w:cs="Arial" w:eastAsia="Arial" w:hAnsi="Arial"/>
                <w:sz w:val="18"/>
                <w:szCs w:val="18"/>
                <w:color w:val="auto"/>
              </w:rPr>
              <w:t>31 %</w:t>
            </w: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32 %</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34 %</w:t>
            </w:r>
          </w:p>
        </w:tc>
      </w:tr>
      <w:tr>
        <w:trPr>
          <w:trHeight w:val="210"/>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0"/>
        </w:trPr>
        <w:tc>
          <w:tcPr>
            <w:tcW w:w="54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8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21 %</w:t>
            </w: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26 %</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16"/>
        </w:trPr>
        <w:tc>
          <w:tcPr>
            <w:tcW w:w="546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880" w:type="dxa"/>
            <w:vAlign w:val="bottom"/>
            <w:gridSpan w:val="2"/>
          </w:tcPr>
          <w:p>
            <w:pPr>
              <w:jc w:val="right"/>
              <w:ind w:right="10"/>
              <w:spacing w:after="0"/>
              <w:rPr>
                <w:sz w:val="20"/>
                <w:szCs w:val="20"/>
                <w:color w:val="auto"/>
              </w:rPr>
            </w:pPr>
            <w:r>
              <w:rPr>
                <w:rFonts w:ascii="Arial" w:cs="Arial" w:eastAsia="Arial" w:hAnsi="Arial"/>
                <w:sz w:val="18"/>
                <w:szCs w:val="18"/>
                <w:color w:val="auto"/>
              </w:rPr>
              <w:t>10 %</w:t>
            </w: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10 %</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12 %</w:t>
            </w:r>
          </w:p>
        </w:tc>
      </w:tr>
      <w:tr>
        <w:trPr>
          <w:trHeight w:val="216"/>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8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17 %</w:t>
            </w: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18 %</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09"/>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6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87"/>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4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4"/>
              </w:rPr>
              <w:t>%</w:t>
            </w:r>
          </w:p>
        </w:tc>
      </w:tr>
      <w:tr>
        <w:trPr>
          <w:trHeight w:val="210"/>
        </w:trPr>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546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0 %</w:t>
            </w:r>
          </w:p>
        </w:tc>
        <w:tc>
          <w:tcPr>
            <w:tcW w:w="880" w:type="dxa"/>
            <w:vAlign w:val="bottom"/>
            <w:gridSpan w:val="2"/>
          </w:tcPr>
          <w:p>
            <w:pPr>
              <w:jc w:val="right"/>
              <w:ind w:right="10"/>
              <w:spacing w:after="0"/>
              <w:rPr>
                <w:sz w:val="20"/>
                <w:szCs w:val="20"/>
                <w:color w:val="auto"/>
              </w:rPr>
            </w:pPr>
            <w:r>
              <w:rPr>
                <w:rFonts w:ascii="Arial" w:cs="Arial" w:eastAsia="Arial" w:hAnsi="Arial"/>
                <w:sz w:val="18"/>
                <w:szCs w:val="18"/>
                <w:color w:val="auto"/>
              </w:rPr>
              <w:t>0 %</w:t>
            </w: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0 %</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0 %</w:t>
            </w:r>
          </w:p>
        </w:tc>
      </w:tr>
      <w:tr>
        <w:trPr>
          <w:trHeight w:val="209"/>
        </w:trPr>
        <w:tc>
          <w:tcPr>
            <w:tcW w:w="54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Income before income taxes</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546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880" w:type="dxa"/>
            <w:vAlign w:val="bottom"/>
            <w:gridSpan w:val="2"/>
          </w:tcPr>
          <w:p>
            <w:pPr>
              <w:jc w:val="right"/>
              <w:ind w:right="10"/>
              <w:spacing w:after="0"/>
              <w:rPr>
                <w:sz w:val="20"/>
                <w:szCs w:val="20"/>
                <w:color w:val="auto"/>
              </w:rPr>
            </w:pPr>
            <w:r>
              <w:rPr>
                <w:rFonts w:ascii="Arial" w:cs="Arial" w:eastAsia="Arial" w:hAnsi="Arial"/>
                <w:sz w:val="18"/>
                <w:szCs w:val="18"/>
                <w:color w:val="auto"/>
              </w:rPr>
              <w:t>1 %</w:t>
            </w: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0 %</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0"/>
        </w:trPr>
        <w:tc>
          <w:tcPr>
            <w:tcW w:w="5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54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Comparison of Three Months Ended March 31, 2020 and 2021</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in thousands)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4"/>
          </w:tcPr>
          <w:p>
            <w:pPr>
              <w:jc w:val="center"/>
              <w:ind w:right="35"/>
              <w:spacing w:after="0"/>
              <w:rPr>
                <w:sz w:val="20"/>
                <w:szCs w:val="20"/>
                <w:color w:val="auto"/>
              </w:rPr>
            </w:pPr>
            <w:r>
              <w:rPr>
                <w:rFonts w:ascii="Arial" w:cs="Arial" w:eastAsia="Arial" w:hAnsi="Arial"/>
                <w:sz w:val="14"/>
                <w:szCs w:val="14"/>
                <w:b w:val="1"/>
                <w:bCs w:val="1"/>
                <w:color w:val="auto"/>
                <w:w w:val="95"/>
              </w:rPr>
              <w:t>Three Months Ended</w:t>
            </w:r>
          </w:p>
        </w:tc>
        <w:tc>
          <w:tcPr>
            <w:tcW w:w="300" w:type="dxa"/>
            <w:vAlign w:val="bottom"/>
          </w:tcPr>
          <w:p>
            <w:pPr>
              <w:spacing w:after="0"/>
              <w:rPr>
                <w:sz w:val="14"/>
                <w:szCs w:val="14"/>
                <w:color w:val="auto"/>
              </w:rPr>
            </w:pPr>
          </w:p>
        </w:tc>
        <w:tc>
          <w:tcPr>
            <w:tcW w:w="90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w w:val="97"/>
              </w:rPr>
              <w:t>Change</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ind w:left="338"/>
              <w:spacing w:after="0"/>
              <w:rPr>
                <w:sz w:val="20"/>
                <w:szCs w:val="20"/>
                <w:color w:val="auto"/>
              </w:rPr>
            </w:pPr>
            <w:r>
              <w:rPr>
                <w:rFonts w:ascii="Arial" w:cs="Arial" w:eastAsia="Arial" w:hAnsi="Arial"/>
                <w:sz w:val="14"/>
                <w:szCs w:val="14"/>
                <w:b w:val="1"/>
                <w:bCs w:val="1"/>
                <w:color w:val="auto"/>
                <w:w w:val="99"/>
              </w:rPr>
              <w:t>March 31,</w:t>
            </w:r>
          </w:p>
        </w:tc>
        <w:tc>
          <w:tcPr>
            <w:tcW w:w="5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Borders>
              <w:bottom w:val="single" w:sz="8" w:color="auto"/>
            </w:tcBorders>
            <w:gridSpan w:val="3"/>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w w:val="96"/>
              </w:rPr>
              <w:t>2021</w:t>
            </w:r>
          </w:p>
        </w:tc>
        <w:tc>
          <w:tcPr>
            <w:tcW w:w="30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Recurring and other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167,095</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$ 184,927</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96"/>
              </w:rPr>
              <w:t>$ 17,832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5480" w:type="dxa"/>
            <w:vAlign w:val="bottom"/>
          </w:tcPr>
          <w:p>
            <w:pPr>
              <w:ind w:left="220"/>
              <w:spacing w:after="0"/>
              <w:rPr>
                <w:sz w:val="20"/>
                <w:szCs w:val="20"/>
                <w:color w:val="auto"/>
              </w:rPr>
            </w:pPr>
            <w:r>
              <w:rPr>
                <w:rFonts w:ascii="Arial" w:cs="Arial" w:eastAsia="Arial" w:hAnsi="Arial"/>
                <w:sz w:val="18"/>
                <w:szCs w:val="18"/>
                <w:color w:val="auto"/>
              </w:rPr>
              <w:t>Percentage of total revenues</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w w:val="87"/>
              </w:rPr>
              <w:t>%</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on funds held for clients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4,551</w:t>
            </w:r>
          </w:p>
        </w:tc>
        <w:tc>
          <w:tcPr>
            <w:tcW w:w="4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11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 (3,425)</w:t>
            </w: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(75)%</w:t>
            </w:r>
          </w:p>
        </w:tc>
        <w:tc>
          <w:tcPr>
            <w:tcW w:w="0" w:type="dxa"/>
            <w:vAlign w:val="bottom"/>
          </w:tcPr>
          <w:p>
            <w:pPr>
              <w:spacing w:after="0"/>
              <w:rPr>
                <w:sz w:val="1"/>
                <w:szCs w:val="1"/>
                <w:color w:val="auto"/>
              </w:rPr>
            </w:pPr>
          </w:p>
        </w:tc>
      </w:tr>
      <w:tr>
        <w:trPr>
          <w:trHeight w:val="230"/>
        </w:trPr>
        <w:tc>
          <w:tcPr>
            <w:tcW w:w="5480" w:type="dxa"/>
            <w:vAlign w:val="bottom"/>
          </w:tcPr>
          <w:p>
            <w:pPr>
              <w:ind w:left="220"/>
              <w:spacing w:after="0"/>
              <w:rPr>
                <w:sz w:val="20"/>
                <w:szCs w:val="20"/>
                <w:color w:val="auto"/>
              </w:rPr>
            </w:pPr>
            <w:r>
              <w:rPr>
                <w:rFonts w:ascii="Arial" w:cs="Arial" w:eastAsia="Arial" w:hAnsi="Arial"/>
                <w:sz w:val="18"/>
                <w:szCs w:val="18"/>
                <w:color w:val="auto"/>
              </w:rPr>
              <w:t>Percentage of total revenues</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w w:val="87"/>
              </w:rPr>
              <w:t>%</w:t>
            </w: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Recurring and other revenue</w:t>
      </w:r>
    </w:p>
    <w:p>
      <w:pPr>
        <w:spacing w:after="0" w:line="225" w:lineRule="exact"/>
        <w:rPr>
          <w:sz w:val="20"/>
          <w:szCs w:val="20"/>
          <w:color w:val="auto"/>
        </w:rPr>
      </w:pPr>
    </w:p>
    <w:p>
      <w:pPr>
        <w:ind w:left="60" w:right="380" w:firstLine="648"/>
        <w:spacing w:after="0" w:line="259" w:lineRule="auto"/>
        <w:rPr>
          <w:sz w:val="20"/>
          <w:szCs w:val="20"/>
          <w:color w:val="auto"/>
        </w:rPr>
      </w:pPr>
      <w:r>
        <w:rPr>
          <w:rFonts w:ascii="Arial" w:cs="Arial" w:eastAsia="Arial" w:hAnsi="Arial"/>
          <w:sz w:val="18"/>
          <w:szCs w:val="18"/>
          <w:color w:val="auto"/>
        </w:rPr>
        <w:t>Recurring and other revenue for the three months ended March 31, 2021 increased by $17.8 million, or 11%, to $184.9 million from $167.1 million for three months ended March 31, 2020. Recurring and other revenue increased primarily as a result of incremental revenues from new and existing clients, partially offset by a reduction in client employee counts on our platform due to the ongoing impact from COVID-19.</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Income on Funds Held for Clients</w:t>
      </w:r>
    </w:p>
    <w:p>
      <w:pPr>
        <w:spacing w:after="0" w:line="225" w:lineRule="exact"/>
        <w:rPr>
          <w:sz w:val="20"/>
          <w:szCs w:val="20"/>
          <w:color w:val="auto"/>
        </w:rPr>
      </w:pPr>
    </w:p>
    <w:p>
      <w:pPr>
        <w:ind w:left="60" w:right="180" w:firstLine="648"/>
        <w:spacing w:after="0" w:line="275" w:lineRule="auto"/>
        <w:rPr>
          <w:sz w:val="20"/>
          <w:szCs w:val="20"/>
          <w:color w:val="auto"/>
        </w:rPr>
      </w:pPr>
      <w:r>
        <w:rPr>
          <w:rFonts w:ascii="Arial" w:cs="Arial" w:eastAsia="Arial" w:hAnsi="Arial"/>
          <w:sz w:val="17"/>
          <w:szCs w:val="17"/>
          <w:color w:val="auto"/>
        </w:rPr>
        <w:t>Interest income on funds held for clients for the three months ended March 31, 2021 decreased by $3.4 million, or 75% to $1.1 million from $4.6 million for the three months ended March 31, 2020. Interest income on funds held for clients decreased primarily as a result of lower average interest rates due to the interest rate cuts by the Federal Reserve in response to the COVID-19 pandemic. The impact from the reduction in interest rates was partially offset by higher average daily balances for funds held due to the addition of new clients to our client base.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in thousands)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7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340" w:type="dxa"/>
            <w:vAlign w:val="bottom"/>
          </w:tcPr>
          <w:p>
            <w:pPr>
              <w:spacing w:after="0"/>
              <w:rPr>
                <w:sz w:val="14"/>
                <w:szCs w:val="14"/>
                <w:color w:val="auto"/>
              </w:rPr>
            </w:pPr>
          </w:p>
        </w:tc>
        <w:tc>
          <w:tcPr>
            <w:tcW w:w="88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w w:val="93"/>
              </w:rPr>
              <w:t>Change</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1200" w:type="dxa"/>
            <w:vAlign w:val="bottom"/>
            <w:tcBorders>
              <w:bottom w:val="single" w:sz="8" w:color="auto"/>
            </w:tcBorders>
            <w:gridSpan w:val="3"/>
          </w:tcPr>
          <w:p>
            <w:pPr>
              <w:jc w:val="center"/>
              <w:ind w:left="419"/>
              <w:spacing w:after="0"/>
              <w:rPr>
                <w:sz w:val="20"/>
                <w:szCs w:val="20"/>
                <w:color w:val="auto"/>
              </w:rPr>
            </w:pPr>
            <w:r>
              <w:rPr>
                <w:rFonts w:ascii="Arial" w:cs="Arial" w:eastAsia="Arial" w:hAnsi="Arial"/>
                <w:sz w:val="14"/>
                <w:szCs w:val="14"/>
                <w:b w:val="1"/>
                <w:bCs w:val="1"/>
                <w:color w:val="auto"/>
                <w:w w:val="95"/>
              </w:rPr>
              <w:t>March 31,</w:t>
            </w:r>
          </w:p>
        </w:tc>
        <w:tc>
          <w:tcPr>
            <w:tcW w:w="5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Borders>
              <w:bottom w:val="single" w:sz="8" w:color="auto"/>
            </w:tcBorders>
            <w:gridSpan w:val="3"/>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8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425"/>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$ 48,081</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$ 57,326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$ 9,245</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16"/>
        </w:trPr>
        <w:tc>
          <w:tcPr>
            <w:tcW w:w="5480" w:type="dxa"/>
            <w:vAlign w:val="bottom"/>
          </w:tcPr>
          <w:p>
            <w:pPr>
              <w:ind w:left="220"/>
              <w:spacing w:after="0"/>
              <w:rPr>
                <w:sz w:val="20"/>
                <w:szCs w:val="20"/>
                <w:color w:val="auto"/>
              </w:rPr>
            </w:pPr>
            <w:r>
              <w:rPr>
                <w:rFonts w:ascii="Arial" w:cs="Arial" w:eastAsia="Arial" w:hAnsi="Arial"/>
                <w:sz w:val="18"/>
                <w:szCs w:val="18"/>
                <w:color w:val="auto"/>
              </w:rPr>
              <w:t>Percentage of total revenue</w:t>
            </w:r>
          </w:p>
        </w:tc>
        <w:tc>
          <w:tcPr>
            <w:tcW w:w="700" w:type="dxa"/>
            <w:vAlign w:val="bottom"/>
          </w:tcPr>
          <w:p>
            <w:pPr>
              <w:jc w:val="right"/>
              <w:spacing w:after="0"/>
              <w:rPr>
                <w:sz w:val="20"/>
                <w:szCs w:val="20"/>
                <w:color w:val="auto"/>
              </w:rPr>
            </w:pPr>
            <w:r>
              <w:rPr>
                <w:rFonts w:ascii="Arial" w:cs="Arial" w:eastAsia="Arial" w:hAnsi="Arial"/>
                <w:sz w:val="18"/>
                <w:szCs w:val="18"/>
                <w:color w:val="auto"/>
              </w:rPr>
              <w:t>28</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w w:val="74"/>
              </w:rPr>
              <w:t>%</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w w:val="74"/>
              </w:rPr>
              <w:t>%</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10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72 %</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69 %</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ind w:left="60" w:right="240" w:firstLine="648"/>
        <w:spacing w:after="0" w:line="257" w:lineRule="auto"/>
        <w:rPr>
          <w:sz w:val="20"/>
          <w:szCs w:val="20"/>
          <w:color w:val="auto"/>
        </w:rPr>
      </w:pPr>
      <w:r>
        <w:rPr>
          <w:rFonts w:ascii="Arial" w:cs="Arial" w:eastAsia="Arial" w:hAnsi="Arial"/>
          <w:sz w:val="18"/>
          <w:szCs w:val="18"/>
          <w:color w:val="auto"/>
        </w:rPr>
        <w:t>Cost of revenues for the three months ended March 31, 2021 increased by $9.2 million, or 19%, to $57.3 million from $48.1 million for the three months ended March 31, 2020. Cost of revenues increased primarily as a result of the continued growth of our business, in particular, $6.6 million in additional employee-related costs resulting from additional personnel necessary to provide services to new and existing clients and $1.1 million in increased internal-use software amortization.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in thousands)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and Marketing</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208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w w:val="93"/>
              </w:rPr>
              <w:t>Change</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208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March 31,</w:t>
            </w:r>
          </w:p>
        </w:tc>
        <w:tc>
          <w:tcPr>
            <w:tcW w:w="88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4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425"/>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w w:val="88"/>
              </w:rPr>
              <w:t>$ 37,801</w:t>
            </w: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$ 40,055</w:t>
            </w: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$ 2,254</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Percentage of total revenues</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22 %</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21 %</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ectPr>
          <w:pgSz w:w="11900" w:h="16838" w:orient="portrait"/>
          <w:cols w:equalWidth="0" w:num="1">
            <w:col w:w="9100"/>
          </w:cols>
          <w:pgMar w:left="1440" w:top="517" w:right="1359" w:bottom="1440" w:gutter="0" w:footer="0" w:header="0"/>
        </w:sectPr>
      </w:pPr>
    </w:p>
    <w:p>
      <w:pPr>
        <w:jc w:val="center"/>
        <w:ind w:right="8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100"/>
          </w:cols>
          <w:pgMar w:left="1440" w:top="517" w:right="1359"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Sales and marketing expenses for the three months ended March 31, 2021 increased by $2.3 million, or 6%, to</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$40.1 million from $37.8 million for the three months ended March 31, 2020. The increase in sales and marketing expense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was primarily the result of additional employee-related costs, including those incurred to expand our sales team, partially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offset by reduced overall spending on travel and entertainment.</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208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w w:val="93"/>
              </w:rPr>
              <w:t>Change</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208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March 31,</w:t>
            </w:r>
          </w:p>
        </w:tc>
        <w:tc>
          <w:tcPr>
            <w:tcW w:w="88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4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425"/>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w w:val="88"/>
              </w:rPr>
              <w:t>$ 15,612</w:t>
            </w: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$ 18,458</w:t>
            </w: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$ 2,846</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Percentage of total revenues</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9 %</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10 %</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340" w:firstLine="648"/>
        <w:spacing w:after="0" w:line="259" w:lineRule="auto"/>
        <w:rPr>
          <w:sz w:val="20"/>
          <w:szCs w:val="20"/>
          <w:color w:val="auto"/>
        </w:rPr>
      </w:pPr>
      <w:r>
        <w:rPr>
          <w:rFonts w:ascii="Arial" w:cs="Arial" w:eastAsia="Arial" w:hAnsi="Arial"/>
          <w:sz w:val="18"/>
          <w:szCs w:val="18"/>
          <w:color w:val="auto"/>
        </w:rPr>
        <w:t>Research and development expenses for the three months ended March 31, 2021 increased by $2.8 million, or 18%, to $18.5 million from $15.6 million for the three months ended March 31, 2020. The increase in research and development expenses was primarily the result of $2.7 million of additional employee-related costs related to additional development personnel.</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208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w w:val="93"/>
              </w:rPr>
              <w:t>Change</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208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March 31,</w:t>
            </w:r>
          </w:p>
        </w:tc>
        <w:tc>
          <w:tcPr>
            <w:tcW w:w="88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8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425"/>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$ 22,411</w:t>
            </w:r>
          </w:p>
        </w:tc>
        <w:tc>
          <w:tcPr>
            <w:tcW w:w="3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$ 31,071</w:t>
            </w: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$ 8,660</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Percentage of total revenues</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13 %</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17 %</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60" w:firstLine="648"/>
        <w:spacing w:after="0" w:line="254" w:lineRule="auto"/>
        <w:rPr>
          <w:sz w:val="20"/>
          <w:szCs w:val="20"/>
          <w:color w:val="auto"/>
        </w:rPr>
      </w:pPr>
      <w:r>
        <w:rPr>
          <w:rFonts w:ascii="Arial" w:cs="Arial" w:eastAsia="Arial" w:hAnsi="Arial"/>
          <w:sz w:val="18"/>
          <w:szCs w:val="18"/>
          <w:color w:val="auto"/>
        </w:rPr>
        <w:t>General and administrative expenses for the three months ended March 31, 2021 increased by $8.7 million, or 39%, to $31.1 million from $22.4 million for the three months ended March 31, 2020. The increase in general and administrative expense was primarily the result of an increase in stock-based compensation costs associated with our equity incentive plan of $4.7 million and $3.0 million in additional employee-related costs. Stock-based compensation expense for the three months ended March 31, 2021 was higher than the three months ended March 31, 2020 due to the impact of COVID-19 on performance targets starting from the third quarter of fiscal 2020 and the modification of certain performance awards during the first quarter of fiscal 2021. Refer to Note 9 of the Unaudited Consolidated Financial Statements for further details.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 (Expense)</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9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5"/>
              </w:rPr>
              <w:t>Three Months Ended</w:t>
            </w:r>
          </w:p>
        </w:tc>
        <w:tc>
          <w:tcPr>
            <w:tcW w:w="880" w:type="dxa"/>
            <w:vAlign w:val="bottom"/>
            <w:gridSpan w:val="3"/>
            <w:vMerge w:val="restart"/>
          </w:tcPr>
          <w:p>
            <w:pPr>
              <w:ind w:left="400"/>
              <w:spacing w:after="0"/>
              <w:rPr>
                <w:sz w:val="20"/>
                <w:szCs w:val="20"/>
                <w:color w:val="auto"/>
              </w:rPr>
            </w:pPr>
            <w:r>
              <w:rPr>
                <w:rFonts w:ascii="Arial" w:cs="Arial" w:eastAsia="Arial" w:hAnsi="Arial"/>
                <w:sz w:val="14"/>
                <w:szCs w:val="14"/>
                <w:b w:val="1"/>
                <w:bCs w:val="1"/>
                <w:color w:val="auto"/>
                <w:w w:val="89"/>
              </w:rPr>
              <w:t>Change</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00" w:type="dxa"/>
            <w:vAlign w:val="bottom"/>
          </w:tcPr>
          <w:p>
            <w:pPr>
              <w:spacing w:after="0"/>
              <w:rPr>
                <w:sz w:val="14"/>
                <w:szCs w:val="14"/>
                <w:color w:val="auto"/>
              </w:rPr>
            </w:pPr>
          </w:p>
        </w:tc>
        <w:tc>
          <w:tcPr>
            <w:tcW w:w="1120" w:type="dxa"/>
            <w:vAlign w:val="bottom"/>
            <w:tcBorders>
              <w:bottom w:val="single" w:sz="8" w:color="auto"/>
            </w:tcBorders>
            <w:gridSpan w:val="3"/>
          </w:tcPr>
          <w:p>
            <w:pPr>
              <w:jc w:val="center"/>
              <w:ind w:left="361"/>
              <w:spacing w:after="0"/>
              <w:rPr>
                <w:sz w:val="20"/>
                <w:szCs w:val="20"/>
                <w:color w:val="auto"/>
              </w:rPr>
            </w:pPr>
            <w:r>
              <w:rPr>
                <w:rFonts w:ascii="Arial" w:cs="Arial" w:eastAsia="Arial" w:hAnsi="Arial"/>
                <w:sz w:val="14"/>
                <w:szCs w:val="14"/>
                <w:b w:val="1"/>
                <w:bCs w:val="1"/>
                <w:color w:val="auto"/>
                <w:w w:val="99"/>
              </w:rPr>
              <w:t>March 31,</w:t>
            </w:r>
          </w:p>
        </w:tc>
        <w:tc>
          <w:tcPr>
            <w:tcW w:w="4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Borders>
              <w:bottom w:val="single" w:sz="8" w:color="auto"/>
            </w:tcBorders>
            <w:gridSpan w:val="3"/>
            <w:vMerge w:val="continue"/>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0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2021</w:t>
            </w:r>
          </w:p>
        </w:tc>
        <w:tc>
          <w:tcPr>
            <w:tcW w:w="3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  435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(642)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Percentage of total revenues</w:t>
            </w:r>
          </w:p>
        </w:tc>
        <w:tc>
          <w:tcPr>
            <w:tcW w:w="620" w:type="dxa"/>
            <w:vAlign w:val="bottom"/>
          </w:tcPr>
          <w:p>
            <w:pPr>
              <w:jc w:val="right"/>
              <w:ind w:right="1"/>
              <w:spacing w:after="0"/>
              <w:rPr>
                <w:sz w:val="20"/>
                <w:szCs w:val="20"/>
                <w:color w:val="auto"/>
              </w:rPr>
            </w:pPr>
            <w:r>
              <w:rPr>
                <w:rFonts w:ascii="Arial" w:cs="Arial" w:eastAsia="Arial" w:hAnsi="Arial"/>
                <w:sz w:val="18"/>
                <w:szCs w:val="18"/>
                <w:color w:val="auto"/>
              </w:rPr>
              <w:t>0</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w w:val="74"/>
              </w:rPr>
              <w:t>%</w:t>
            </w:r>
          </w:p>
        </w:tc>
        <w:tc>
          <w:tcPr>
            <w:tcW w:w="14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0 %</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160" w:firstLine="648"/>
        <w:spacing w:after="0" w:line="277" w:lineRule="auto"/>
        <w:rPr>
          <w:sz w:val="20"/>
          <w:szCs w:val="20"/>
          <w:color w:val="auto"/>
        </w:rPr>
      </w:pPr>
      <w:r>
        <w:rPr>
          <w:rFonts w:ascii="Arial" w:cs="Arial" w:eastAsia="Arial" w:hAnsi="Arial"/>
          <w:sz w:val="18"/>
          <w:szCs w:val="18"/>
          <w:color w:val="auto"/>
        </w:rPr>
        <w:t>Other income (expense) did not materially change for the three months ended March 31, 2021 as compared to the three months ended March 31, 2020.</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left="60" w:right="160" w:firstLine="648"/>
        <w:spacing w:after="0" w:line="259" w:lineRule="auto"/>
        <w:rPr>
          <w:sz w:val="20"/>
          <w:szCs w:val="20"/>
          <w:color w:val="auto"/>
        </w:rPr>
      </w:pPr>
      <w:r>
        <w:rPr>
          <w:rFonts w:ascii="Arial" w:cs="Arial" w:eastAsia="Arial" w:hAnsi="Arial"/>
          <w:sz w:val="18"/>
          <w:szCs w:val="18"/>
          <w:color w:val="auto"/>
        </w:rPr>
        <w:t>Our effective tax rate was 16.7% and 5.4% for the three months ended March 31, 2020 and 2021, respectively. Our effective tax rate for the three months ended March 31, 2020 and March 31, 2021 was lower than the federal statutory rate of 21% primarily due to excess tax benefits from employee stock-based compensation and research and development tax credits.</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20"/>
          </w:cols>
          <w:pgMar w:left="1440" w:top="517" w:right="1439"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Comparison of Nine Months Ended March 31, 2020 and 2021</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in thousands)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4"/>
          </w:tcPr>
          <w:p>
            <w:pPr>
              <w:jc w:val="center"/>
              <w:ind w:right="15"/>
              <w:spacing w:after="0"/>
              <w:rPr>
                <w:sz w:val="20"/>
                <w:szCs w:val="20"/>
                <w:color w:val="auto"/>
              </w:rPr>
            </w:pPr>
            <w:r>
              <w:rPr>
                <w:rFonts w:ascii="Arial" w:cs="Arial" w:eastAsia="Arial" w:hAnsi="Arial"/>
                <w:sz w:val="14"/>
                <w:szCs w:val="14"/>
                <w:b w:val="1"/>
                <w:bCs w:val="1"/>
                <w:color w:val="auto"/>
                <w:w w:val="93"/>
              </w:rPr>
              <w:t>Nine Months Ended</w:t>
            </w:r>
          </w:p>
        </w:tc>
        <w:tc>
          <w:tcPr>
            <w:tcW w:w="260" w:type="dxa"/>
            <w:vAlign w:val="bottom"/>
          </w:tcPr>
          <w:p>
            <w:pPr>
              <w:spacing w:after="0"/>
              <w:rPr>
                <w:sz w:val="14"/>
                <w:szCs w:val="14"/>
                <w:color w:val="auto"/>
              </w:rPr>
            </w:pPr>
          </w:p>
        </w:tc>
        <w:tc>
          <w:tcPr>
            <w:tcW w:w="9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w w:val="89"/>
              </w:rPr>
              <w:t>Change</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ind w:left="358"/>
              <w:spacing w:after="0"/>
              <w:rPr>
                <w:sz w:val="20"/>
                <w:szCs w:val="20"/>
                <w:color w:val="auto"/>
              </w:rPr>
            </w:pPr>
            <w:r>
              <w:rPr>
                <w:rFonts w:ascii="Arial" w:cs="Arial" w:eastAsia="Arial" w:hAnsi="Arial"/>
                <w:sz w:val="14"/>
                <w:szCs w:val="14"/>
                <w:b w:val="1"/>
                <w:bCs w:val="1"/>
                <w:color w:val="auto"/>
                <w:w w:val="95"/>
              </w:rPr>
              <w:t>March 31,</w:t>
            </w: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Borders>
              <w:bottom w:val="single" w:sz="8" w:color="auto"/>
            </w:tcBorders>
            <w:gridSpan w:val="2"/>
            <w:vMerge w:val="continue"/>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ind w:right="262"/>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Recurring and other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416,948</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$ 465,195</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$ 48,247</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5360" w:type="dxa"/>
            <w:vAlign w:val="bottom"/>
          </w:tcPr>
          <w:p>
            <w:pPr>
              <w:ind w:left="220"/>
              <w:spacing w:after="0"/>
              <w:rPr>
                <w:sz w:val="20"/>
                <w:szCs w:val="20"/>
                <w:color w:val="auto"/>
              </w:rPr>
            </w:pPr>
            <w:r>
              <w:rPr>
                <w:rFonts w:ascii="Arial" w:cs="Arial" w:eastAsia="Arial" w:hAnsi="Arial"/>
                <w:sz w:val="18"/>
                <w:szCs w:val="18"/>
                <w:color w:val="auto"/>
              </w:rPr>
              <w:t>Percentage of total revenues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97</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on funds held for clients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13,792</w:t>
            </w:r>
          </w:p>
        </w:tc>
        <w:tc>
          <w:tcPr>
            <w:tcW w:w="4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2,981</w:t>
            </w:r>
          </w:p>
        </w:tc>
        <w:tc>
          <w:tcPr>
            <w:tcW w:w="11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 (10,811)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5360" w:type="dxa"/>
            <w:vAlign w:val="bottom"/>
          </w:tcPr>
          <w:p>
            <w:pPr>
              <w:ind w:left="220"/>
              <w:spacing w:after="0"/>
              <w:rPr>
                <w:sz w:val="20"/>
                <w:szCs w:val="20"/>
                <w:color w:val="auto"/>
              </w:rPr>
            </w:pPr>
            <w:r>
              <w:rPr>
                <w:rFonts w:ascii="Arial" w:cs="Arial" w:eastAsia="Arial" w:hAnsi="Arial"/>
                <w:sz w:val="18"/>
                <w:szCs w:val="18"/>
                <w:color w:val="auto"/>
              </w:rPr>
              <w:t>Percentage of total revenues</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Recurring and other revenue</w:t>
      </w:r>
    </w:p>
    <w:p>
      <w:pPr>
        <w:spacing w:after="0" w:line="225" w:lineRule="exact"/>
        <w:rPr>
          <w:sz w:val="20"/>
          <w:szCs w:val="20"/>
          <w:color w:val="auto"/>
        </w:rPr>
      </w:pPr>
    </w:p>
    <w:p>
      <w:pPr>
        <w:ind w:left="60" w:right="339" w:firstLine="648"/>
        <w:spacing w:after="0" w:line="259" w:lineRule="auto"/>
        <w:rPr>
          <w:sz w:val="20"/>
          <w:szCs w:val="20"/>
          <w:color w:val="auto"/>
        </w:rPr>
      </w:pPr>
      <w:r>
        <w:rPr>
          <w:rFonts w:ascii="Arial" w:cs="Arial" w:eastAsia="Arial" w:hAnsi="Arial"/>
          <w:sz w:val="18"/>
          <w:szCs w:val="18"/>
          <w:color w:val="auto"/>
        </w:rPr>
        <w:t>Recurring and other revenue for the nine months ended March 31, 2021 increased by $48.2 million, or 12%, to $465.2 million from $416.9 million for the nine months ended March 31, 2020. Recurring and other revenue increased primarily as a result of incremental revenues from new and existing clients, partially offset by a reduction in client employee counts on our platform due to the ongoing impact from COVID-19.</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Income on Funds Held for Clients</w:t>
      </w:r>
    </w:p>
    <w:p>
      <w:pPr>
        <w:spacing w:after="0" w:line="225" w:lineRule="exact"/>
        <w:rPr>
          <w:sz w:val="20"/>
          <w:szCs w:val="20"/>
          <w:color w:val="auto"/>
        </w:rPr>
      </w:pPr>
    </w:p>
    <w:p>
      <w:pPr>
        <w:ind w:left="60" w:right="59" w:firstLine="648"/>
        <w:spacing w:after="0" w:line="275" w:lineRule="auto"/>
        <w:rPr>
          <w:sz w:val="20"/>
          <w:szCs w:val="20"/>
          <w:color w:val="auto"/>
        </w:rPr>
      </w:pPr>
      <w:r>
        <w:rPr>
          <w:rFonts w:ascii="Arial" w:cs="Arial" w:eastAsia="Arial" w:hAnsi="Arial"/>
          <w:sz w:val="17"/>
          <w:szCs w:val="17"/>
          <w:color w:val="auto"/>
        </w:rPr>
        <w:t>Interest income on funds held for clients for the nine months ended March 31, 2021 decreased by $10.8 million, or 78% to $3.0 million from $13.8 million for the nine months ended March 31, 2020. Interest income on funds held for clients decreased primarily as a result of lower average interest rates due to the interest rate cuts by the Federal Reserve in response to the COVID-19 pandemic. The impact from the reduction in interest rates was partially offset by higher average daily balances for funds held due to the addition of new clients to our client base.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in thousands)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600" w:type="dxa"/>
            <w:vAlign w:val="bottom"/>
            <w:gridSpan w:val="3"/>
          </w:tcPr>
          <w:p>
            <w:pPr>
              <w:jc w:val="center"/>
              <w:ind w:left="179"/>
              <w:spacing w:after="0"/>
              <w:rPr>
                <w:sz w:val="20"/>
                <w:szCs w:val="20"/>
                <w:color w:val="auto"/>
              </w:rPr>
            </w:pPr>
            <w:r>
              <w:rPr>
                <w:rFonts w:ascii="Arial" w:cs="Arial" w:eastAsia="Arial" w:hAnsi="Arial"/>
                <w:sz w:val="14"/>
                <w:szCs w:val="14"/>
                <w:b w:val="1"/>
                <w:bCs w:val="1"/>
                <w:color w:val="auto"/>
                <w:w w:val="93"/>
              </w:rPr>
              <w:t>Nine Months Ended</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3"/>
            <w:vMerge w:val="restart"/>
          </w:tcPr>
          <w:p>
            <w:pPr>
              <w:ind w:left="400"/>
              <w:spacing w:after="0"/>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1600" w:type="dxa"/>
            <w:vAlign w:val="bottom"/>
            <w:tcBorders>
              <w:bottom w:val="single" w:sz="8" w:color="auto"/>
            </w:tcBorders>
            <w:gridSpan w:val="3"/>
          </w:tcPr>
          <w:p>
            <w:pPr>
              <w:jc w:val="center"/>
              <w:ind w:left="139"/>
              <w:spacing w:after="0"/>
              <w:rPr>
                <w:sz w:val="20"/>
                <w:szCs w:val="20"/>
                <w:color w:val="auto"/>
              </w:rPr>
            </w:pPr>
            <w:r>
              <w:rPr>
                <w:rFonts w:ascii="Arial" w:cs="Arial" w:eastAsia="Arial" w:hAnsi="Arial"/>
                <w:sz w:val="14"/>
                <w:szCs w:val="14"/>
                <w:b w:val="1"/>
                <w:bCs w:val="1"/>
                <w:color w:val="auto"/>
                <w:w w:val="95"/>
              </w:rPr>
              <w:t>March 31,</w:t>
            </w:r>
          </w:p>
        </w:tc>
        <w:tc>
          <w:tcPr>
            <w:tcW w:w="2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Borders>
              <w:bottom w:val="single" w:sz="8" w:color="auto"/>
            </w:tcBorders>
            <w:gridSpan w:val="3"/>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00" w:type="dxa"/>
            <w:vAlign w:val="bottom"/>
          </w:tcPr>
          <w:p>
            <w:pPr>
              <w:spacing w:after="0"/>
              <w:rPr>
                <w:sz w:val="12"/>
                <w:szCs w:val="12"/>
                <w:color w:val="auto"/>
              </w:rPr>
            </w:pPr>
          </w:p>
        </w:tc>
        <w:tc>
          <w:tcPr>
            <w:tcW w:w="800" w:type="dxa"/>
            <w:vAlign w:val="bottom"/>
          </w:tcPr>
          <w:p>
            <w:pPr>
              <w:jc w:val="right"/>
              <w:ind w:right="159"/>
              <w:spacing w:after="0" w:line="142" w:lineRule="exact"/>
              <w:rPr>
                <w:sz w:val="20"/>
                <w:szCs w:val="20"/>
                <w:color w:val="auto"/>
              </w:rPr>
            </w:pPr>
            <w:r>
              <w:rPr>
                <w:rFonts w:ascii="Arial" w:cs="Arial" w:eastAsia="Arial" w:hAnsi="Arial"/>
                <w:sz w:val="14"/>
                <w:szCs w:val="14"/>
                <w:b w:val="1"/>
                <w:bCs w:val="1"/>
                <w:color w:val="auto"/>
              </w:rPr>
              <w:t>2020</w:t>
            </w:r>
          </w:p>
        </w:tc>
        <w:tc>
          <w:tcPr>
            <w:tcW w:w="8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jc w:val="right"/>
              <w:ind w:right="39"/>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$ 136,135</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$ 160,248</w:t>
            </w:r>
          </w:p>
        </w:tc>
        <w:tc>
          <w:tcPr>
            <w:tcW w:w="2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88"/>
              </w:rPr>
              <w:t>$ 24,113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400" w:type="dxa"/>
            <w:vAlign w:val="bottom"/>
          </w:tcPr>
          <w:p>
            <w:pPr>
              <w:ind w:left="220"/>
              <w:spacing w:after="0"/>
              <w:rPr>
                <w:sz w:val="20"/>
                <w:szCs w:val="20"/>
                <w:color w:val="auto"/>
              </w:rPr>
            </w:pPr>
            <w:r>
              <w:rPr>
                <w:rFonts w:ascii="Arial" w:cs="Arial" w:eastAsia="Arial" w:hAnsi="Arial"/>
                <w:sz w:val="18"/>
                <w:szCs w:val="18"/>
                <w:color w:val="auto"/>
              </w:rPr>
              <w:t>Percentage of total revenue</w:t>
            </w: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5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79"/>
              </w:rPr>
              <w:t>34</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5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2"/>
              </w:rPr>
              <w:t>66 %</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ind w:left="60" w:right="79" w:firstLine="648"/>
        <w:spacing w:after="0" w:line="296" w:lineRule="auto"/>
        <w:rPr>
          <w:sz w:val="20"/>
          <w:szCs w:val="20"/>
          <w:color w:val="auto"/>
        </w:rPr>
      </w:pPr>
      <w:r>
        <w:rPr>
          <w:rFonts w:ascii="Arial" w:cs="Arial" w:eastAsia="Arial" w:hAnsi="Arial"/>
          <w:sz w:val="16"/>
          <w:szCs w:val="16"/>
          <w:color w:val="auto"/>
        </w:rPr>
        <w:t>Cost of revenues for the nine months ended March 31, 2021 increased by $24.1 million, or 18%, to $160.2 million from $136.1 million for the nine months ended March 31, 2020. Cost of revenues increased primarily as a result of the continued growth of our business, in particular, $16.9 million in additional employee-related costs resulting from additional personnel necessary to provide services to new and existing clients, $3.2 million in increased internal-use software amortization and $1.7 million in additional stock-based compensation associated with our equity incentive plan.</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in thousands)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and Marketing</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220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Nine Months Ended</w:t>
            </w:r>
          </w:p>
        </w:tc>
        <w:tc>
          <w:tcPr>
            <w:tcW w:w="84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w w:val="93"/>
              </w:rPr>
              <w:t>Change</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220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March 31,</w:t>
            </w:r>
          </w:p>
        </w:tc>
        <w:tc>
          <w:tcPr>
            <w:tcW w:w="84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0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61"/>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425"/>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$ 112,051</w:t>
            </w: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$ 115,504</w:t>
            </w:r>
          </w:p>
        </w:tc>
        <w:tc>
          <w:tcPr>
            <w:tcW w:w="3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$ 3,453</w:t>
            </w: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18"/>
        </w:trPr>
        <w:tc>
          <w:tcPr>
            <w:tcW w:w="5400" w:type="dxa"/>
            <w:vAlign w:val="bottom"/>
          </w:tcPr>
          <w:p>
            <w:pPr>
              <w:ind w:left="20"/>
              <w:spacing w:after="0"/>
              <w:rPr>
                <w:sz w:val="20"/>
                <w:szCs w:val="20"/>
                <w:color w:val="auto"/>
              </w:rPr>
            </w:pPr>
            <w:r>
              <w:rPr>
                <w:rFonts w:ascii="Arial" w:cs="Arial" w:eastAsia="Arial" w:hAnsi="Arial"/>
                <w:sz w:val="18"/>
                <w:szCs w:val="18"/>
                <w:color w:val="auto"/>
              </w:rPr>
              <w:t>Percentage of total revenues</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26 %</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25 %</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019"/>
          </w:cols>
          <w:pgMar w:left="1440" w:top="517" w:right="1440" w:bottom="1440" w:gutter="0" w:footer="0" w:header="0"/>
        </w:sect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361950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firstLine="648"/>
        <w:spacing w:after="0" w:line="259" w:lineRule="auto"/>
        <w:rPr>
          <w:sz w:val="20"/>
          <w:szCs w:val="20"/>
          <w:color w:val="auto"/>
        </w:rPr>
      </w:pPr>
      <w:r>
        <w:rPr>
          <w:rFonts w:ascii="Arial" w:cs="Arial" w:eastAsia="Arial" w:hAnsi="Arial"/>
          <w:sz w:val="18"/>
          <w:szCs w:val="18"/>
          <w:color w:val="auto"/>
        </w:rPr>
        <w:t>Sales and marketing expenses for the nine months ended March 31, 2021 increased by $3.5 million, or 3%, to $115.5 million from $112.1 million for the nine months ended March 31, 2020. The increase in sales and marketing expense was primarily the result of additional employee-related costs, including those incurred to expand our sales team, partially offset by reduced overall spending on travel and entertainment.</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20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Nine Months Ended</w:t>
            </w:r>
          </w:p>
        </w:tc>
        <w:tc>
          <w:tcPr>
            <w:tcW w:w="96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rPr>
              <w:t>Change</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20" w:type="dxa"/>
            <w:vAlign w:val="bottom"/>
          </w:tcPr>
          <w:p>
            <w:pPr>
              <w:spacing w:after="0"/>
              <w:rPr>
                <w:sz w:val="14"/>
                <w:szCs w:val="14"/>
                <w:color w:val="auto"/>
              </w:rPr>
            </w:pPr>
          </w:p>
        </w:tc>
        <w:tc>
          <w:tcPr>
            <w:tcW w:w="202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March 31,</w:t>
            </w:r>
          </w:p>
        </w:tc>
        <w:tc>
          <w:tcPr>
            <w:tcW w:w="96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2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$ 45,416</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$ 56,443</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$ 11,027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Percentage of total revenues</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10 %</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12 %</w:t>
            </w: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139" w:firstLine="648"/>
        <w:spacing w:after="0" w:line="275" w:lineRule="auto"/>
        <w:rPr>
          <w:sz w:val="20"/>
          <w:szCs w:val="20"/>
          <w:color w:val="auto"/>
        </w:rPr>
      </w:pPr>
      <w:r>
        <w:rPr>
          <w:rFonts w:ascii="Arial" w:cs="Arial" w:eastAsia="Arial" w:hAnsi="Arial"/>
          <w:sz w:val="17"/>
          <w:szCs w:val="17"/>
          <w:color w:val="auto"/>
        </w:rPr>
        <w:t>Research and development expenses for the nine months ended March 31, 2021 increased by $11.0 million, or 24%, to $56.4 million from $45.4 million for the nine months ended March 31, 2020. The increase in research and development expenses was primarily the result of $10.5 million of additional employee-related costs related to additional development personnel and $2.7 million of additional stock-based compensation associated with our equity incentive plan, partially offset by higher period-over-period capitalized internal-use software costs of $2.7 million.</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20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w w:val="93"/>
              </w:rPr>
              <w:t>Change</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208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March 31,</w:t>
            </w:r>
          </w:p>
        </w:tc>
        <w:tc>
          <w:tcPr>
            <w:tcW w:w="88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4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425"/>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$ 77,283</w:t>
            </w:r>
          </w:p>
        </w:tc>
        <w:tc>
          <w:tcPr>
            <w:tcW w:w="3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$ 87,038</w:t>
            </w: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$ 9,755</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Percentage of total revenues</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18 %</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18 %</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119" w:firstLine="778"/>
        <w:spacing w:after="0" w:line="271" w:lineRule="auto"/>
        <w:rPr>
          <w:sz w:val="20"/>
          <w:szCs w:val="20"/>
          <w:color w:val="auto"/>
        </w:rPr>
      </w:pPr>
      <w:r>
        <w:rPr>
          <w:rFonts w:ascii="Arial" w:cs="Arial" w:eastAsia="Arial" w:hAnsi="Arial"/>
          <w:sz w:val="17"/>
          <w:szCs w:val="17"/>
          <w:color w:val="auto"/>
        </w:rPr>
        <w:t>General and administrative expenses for the nine months ended March 31, 2021 increased by $9.8 million, or 13%, to $87.0 million from $77.3 million for the nine months ended March 31, 2020. The increase in general and administrative expense was primarily the result of $7.3 million in additional stock-based compensation associated with our equity incentive plan, $1.1 million in additional amortization of acquired intangible assets and $1.1 million of increased occupancy costs. Stock-based compensation expense for the nine months ended March 31, 2021 was higher than the nine months ended March 31, 2020 due to the impact of COVID-19 on performance targets starting from the third quarter of fiscal 2020 and the modification of certain performance awards during the first quarter of fiscal 2021. Refer to Note 9 of the Unaudited Consolidated Financial Statements for further details.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 (Expense)</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920" w:type="dxa"/>
            <w:vAlign w:val="bottom"/>
            <w:gridSpan w:val="5"/>
          </w:tcPr>
          <w:p>
            <w:pPr>
              <w:ind w:left="160"/>
              <w:spacing w:after="0"/>
              <w:rPr>
                <w:sz w:val="20"/>
                <w:szCs w:val="20"/>
                <w:color w:val="auto"/>
              </w:rPr>
            </w:pPr>
            <w:r>
              <w:rPr>
                <w:rFonts w:ascii="Arial" w:cs="Arial" w:eastAsia="Arial" w:hAnsi="Arial"/>
                <w:sz w:val="14"/>
                <w:szCs w:val="14"/>
                <w:b w:val="1"/>
                <w:bCs w:val="1"/>
                <w:color w:val="auto"/>
              </w:rPr>
              <w:t>Nine Months Ended</w:t>
            </w:r>
          </w:p>
        </w:tc>
        <w:tc>
          <w:tcPr>
            <w:tcW w:w="92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w w:val="93"/>
              </w:rPr>
              <w:t>Change</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110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w w:val="99"/>
              </w:rPr>
              <w:t>March 31,</w:t>
            </w:r>
          </w:p>
        </w:tc>
        <w:tc>
          <w:tcPr>
            <w:tcW w:w="4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Borders>
              <w:bottom w:val="single" w:sz="8" w:color="auto"/>
            </w:tcBorders>
            <w:gridSpan w:val="3"/>
            <w:vMerge w:val="continue"/>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2021</w:t>
            </w:r>
          </w:p>
        </w:tc>
        <w:tc>
          <w:tcPr>
            <w:tcW w:w="3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425"/>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$ 1,194</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(843)</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 (2,037)</w:t>
            </w:r>
          </w:p>
        </w:tc>
        <w:tc>
          <w:tcPr>
            <w:tcW w:w="10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(171)%</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Percentage of total revenues</w:t>
            </w:r>
          </w:p>
        </w:tc>
        <w:tc>
          <w:tcPr>
            <w:tcW w:w="600" w:type="dxa"/>
            <w:vAlign w:val="bottom"/>
          </w:tcPr>
          <w:p>
            <w:pPr>
              <w:jc w:val="right"/>
              <w:spacing w:after="0"/>
              <w:rPr>
                <w:sz w:val="20"/>
                <w:szCs w:val="20"/>
                <w:color w:val="auto"/>
              </w:rPr>
            </w:pPr>
            <w:r>
              <w:rPr>
                <w:rFonts w:ascii="Arial" w:cs="Arial" w:eastAsia="Arial" w:hAnsi="Arial"/>
                <w:sz w:val="18"/>
                <w:szCs w:val="18"/>
                <w:color w:val="auto"/>
              </w:rPr>
              <w:t>0</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w w:val="87"/>
              </w:rPr>
              <w:t>%</w:t>
            </w:r>
          </w:p>
        </w:tc>
        <w:tc>
          <w:tcPr>
            <w:tcW w:w="14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0 %</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8"/>
          <w:szCs w:val="18"/>
          <w:color w:val="auto"/>
        </w:rPr>
        <w:t>Other income (expense) for the nine months ended March 31, 2021 decreased by $2.0 million as compared to the nine months ended March 31, 2020. The change in other income (expense) was primarily due to lower interest income earned on our cash and cash equivalents and corporate investments and increased interest expense related to our revolving credit facility.</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left="60" w:right="219" w:firstLine="648"/>
        <w:spacing w:after="0" w:line="279" w:lineRule="auto"/>
        <w:rPr>
          <w:sz w:val="20"/>
          <w:szCs w:val="20"/>
          <w:color w:val="auto"/>
        </w:rPr>
      </w:pPr>
      <w:r>
        <w:rPr>
          <w:rFonts w:ascii="Arial" w:cs="Arial" w:eastAsia="Arial" w:hAnsi="Arial"/>
          <w:sz w:val="17"/>
          <w:szCs w:val="17"/>
          <w:color w:val="auto"/>
        </w:rPr>
        <w:t>Our effective tax rate was 2.5% and (22.5)% for the nine months ended March 31, 2020 and 2021, respectively. Our effective tax rate for the nine months ended March 31, 2020 and March 31, 2021 was lower than the federal statutory rate of 21% primarily due to excess tax benefits from employee stock-based compensation and research and development tax credits, partially offset by an increase in valuation allowance.</w:t>
      </w:r>
    </w:p>
    <w:p>
      <w:pPr>
        <w:sectPr>
          <w:pgSz w:w="11900" w:h="16838" w:orient="portrait"/>
          <w:cols w:equalWidth="0" w:num="1">
            <w:col w:w="9019"/>
          </w:cols>
          <w:pgMar w:left="1440" w:top="517" w:right="1440" w:bottom="1440" w:gutter="0" w:footer="0" w:header="0"/>
        </w:sectPr>
      </w:pP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Quarterly Trends and Seasonality</w:t>
      </w:r>
    </w:p>
    <w:p>
      <w:pPr>
        <w:spacing w:after="0" w:line="229" w:lineRule="exact"/>
        <w:rPr>
          <w:sz w:val="20"/>
          <w:szCs w:val="20"/>
          <w:color w:val="auto"/>
        </w:rPr>
      </w:pPr>
    </w:p>
    <w:p>
      <w:pPr>
        <w:jc w:val="both"/>
        <w:ind w:left="60" w:right="79" w:firstLine="648"/>
        <w:spacing w:after="0" w:line="342" w:lineRule="auto"/>
        <w:rPr>
          <w:sz w:val="20"/>
          <w:szCs w:val="20"/>
          <w:color w:val="auto"/>
        </w:rPr>
      </w:pPr>
      <w:r>
        <w:rPr>
          <w:rFonts w:ascii="Arial" w:cs="Arial" w:eastAsia="Arial" w:hAnsi="Arial"/>
          <w:sz w:val="16"/>
          <w:szCs w:val="16"/>
          <w:color w:val="auto"/>
        </w:rPr>
        <w:t>Our overall operating results fluctuate from quarter to quarter as a result of a variety of factors, some of which are outside of our control. Our historical results should not be considered a reliable indicator of our future results of operations.</w:t>
      </w:r>
    </w:p>
    <w:p>
      <w:pPr>
        <w:spacing w:after="0" w:line="124" w:lineRule="exact"/>
        <w:rPr>
          <w:sz w:val="20"/>
          <w:szCs w:val="20"/>
          <w:color w:val="auto"/>
        </w:rPr>
      </w:pPr>
    </w:p>
    <w:p>
      <w:pPr>
        <w:ind w:left="60" w:right="59" w:firstLine="648"/>
        <w:spacing w:after="0" w:line="254" w:lineRule="auto"/>
        <w:rPr>
          <w:sz w:val="20"/>
          <w:szCs w:val="20"/>
          <w:color w:val="auto"/>
        </w:rPr>
      </w:pPr>
      <w:r>
        <w:rPr>
          <w:rFonts w:ascii="Arial" w:cs="Arial" w:eastAsia="Arial" w:hAnsi="Arial"/>
          <w:sz w:val="18"/>
          <w:szCs w:val="18"/>
          <w:color w:val="auto"/>
        </w:rPr>
        <w:t>We experience fluctuations in revenues and related costs on a seasonal basis, which are primarily seen in our fiscal third quarter, which ends on March 31 of each year. Specifically, our recurring revenue is positively impacted in our fiscal third quarter as a result of our preparation of W-2 documents for our clients’ employees in advance of tax filing requirements. The seasonal fluctuations in revenues also positively impact gross profits during our fiscal third quarter. Our historical results for our fiscal third quarter should not be considered a reliable indicator of our future results of operations. Our interest income earned on funds held for clients is also positively impacted during our fiscal third quarter as a result of our increased collection of funds held for clients. Certain payroll taxes are primarily collected during our fiscal third quarter and subsequently remitted.</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left="60" w:right="179" w:firstLine="648"/>
        <w:spacing w:after="0" w:line="270"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consolidated financial statements, which have been prepared in accordance with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amounts of revenue and expenses. In accordance with GAAP, we base our estimates on historical experience and on various other assumptions that we believe are reasonable under the circumstances. Actual results may differ from our estimates under different assumptions or conditions and, to the extent that there are differences between our estimates and actual results, our future financial statement presentation, financial condition, results of operations and cash flows will be affected.</w:t>
      </w:r>
    </w:p>
    <w:p>
      <w:pPr>
        <w:spacing w:after="0" w:line="181" w:lineRule="exact"/>
        <w:rPr>
          <w:sz w:val="20"/>
          <w:szCs w:val="20"/>
          <w:color w:val="auto"/>
        </w:rPr>
      </w:pPr>
    </w:p>
    <w:p>
      <w:pPr>
        <w:ind w:left="60" w:right="159" w:firstLine="648"/>
        <w:spacing w:after="0" w:line="272" w:lineRule="auto"/>
        <w:rPr>
          <w:sz w:val="20"/>
          <w:szCs w:val="20"/>
          <w:color w:val="auto"/>
        </w:rPr>
      </w:pPr>
      <w:r>
        <w:rPr>
          <w:rFonts w:ascii="Arial" w:cs="Arial" w:eastAsia="Arial" w:hAnsi="Arial"/>
          <w:sz w:val="17"/>
          <w:szCs w:val="17"/>
          <w:color w:val="auto"/>
        </w:rPr>
        <w:t>In March 2020, the World Health Organization declared the outbreak of COVID-19 as a pandemic which has caused a global slowdown of economic activity. The duration and severity of the COVID-19 pandemic, and the effect the pandemic will have on our clients and general economic conditions, remains uncertain and difficult to predict. Accounting estimates used in the preparation of these consolidated financial statements may change as new events occur, more experience and additional information is acquired, and the operating environment evolves including the ongoing impact of COVID-19. Refer to “Part I. Item 1A. Risk Factors” in our Annual Report on Form 10-K filed with the SEC on August 7, 2020 for risks related to the COVID-19 pandemic on its business and financial performance.</w:t>
      </w:r>
    </w:p>
    <w:p>
      <w:pPr>
        <w:spacing w:after="0" w:line="177" w:lineRule="exact"/>
        <w:rPr>
          <w:sz w:val="20"/>
          <w:szCs w:val="20"/>
          <w:color w:val="auto"/>
        </w:rPr>
      </w:pPr>
    </w:p>
    <w:p>
      <w:pPr>
        <w:ind w:left="60" w:right="99" w:firstLine="648"/>
        <w:spacing w:after="0" w:line="277" w:lineRule="auto"/>
        <w:rPr>
          <w:sz w:val="20"/>
          <w:szCs w:val="20"/>
          <w:color w:val="auto"/>
        </w:rPr>
      </w:pPr>
      <w:r>
        <w:rPr>
          <w:rFonts w:ascii="Arial" w:cs="Arial" w:eastAsia="Arial" w:hAnsi="Arial"/>
          <w:sz w:val="18"/>
          <w:szCs w:val="18"/>
          <w:color w:val="auto"/>
        </w:rPr>
        <w:t>Our critical accounting policies and use of estimates are disclosed in our audited consolidated financial statements for the year ended June 30, 2020 included in our Annual Report on Form 10-K.</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Our primary liquidity needs are related to the funding of general business requirements, including working capital requirements, research and development, and capital expenditures. As of March 31, 2021, our principal sources of liquidity were $175.5 million of cash and cash equivalents and $6.8 million of total corporate investments. In July 2019, we entered into and currently maintain a five-year revolving credit agreement. This credit agreement provides for a $250.0 million senior revolving credit facility which may be increased up to $375.0 million. In fiscal 2020, we borrowed $100.0 million under this credit facility, which we repaid in the third quarter of fiscal 2021. Refer to Note 8 of the Notes to the Unaudited Consolidated Financial Statements for additional detail on the credit agreement.</w:t>
      </w:r>
    </w:p>
    <w:p>
      <w:pPr>
        <w:spacing w:after="0" w:line="177"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8"/>
          <w:szCs w:val="18"/>
          <w:color w:val="auto"/>
        </w:rPr>
        <w:t>We invest portions of our excess cash and cash equivalents in highly liquid, investment-grade marketable securities. These investments consist of commercial paper, asset-backed debt securities, corporate debt issuances and U.S. Treasury securities with credit quality ratings of A-1 or higher. As of March 31, 2021, we had not recognized any credit impairment losses related to our investment portfolio.</w:t>
      </w:r>
    </w:p>
    <w:p>
      <w:pPr>
        <w:spacing w:after="0" w:line="187" w:lineRule="exact"/>
        <w:rPr>
          <w:sz w:val="20"/>
          <w:szCs w:val="20"/>
          <w:color w:val="auto"/>
        </w:rPr>
      </w:pPr>
    </w:p>
    <w:p>
      <w:pPr>
        <w:ind w:left="60" w:right="159" w:firstLine="648"/>
        <w:spacing w:after="0" w:line="287" w:lineRule="auto"/>
        <w:rPr>
          <w:sz w:val="20"/>
          <w:szCs w:val="20"/>
          <w:color w:val="auto"/>
        </w:rPr>
      </w:pPr>
      <w:r>
        <w:rPr>
          <w:rFonts w:ascii="Arial" w:cs="Arial" w:eastAsia="Arial" w:hAnsi="Arial"/>
          <w:sz w:val="16"/>
          <w:szCs w:val="16"/>
          <w:color w:val="auto"/>
        </w:rPr>
        <w:t>In order to grow our business, we intend to increase our personnel and related expenses and to make significant investments in our platform, data centers and general infrastructure. The timing and amount of these investments will vary based on our financial condition, the rate at which we add new clients and new personnel and the scale of our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4" w:lineRule="auto"/>
        <w:rPr>
          <w:sz w:val="20"/>
          <w:szCs w:val="20"/>
          <w:color w:val="auto"/>
        </w:rPr>
      </w:pPr>
      <w:r>
        <w:rPr>
          <w:rFonts w:ascii="Arial" w:cs="Arial" w:eastAsia="Arial" w:hAnsi="Arial"/>
          <w:sz w:val="18"/>
          <w:szCs w:val="18"/>
          <w:color w:val="auto"/>
        </w:rPr>
        <w:t>module development, data centers and other activities, as well as the extent and duration of COVID-19 on the macro-economic environment. Many of these investments will occur in advance of our experiencing any direct benefit from them, which could negatively impact our liquidity and cash flows during any particular period and may make it difficult to determine if we are effectively allocating our resources. However, we expect to fund our operations, capital expenditures and other investments principally with cash flows from operations, and to the extent that our liquidity needs exceed our cash from operations, we would look to our cash on hand and corporate investments or utilize the borrowing capacity under our credit facility to satisfy those needs.</w:t>
      </w:r>
    </w:p>
    <w:p>
      <w:pPr>
        <w:spacing w:after="0" w:line="195" w:lineRule="exact"/>
        <w:rPr>
          <w:sz w:val="20"/>
          <w:szCs w:val="20"/>
          <w:color w:val="auto"/>
        </w:rPr>
      </w:pPr>
    </w:p>
    <w:p>
      <w:pPr>
        <w:ind w:left="60" w:right="99" w:firstLine="648"/>
        <w:spacing w:after="0" w:line="253" w:lineRule="auto"/>
        <w:rPr>
          <w:sz w:val="20"/>
          <w:szCs w:val="20"/>
          <w:color w:val="auto"/>
        </w:rPr>
      </w:pPr>
      <w:r>
        <w:rPr>
          <w:rFonts w:ascii="Arial" w:cs="Arial" w:eastAsia="Arial" w:hAnsi="Arial"/>
          <w:sz w:val="18"/>
          <w:szCs w:val="18"/>
          <w:color w:val="auto"/>
        </w:rPr>
        <w:t>Funds held for clients and client fund obligations will vary substantially from period to period as a result of the timing of payroll and tax obligations due. Our payroll processing activities involve the movement of significant funds from accounts of employers to employees and relevant taxing authorities. Though we debit a client’s account prior to any disbursement on its behalf, there is a delay between our payment of amounts due to employees and taxing and other regulatory authorities and when the incoming funds from the client to cover these amounts payable actually clear into our operating accounts. We currently have agreements with eleven banks to execute ACH and wire transfers to support our client payroll and tax services. We believe we have sufficient capacity under these ACH arrangements to handle all transaction volumes for the foreseeable future. We primarily collect fees for our services via ACH transactions at the same time we debit the client’s account for payroll and tax obligations and thus are able to reduce collectability and accounts receivable risks.</w:t>
      </w:r>
    </w:p>
    <w:p>
      <w:pPr>
        <w:spacing w:after="0" w:line="194" w:lineRule="exact"/>
        <w:rPr>
          <w:sz w:val="20"/>
          <w:szCs w:val="20"/>
          <w:color w:val="auto"/>
        </w:rPr>
      </w:pPr>
    </w:p>
    <w:p>
      <w:pPr>
        <w:jc w:val="both"/>
        <w:ind w:left="60" w:right="259" w:firstLine="648"/>
        <w:spacing w:after="0" w:line="311" w:lineRule="auto"/>
        <w:rPr>
          <w:sz w:val="20"/>
          <w:szCs w:val="20"/>
          <w:color w:val="auto"/>
        </w:rPr>
      </w:pPr>
      <w:r>
        <w:rPr>
          <w:rFonts w:ascii="Arial" w:cs="Arial" w:eastAsia="Arial" w:hAnsi="Arial"/>
          <w:sz w:val="16"/>
          <w:szCs w:val="16"/>
          <w:color w:val="auto"/>
        </w:rPr>
        <w:t>We believe our current cash and cash equivalents, corporate investments, future cash flow from operations, and access to our credit facility will be sufficient to meet our ongoing working capital, capital expenditure and other liquidity requirements for at least the next 12 months, and thereafter, for the foreseeable future.</w:t>
      </w:r>
    </w:p>
    <w:p>
      <w:pPr>
        <w:spacing w:after="0" w:line="14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sets forth data regarding cash flows for the periods indicated:</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0" w:type="dxa"/>
            <w:vAlign w:val="bottom"/>
            <w:gridSpan w:val="4"/>
          </w:tcPr>
          <w:p>
            <w:pPr>
              <w:jc w:val="right"/>
              <w:ind w:right="51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1"/>
        </w:trPr>
        <w:tc>
          <w:tcPr>
            <w:tcW w:w="64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March 31,</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64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86,795</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85,760</w:t>
            </w:r>
          </w:p>
        </w:tc>
        <w:tc>
          <w:tcPr>
            <w:tcW w:w="0" w:type="dxa"/>
            <w:vAlign w:val="bottom"/>
          </w:tcPr>
          <w:p>
            <w:pPr>
              <w:spacing w:after="0"/>
              <w:rPr>
                <w:sz w:val="1"/>
                <w:szCs w:val="1"/>
                <w:color w:val="auto"/>
              </w:rPr>
            </w:pPr>
          </w:p>
        </w:tc>
      </w:tr>
      <w:tr>
        <w:trPr>
          <w:trHeight w:val="216"/>
        </w:trPr>
        <w:tc>
          <w:tcPr>
            <w:tcW w:w="646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available-for-sale securities and other</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(400,343)</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tcPr>
          <w:p>
            <w:pPr>
              <w:ind w:left="340"/>
              <w:spacing w:after="0"/>
              <w:rPr>
                <w:sz w:val="20"/>
                <w:szCs w:val="20"/>
                <w:color w:val="auto"/>
              </w:rPr>
            </w:pPr>
            <w:r>
              <w:rPr>
                <w:rFonts w:ascii="Arial" w:cs="Arial" w:eastAsia="Arial" w:hAnsi="Arial"/>
                <w:sz w:val="18"/>
                <w:szCs w:val="18"/>
                <w:color w:val="auto"/>
              </w:rPr>
              <w:t>Proceeds from sales and maturities of available-for-sale securities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250,791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82,488</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Capitalized internal-use software costs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(19,213)</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(21,664)</w:t>
            </w:r>
          </w:p>
        </w:tc>
        <w:tc>
          <w:tcPr>
            <w:tcW w:w="0" w:type="dxa"/>
            <w:vAlign w:val="bottom"/>
          </w:tcPr>
          <w:p>
            <w:pPr>
              <w:spacing w:after="0"/>
              <w:rPr>
                <w:sz w:val="1"/>
                <w:szCs w:val="1"/>
                <w:color w:val="auto"/>
              </w:rPr>
            </w:pPr>
          </w:p>
        </w:tc>
      </w:tr>
      <w:tr>
        <w:trPr>
          <w:trHeight w:val="216"/>
        </w:trPr>
        <w:tc>
          <w:tcPr>
            <w:tcW w:w="6460" w:type="dxa"/>
            <w:vAlign w:val="bottom"/>
          </w:tcPr>
          <w:p>
            <w:pPr>
              <w:ind w:left="34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(14,578)</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(8,155)</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 of business, net of cash acquired</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(14,992)</w:t>
            </w:r>
          </w:p>
        </w:tc>
        <w:tc>
          <w:tcPr>
            <w:tcW w:w="0" w:type="dxa"/>
            <w:vAlign w:val="bottom"/>
          </w:tcPr>
          <w:p>
            <w:pPr>
              <w:spacing w:after="0"/>
              <w:rPr>
                <w:sz w:val="1"/>
                <w:szCs w:val="1"/>
                <w:color w:val="auto"/>
              </w:rPr>
            </w:pPr>
          </w:p>
        </w:tc>
      </w:tr>
      <w:tr>
        <w:trPr>
          <w:trHeight w:val="210"/>
        </w:trPr>
        <w:tc>
          <w:tcPr>
            <w:tcW w:w="6460" w:type="dxa"/>
            <w:vAlign w:val="bottom"/>
          </w:tcPr>
          <w:p>
            <w:pPr>
              <w:ind w:left="440"/>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(183,343)</w:t>
            </w:r>
          </w:p>
        </w:tc>
        <w:tc>
          <w:tcPr>
            <w:tcW w:w="2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37,677</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340"/>
              <w:spacing w:after="0"/>
              <w:rPr>
                <w:sz w:val="20"/>
                <w:szCs w:val="20"/>
                <w:color w:val="auto"/>
              </w:rPr>
            </w:pPr>
            <w:r>
              <w:rPr>
                <w:rFonts w:ascii="Arial" w:cs="Arial" w:eastAsia="Arial" w:hAnsi="Arial"/>
                <w:sz w:val="18"/>
                <w:szCs w:val="18"/>
                <w:color w:val="auto"/>
              </w:rPr>
              <w:t>Net change in client fund obligations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334,707</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724,610</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 of credit facility</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6460" w:type="dxa"/>
            <w:vAlign w:val="bottom"/>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2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employee stock purchase plan</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w:t>
            </w:r>
          </w:p>
        </w:tc>
        <w:tc>
          <w:tcPr>
            <w:tcW w:w="0" w:type="dxa"/>
            <w:vAlign w:val="bottom"/>
          </w:tcPr>
          <w:p>
            <w:pPr>
              <w:spacing w:after="0"/>
              <w:rPr>
                <w:sz w:val="1"/>
                <w:szCs w:val="1"/>
                <w:color w:val="auto"/>
              </w:rPr>
            </w:pPr>
          </w:p>
        </w:tc>
      </w:tr>
      <w:tr>
        <w:trPr>
          <w:trHeight w:val="216"/>
        </w:trPr>
        <w:tc>
          <w:tcPr>
            <w:tcW w:w="6460" w:type="dxa"/>
            <w:vAlign w:val="bottom"/>
          </w:tcPr>
          <w:p>
            <w:pPr>
              <w:ind w:left="340"/>
              <w:spacing w:after="0"/>
              <w:rPr>
                <w:sz w:val="20"/>
                <w:szCs w:val="20"/>
                <w:color w:val="auto"/>
              </w:rPr>
            </w:pPr>
            <w:r>
              <w:rPr>
                <w:rFonts w:ascii="Arial" w:cs="Arial" w:eastAsia="Arial" w:hAnsi="Arial"/>
                <w:sz w:val="18"/>
                <w:szCs w:val="18"/>
                <w:color w:val="auto"/>
              </w:rPr>
              <w:t>Taxes paid related to net share settlement of equity awards</w:t>
            </w:r>
          </w:p>
        </w:tc>
        <w:tc>
          <w:tcPr>
            <w:tcW w:w="2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(33,136)</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(51,828)</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of debt issuance costs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(675)</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0"/>
        </w:trPr>
        <w:tc>
          <w:tcPr>
            <w:tcW w:w="646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304,857</w:t>
            </w:r>
          </w:p>
        </w:tc>
        <w:tc>
          <w:tcPr>
            <w:tcW w:w="2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578,972</w:t>
            </w:r>
          </w:p>
        </w:tc>
        <w:tc>
          <w:tcPr>
            <w:tcW w:w="0" w:type="dxa"/>
            <w:vAlign w:val="bottom"/>
          </w:tcPr>
          <w:p>
            <w:pPr>
              <w:spacing w:after="0"/>
              <w:rPr>
                <w:sz w:val="1"/>
                <w:szCs w:val="1"/>
                <w:color w:val="auto"/>
              </w:rPr>
            </w:pPr>
          </w:p>
        </w:tc>
      </w:tr>
      <w:tr>
        <w:trPr>
          <w:trHeight w:val="182"/>
        </w:trPr>
        <w:tc>
          <w:tcPr>
            <w:tcW w:w="646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Net change in cash, cash equivalents and funds held for clients' cash and cash</w:t>
            </w: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208,309</w:t>
            </w:r>
          </w:p>
        </w:tc>
        <w:tc>
          <w:tcPr>
            <w:tcW w:w="20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702,409</w:t>
            </w:r>
          </w:p>
        </w:tc>
        <w:tc>
          <w:tcPr>
            <w:tcW w:w="0" w:type="dxa"/>
            <w:vAlign w:val="bottom"/>
          </w:tcPr>
          <w:p>
            <w:pPr>
              <w:spacing w:after="0"/>
              <w:rPr>
                <w:sz w:val="1"/>
                <w:szCs w:val="1"/>
                <w:color w:val="auto"/>
              </w:rPr>
            </w:pPr>
          </w:p>
        </w:tc>
      </w:tr>
      <w:tr>
        <w:trPr>
          <w:trHeight w:val="217"/>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equivalents</w:t>
            </w: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left="60" w:right="199" w:firstLine="648"/>
        <w:spacing w:after="0" w:line="255" w:lineRule="auto"/>
        <w:rPr>
          <w:sz w:val="20"/>
          <w:szCs w:val="20"/>
          <w:color w:val="auto"/>
        </w:rPr>
      </w:pPr>
      <w:r>
        <w:rPr>
          <w:rFonts w:ascii="Arial" w:cs="Arial" w:eastAsia="Arial" w:hAnsi="Arial"/>
          <w:sz w:val="18"/>
          <w:szCs w:val="18"/>
          <w:color w:val="auto"/>
        </w:rPr>
        <w:t>Net cash provided by operating activities was $86.8 million and $85.8 million for the nine months ended March 31, 2020 and 2021, respectively. The decrease in net cash provided by operating activities from the nine months ended March 31, 2020 to the nine months ended March 31, 2021 was primarily due to net changes in operating assets and liabilities, partially offset by improved operating results after adjusting for non-cash items including stock-based compensation expense, depreciation and amortization expense and deferred income tax benefit during the nine months ended March 31, 2021.</w:t>
      </w:r>
    </w:p>
    <w:p>
      <w:pPr>
        <w:sectPr>
          <w:pgSz w:w="11900" w:h="16838" w:orient="portrait"/>
          <w:cols w:equalWidth="0" w:num="1">
            <w:col w:w="9019"/>
          </w:cols>
          <w:pgMar w:left="1440" w:top="517" w:right="1440"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left="60" w:right="99" w:firstLine="648"/>
        <w:spacing w:after="0" w:line="296" w:lineRule="auto"/>
        <w:rPr>
          <w:sz w:val="20"/>
          <w:szCs w:val="20"/>
          <w:color w:val="auto"/>
        </w:rPr>
      </w:pPr>
      <w:r>
        <w:rPr>
          <w:rFonts w:ascii="Arial" w:cs="Arial" w:eastAsia="Arial" w:hAnsi="Arial"/>
          <w:sz w:val="16"/>
          <w:szCs w:val="16"/>
          <w:color w:val="auto"/>
        </w:rPr>
        <w:t>Net cash provided by (used in) investing activities was ($183.3) million and $37.7 million for the nine months ended March 31, 2020 and 2021, respectively. The net cash used in investing activities is significantly impacted by the timing of purchases and sales and maturities of investments as we invest portions of excess corporate cash and funds held for clients in highly liquid, investment-grade marketable securities. The amount of funds held for clients invested will vary based on timing of client funds collected and payments due to client employees and taxing and other regulatory authorities.</w:t>
      </w:r>
    </w:p>
    <w:p>
      <w:pPr>
        <w:spacing w:after="0" w:line="161" w:lineRule="exact"/>
        <w:rPr>
          <w:sz w:val="20"/>
          <w:szCs w:val="20"/>
          <w:color w:val="auto"/>
        </w:rPr>
      </w:pPr>
    </w:p>
    <w:p>
      <w:pPr>
        <w:ind w:left="60" w:right="179" w:firstLine="648"/>
        <w:spacing w:after="0" w:line="257" w:lineRule="auto"/>
        <w:rPr>
          <w:sz w:val="20"/>
          <w:szCs w:val="20"/>
          <w:color w:val="auto"/>
        </w:rPr>
      </w:pPr>
      <w:r>
        <w:rPr>
          <w:rFonts w:ascii="Arial" w:cs="Arial" w:eastAsia="Arial" w:hAnsi="Arial"/>
          <w:sz w:val="18"/>
          <w:szCs w:val="18"/>
          <w:color w:val="auto"/>
        </w:rPr>
        <w:t>The change in net cash provided by (used in) investing activities was primarily due to decreases in purchases of available-for-sale securities of $400.3 million and purchases of property and equipment of $6.4 million, partially offset by the decrease in proceeds from sales and maturities of available-for-sale securities of $168.3 million and $15.0 million in costs related to the acquisition of Samepage Labs Inc. during the during the nine months ended March 31, 2021 as compared to the nine months ended March 31, 2020.</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left="60" w:right="59" w:firstLine="648"/>
        <w:spacing w:after="0" w:line="255" w:lineRule="auto"/>
        <w:rPr>
          <w:sz w:val="20"/>
          <w:szCs w:val="20"/>
          <w:color w:val="auto"/>
        </w:rPr>
      </w:pPr>
      <w:r>
        <w:rPr>
          <w:rFonts w:ascii="Arial" w:cs="Arial" w:eastAsia="Arial" w:hAnsi="Arial"/>
          <w:sz w:val="18"/>
          <w:szCs w:val="18"/>
          <w:color w:val="auto"/>
        </w:rPr>
        <w:t>Net cash provided by financing activities was $304.9 million and $579.0 million for the nine months ended March 31, 2020 and 2021, respectively. The change in net cash provided by financing activities was primarily the result of an increase in client fund obligations of $389.9 million due to the timing of client funds collected and related remittance of those funds to client employees and taxing authorities, partially offset by the $100.0 million repayment of our credit facility and $18.7 million in increased taxes paid related to net share settlement of equity awards during the nine months ended March 31, 2021 as compared to the March 31, 2020.</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Our principal commitments consist of operating lease obligations. The following table summarizes our contractual obligations at March 31, 2021:</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472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6"/>
          </w:tcPr>
          <w:p>
            <w:pPr>
              <w:ind w:left="320"/>
              <w:spacing w:after="0"/>
              <w:rPr>
                <w:sz w:val="20"/>
                <w:szCs w:val="20"/>
                <w:color w:val="auto"/>
              </w:rPr>
            </w:pPr>
            <w:r>
              <w:rPr>
                <w:rFonts w:ascii="Arial" w:cs="Arial" w:eastAsia="Arial" w:hAnsi="Arial"/>
                <w:sz w:val="13"/>
                <w:szCs w:val="13"/>
                <w:b w:val="1"/>
                <w:bCs w:val="1"/>
                <w:color w:val="auto"/>
              </w:rPr>
              <w:t>Payment Due By Fiscal Period</w:t>
            </w:r>
          </w:p>
        </w:tc>
        <w:tc>
          <w:tcPr>
            <w:tcW w:w="7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24"/>
        </w:trPr>
        <w:tc>
          <w:tcPr>
            <w:tcW w:w="4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tcPr>
          <w:p>
            <w:pPr>
              <w:jc w:val="center"/>
              <w:ind w:right="140"/>
              <w:spacing w:after="0" w:line="124" w:lineRule="exact"/>
              <w:rPr>
                <w:sz w:val="20"/>
                <w:szCs w:val="20"/>
                <w:color w:val="auto"/>
              </w:rPr>
            </w:pPr>
            <w:r>
              <w:rPr>
                <w:rFonts w:ascii="Arial" w:cs="Arial" w:eastAsia="Arial" w:hAnsi="Arial"/>
                <w:sz w:val="13"/>
                <w:szCs w:val="13"/>
                <w:b w:val="1"/>
                <w:bCs w:val="1"/>
                <w:color w:val="auto"/>
                <w:w w:val="83"/>
              </w:rPr>
              <w:t>Less than 1</w:t>
            </w: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0"/>
              </w:rPr>
              <w:t>More than</w:t>
            </w:r>
          </w:p>
        </w:tc>
        <w:tc>
          <w:tcPr>
            <w:tcW w:w="40" w:type="dxa"/>
            <w:vAlign w:val="bottom"/>
          </w:tcPr>
          <w:p>
            <w:pPr>
              <w:spacing w:after="0"/>
              <w:rPr>
                <w:sz w:val="10"/>
                <w:szCs w:val="10"/>
                <w:color w:val="auto"/>
              </w:rPr>
            </w:pPr>
          </w:p>
        </w:tc>
      </w:tr>
      <w:tr>
        <w:trPr>
          <w:trHeight w:val="153"/>
        </w:trPr>
        <w:tc>
          <w:tcPr>
            <w:tcW w:w="4720" w:type="dxa"/>
            <w:vAlign w:val="bottom"/>
          </w:tcPr>
          <w:p>
            <w:pPr>
              <w:spacing w:after="0"/>
              <w:rPr>
                <w:sz w:val="13"/>
                <w:szCs w:val="13"/>
                <w:color w:val="auto"/>
              </w:rPr>
            </w:pPr>
          </w:p>
        </w:tc>
        <w:tc>
          <w:tcPr>
            <w:tcW w:w="940" w:type="dxa"/>
            <w:vAlign w:val="bottom"/>
            <w:gridSpan w:val="2"/>
          </w:tcPr>
          <w:p>
            <w:pPr>
              <w:ind w:left="260"/>
              <w:spacing w:after="0"/>
              <w:rPr>
                <w:sz w:val="20"/>
                <w:szCs w:val="20"/>
                <w:color w:val="auto"/>
              </w:rPr>
            </w:pPr>
            <w:r>
              <w:rPr>
                <w:rFonts w:ascii="Arial" w:cs="Arial" w:eastAsia="Arial" w:hAnsi="Arial"/>
                <w:sz w:val="13"/>
                <w:szCs w:val="13"/>
                <w:b w:val="1"/>
                <w:bCs w:val="1"/>
                <w:color w:val="auto"/>
              </w:rPr>
              <w:t>Total</w:t>
            </w:r>
          </w:p>
        </w:tc>
        <w:tc>
          <w:tcPr>
            <w:tcW w:w="8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Year</w:t>
            </w:r>
          </w:p>
        </w:tc>
        <w:tc>
          <w:tcPr>
            <w:tcW w:w="840" w:type="dxa"/>
            <w:vAlign w:val="bottom"/>
            <w:gridSpan w:val="2"/>
          </w:tcPr>
          <w:p>
            <w:pPr>
              <w:ind w:left="120"/>
              <w:spacing w:after="0"/>
              <w:rPr>
                <w:sz w:val="20"/>
                <w:szCs w:val="20"/>
                <w:color w:val="auto"/>
              </w:rPr>
            </w:pPr>
            <w:r>
              <w:rPr>
                <w:rFonts w:ascii="Arial" w:cs="Arial" w:eastAsia="Arial" w:hAnsi="Arial"/>
                <w:sz w:val="13"/>
                <w:szCs w:val="13"/>
                <w:b w:val="1"/>
                <w:bCs w:val="1"/>
                <w:color w:val="auto"/>
              </w:rPr>
              <w:t>1-3 Years</w:t>
            </w:r>
          </w:p>
        </w:tc>
        <w:tc>
          <w:tcPr>
            <w:tcW w:w="840" w:type="dxa"/>
            <w:vAlign w:val="bottom"/>
            <w:gridSpan w:val="2"/>
          </w:tcPr>
          <w:p>
            <w:pPr>
              <w:ind w:left="100"/>
              <w:spacing w:after="0"/>
              <w:rPr>
                <w:sz w:val="20"/>
                <w:szCs w:val="20"/>
                <w:color w:val="auto"/>
              </w:rPr>
            </w:pPr>
            <w:r>
              <w:rPr>
                <w:rFonts w:ascii="Arial" w:cs="Arial" w:eastAsia="Arial" w:hAnsi="Arial"/>
                <w:sz w:val="13"/>
                <w:szCs w:val="13"/>
                <w:b w:val="1"/>
                <w:bCs w:val="1"/>
                <w:color w:val="auto"/>
              </w:rPr>
              <w:t>3-5 Years</w:t>
            </w:r>
          </w:p>
        </w:tc>
        <w:tc>
          <w:tcPr>
            <w:tcW w:w="74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86"/>
              </w:rPr>
              <w:t>5 Years</w:t>
            </w:r>
          </w:p>
        </w:tc>
      </w:tr>
      <w:tr>
        <w:trPr>
          <w:trHeight w:val="210"/>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92,446</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10,532</w:t>
            </w: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19,285</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18,719</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43,910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720" w:type="dxa"/>
            <w:vAlign w:val="bottom"/>
          </w:tcPr>
          <w:p>
            <w:pPr>
              <w:ind w:left="20"/>
              <w:spacing w:after="0"/>
              <w:rPr>
                <w:sz w:val="20"/>
                <w:szCs w:val="20"/>
                <w:color w:val="auto"/>
              </w:rPr>
            </w:pPr>
            <w:r>
              <w:rPr>
                <w:rFonts w:ascii="Arial" w:cs="Arial" w:eastAsia="Arial" w:hAnsi="Arial"/>
                <w:sz w:val="18"/>
                <w:szCs w:val="18"/>
                <w:color w:val="auto"/>
              </w:rPr>
              <w:t>Unconditional purchase obligations</w:t>
            </w:r>
          </w:p>
        </w:tc>
        <w:tc>
          <w:tcPr>
            <w:tcW w:w="800" w:type="dxa"/>
            <w:vAlign w:val="bottom"/>
          </w:tcPr>
          <w:p>
            <w:pPr>
              <w:jc w:val="right"/>
              <w:spacing w:after="0"/>
              <w:rPr>
                <w:sz w:val="20"/>
                <w:szCs w:val="20"/>
                <w:color w:val="auto"/>
              </w:rPr>
            </w:pPr>
            <w:r>
              <w:rPr>
                <w:rFonts w:ascii="Arial" w:cs="Arial" w:eastAsia="Arial" w:hAnsi="Arial"/>
                <w:sz w:val="18"/>
                <w:szCs w:val="18"/>
                <w:color w:val="auto"/>
              </w:rPr>
              <w:t>24,332</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15,375</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7,440</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1,517</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47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$ 116,778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$ 25,907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$ 26,725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$ 20,236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$ 43,910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7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jc w:val="both"/>
        <w:ind w:left="60" w:right="139" w:firstLine="648"/>
        <w:spacing w:after="0" w:line="286" w:lineRule="auto"/>
        <w:rPr>
          <w:sz w:val="20"/>
          <w:szCs w:val="20"/>
          <w:color w:val="auto"/>
        </w:rPr>
      </w:pPr>
      <w:r>
        <w:rPr>
          <w:rFonts w:ascii="Arial" w:cs="Arial" w:eastAsia="Arial" w:hAnsi="Arial"/>
          <w:sz w:val="16"/>
          <w:szCs w:val="16"/>
          <w:color w:val="auto"/>
        </w:rPr>
        <w:t>We expect to continue to invest in capital spending as we continue to grow our business and expand and enhance our operating facilities, data centers and technical infrastructure. Future capital requirements will depend on many factors, including our rate of sales growth. In the event that our sales growth or other factors do not meet our expectations, we may eliminate or curtail capital projects in order to mitigate the impact on our use of cash. Capital expenditures were</w:t>
      </w:r>
    </w:p>
    <w:p>
      <w:pPr>
        <w:spacing w:after="0" w:line="1" w:lineRule="exact"/>
        <w:rPr>
          <w:sz w:val="20"/>
          <w:szCs w:val="20"/>
          <w:color w:val="auto"/>
        </w:rPr>
      </w:pPr>
    </w:p>
    <w:p>
      <w:pPr>
        <w:ind w:left="60" w:right="219"/>
        <w:spacing w:after="0" w:line="260" w:lineRule="auto"/>
        <w:rPr>
          <w:sz w:val="20"/>
          <w:szCs w:val="20"/>
          <w:color w:val="auto"/>
        </w:rPr>
      </w:pPr>
      <w:r>
        <w:rPr>
          <w:rFonts w:ascii="Arial" w:cs="Arial" w:eastAsia="Arial" w:hAnsi="Arial"/>
          <w:sz w:val="18"/>
          <w:szCs w:val="18"/>
          <w:color w:val="auto"/>
        </w:rPr>
        <w:t>$14.6 million and $8.2 million for the nine months ended March 31, 2020 and 2021, respectively, exclusive of capitalized internal-use software costs of $19.2 million and $21.7 million for the same periods, respectively.</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0" w:right="259" w:firstLine="648"/>
        <w:spacing w:after="0" w:line="263" w:lineRule="auto"/>
        <w:rPr>
          <w:sz w:val="20"/>
          <w:szCs w:val="20"/>
          <w:color w:val="auto"/>
        </w:rPr>
      </w:pPr>
      <w:r>
        <w:rPr>
          <w:rFonts w:ascii="Arial" w:cs="Arial" w:eastAsia="Arial" w:hAnsi="Arial"/>
          <w:sz w:val="18"/>
          <w:szCs w:val="18"/>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may be material to investors.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left="60" w:right="499" w:firstLine="648"/>
        <w:spacing w:after="0" w:line="277" w:lineRule="auto"/>
        <w:rPr>
          <w:sz w:val="20"/>
          <w:szCs w:val="20"/>
          <w:color w:val="auto"/>
        </w:rPr>
      </w:pPr>
      <w:r>
        <w:rPr>
          <w:rFonts w:ascii="Arial" w:cs="Arial" w:eastAsia="Arial" w:hAnsi="Arial"/>
          <w:sz w:val="18"/>
          <w:szCs w:val="18"/>
          <w:color w:val="auto"/>
        </w:rPr>
        <w:t>Refer to Note 2 of the Notes to the Unaudited Consolidated Financial Statements for a discussion of recently issued accounting standards.</w:t>
      </w:r>
    </w:p>
    <w:p>
      <w:pPr>
        <w:sectPr>
          <w:pgSz w:w="11900" w:h="16838" w:orient="portrait"/>
          <w:cols w:equalWidth="0" w:num="1">
            <w:col w:w="9019"/>
          </w:cols>
          <w:pgMar w:left="1440" w:top="517" w:right="1440"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We have operations primarily in the United States and are exposed to market risks in the ordinary course of our business. These risks primarily include interest rate and certain other exposures as well as risks relating to changes in the general economic conditions in the United States. As discussed in Item 2. Management’s Discussion and Analysis of Financial Condition and Results of operations, the novel coronavirus disease (“COVID-19”) pandemic has disrupted the global economy and financial markets and may unfavorably impact our future business and financial performance. Refer to “Part I. Item 1A. Risk Factors” on our Annual Report on Form 10-K filed with the SEC on August 7, 2020 for risks related to the COVID-19 pandemic.</w:t>
      </w:r>
    </w:p>
    <w:p>
      <w:pPr>
        <w:spacing w:after="0" w:line="195"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We have not used, nor do we intend to use, derivatives to mitigate the impact of interest rate or other exposure or for trading or speculative purposes.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left="60" w:right="59" w:firstLine="648"/>
        <w:spacing w:after="0" w:line="291" w:lineRule="auto"/>
        <w:rPr>
          <w:sz w:val="20"/>
          <w:szCs w:val="20"/>
          <w:color w:val="auto"/>
        </w:rPr>
      </w:pPr>
      <w:r>
        <w:rPr>
          <w:rFonts w:ascii="Arial" w:cs="Arial" w:eastAsia="Arial" w:hAnsi="Arial"/>
          <w:sz w:val="16"/>
          <w:szCs w:val="16"/>
          <w:color w:val="auto"/>
        </w:rPr>
        <w:t>As of March 31, 2021, we had cash and cash equivalents of $175.5 million, corporate investments of $6.8 million and funds held for clients of $2,051.9 million. We deposit our cash and cash equivalents and significant portions of our funds held for clients in demand deposit accounts with various financial institutions. We invest portions of our excess cash and cash equivalents and funds held for clients in marketable securities including asset-backed debt securities and corporate debt issuances, which were classified as available-for-sale securities as of March 31, 2021. Our investment policy is focused on generating higher yields from these investments while preserving liquidity and capital. However, as a result of our investing activities, we are exposed to changes in interest rates that may materially affect our financial statements.</w:t>
      </w:r>
    </w:p>
    <w:p>
      <w:pPr>
        <w:spacing w:after="0" w:line="166"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In a falling rate environment, a decline in interest rates would decrease our interest income earned on both cash and cash equivalents and funds held for clients. An increase in the overall interest rate environment may cause the market value of our investments in fixed rate available-for-sale securities to decline. If we are forced to sell some or all of these securities at lower market values, we may incur investment losses. However, because we classify all marketable securities as available-for-sale, no gains or losses are recognized due to changes in interest rates until such securities are sold or decreases in fair value are deemed due to expected credit losses. We have not recorded any credit impairment losses on our portfolio to date.</w:t>
      </w:r>
    </w:p>
    <w:p>
      <w:pPr>
        <w:spacing w:after="0" w:line="195" w:lineRule="exact"/>
        <w:rPr>
          <w:sz w:val="20"/>
          <w:szCs w:val="20"/>
          <w:color w:val="auto"/>
        </w:rPr>
      </w:pPr>
    </w:p>
    <w:p>
      <w:pPr>
        <w:ind w:left="60" w:right="279" w:firstLine="648"/>
        <w:spacing w:after="0" w:line="257" w:lineRule="auto"/>
        <w:rPr>
          <w:sz w:val="20"/>
          <w:szCs w:val="20"/>
          <w:color w:val="auto"/>
        </w:rPr>
      </w:pPr>
      <w:r>
        <w:rPr>
          <w:rFonts w:ascii="Arial" w:cs="Arial" w:eastAsia="Arial" w:hAnsi="Arial"/>
          <w:sz w:val="18"/>
          <w:szCs w:val="18"/>
          <w:color w:val="auto"/>
        </w:rPr>
        <w:t>Based upon a sensitivity model that measures market value changes caused by interest rate fluctuations, an immediate 100-basis point change in interest rates would have had an immaterial effect on the market value of our available-for-sale securities as of March 31, 2021. Fluctuations in the value of our available-for-sale securities caused by changes in interest rates are recorded in other comprehensive income and are only realized if we sell the underlying securities.</w:t>
      </w:r>
    </w:p>
    <w:p>
      <w:pPr>
        <w:spacing w:after="0" w:line="188" w:lineRule="exact"/>
        <w:rPr>
          <w:sz w:val="20"/>
          <w:szCs w:val="20"/>
          <w:color w:val="auto"/>
        </w:rPr>
      </w:pPr>
    </w:p>
    <w:p>
      <w:pPr>
        <w:ind w:left="60" w:right="79" w:firstLine="648"/>
        <w:spacing w:after="0" w:line="285" w:lineRule="auto"/>
        <w:rPr>
          <w:sz w:val="20"/>
          <w:szCs w:val="20"/>
          <w:color w:val="auto"/>
        </w:rPr>
      </w:pPr>
      <w:r>
        <w:rPr>
          <w:rFonts w:ascii="Arial" w:cs="Arial" w:eastAsia="Arial" w:hAnsi="Arial"/>
          <w:sz w:val="16"/>
          <w:szCs w:val="16"/>
          <w:color w:val="auto"/>
        </w:rPr>
        <w:t>Additionally, as described in Note 8 of the Notes to the Unaudited Consolidated Financial Statements, we entered into a credit agreement that provides for a revolving credit facility (“credit facility”) in the aggregate amount of $250.0 million, which may be increased up to $375.0 million. Borrowings under the credit facility will generally bear interest at a rate based upon the London Interbank Offered Rate (“LIBOR”) (or a replacement rate for LIBOR) or, at our sole option, an adjusted base rate plus an applicable margin based on our then-applicable net senior secured leverage ratio. As of</w:t>
      </w:r>
    </w:p>
    <w:p>
      <w:pPr>
        <w:spacing w:after="0" w:line="2" w:lineRule="exact"/>
        <w:rPr>
          <w:sz w:val="20"/>
          <w:szCs w:val="20"/>
          <w:color w:val="auto"/>
        </w:rPr>
      </w:pPr>
    </w:p>
    <w:p>
      <w:pPr>
        <w:ind w:left="60" w:right="139"/>
        <w:spacing w:after="0" w:line="277" w:lineRule="auto"/>
        <w:rPr>
          <w:sz w:val="20"/>
          <w:szCs w:val="20"/>
          <w:color w:val="auto"/>
        </w:rPr>
      </w:pPr>
      <w:r>
        <w:rPr>
          <w:rFonts w:ascii="Arial" w:cs="Arial" w:eastAsia="Arial" w:hAnsi="Arial"/>
          <w:sz w:val="17"/>
          <w:szCs w:val="17"/>
          <w:color w:val="auto"/>
        </w:rPr>
        <w:t>March 31, 2021, we had no amounts drawn on the credit facility as we had repaid $100.0 million in borrowings previously outstanding. To the extent that we draw additional amounts under the credit facility, we may be exposed to increased market risk from changes in the underlying index rates, which affects our interest expense.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Inflation Risk</w:t>
      </w:r>
    </w:p>
    <w:p>
      <w:pPr>
        <w:spacing w:after="0" w:line="229" w:lineRule="exact"/>
        <w:rPr>
          <w:sz w:val="20"/>
          <w:szCs w:val="20"/>
          <w:color w:val="auto"/>
        </w:rPr>
      </w:pPr>
    </w:p>
    <w:p>
      <w:pPr>
        <w:ind w:left="60" w:right="319" w:firstLine="648"/>
        <w:spacing w:after="0" w:line="259"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83"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left="60" w:right="59" w:firstLine="648"/>
        <w:spacing w:after="0" w:line="254" w:lineRule="auto"/>
        <w:rPr>
          <w:sz w:val="20"/>
          <w:szCs w:val="20"/>
          <w:color w:val="auto"/>
        </w:rPr>
      </w:pPr>
      <w:r>
        <w:rPr>
          <w:rFonts w:ascii="Arial" w:cs="Arial" w:eastAsia="Arial" w:hAnsi="Arial"/>
          <w:sz w:val="18"/>
          <w:szCs w:val="18"/>
          <w:color w:val="auto"/>
        </w:rPr>
        <w:t>The term “disclosure controls and procedures,” as defined in Rules 13a-15(e) and 15d-15(e) under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195" w:lineRule="exact"/>
        <w:rPr>
          <w:sz w:val="20"/>
          <w:szCs w:val="20"/>
          <w:color w:val="auto"/>
        </w:rPr>
      </w:pPr>
    </w:p>
    <w:p>
      <w:pPr>
        <w:ind w:left="60" w:right="119" w:firstLine="648"/>
        <w:spacing w:after="0" w:line="279"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has evaluated the effectiveness of our disclosure controls and procedures as of March 31, 2021, the end of the period covered by this Quarterly Report on Form 10-Q. Based upon such evaluation, our Chief Executive Officer and Chief Financial Officer have concluded that our disclosure controls and procedures were effective as of such date.</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left="60" w:right="159" w:firstLine="648"/>
        <w:spacing w:after="0" w:line="263" w:lineRule="auto"/>
        <w:rPr>
          <w:sz w:val="20"/>
          <w:szCs w:val="20"/>
          <w:color w:val="auto"/>
        </w:rPr>
      </w:pPr>
      <w:r>
        <w:rPr>
          <w:rFonts w:ascii="Arial" w:cs="Arial" w:eastAsia="Arial" w:hAnsi="Arial"/>
          <w:sz w:val="18"/>
          <w:szCs w:val="18"/>
          <w:color w:val="auto"/>
        </w:rPr>
        <w:t>There were no changes to our internal control over financial reporting during the three-month period covered by this Quarterly Report on Form 10-Q that have materially affected, or are reasonably likely to materially affect, our internal control over financial reporting.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left="60" w:right="119" w:firstLine="648"/>
        <w:spacing w:after="0" w:line="263" w:lineRule="auto"/>
        <w:rPr>
          <w:sz w:val="20"/>
          <w:szCs w:val="20"/>
          <w:color w:val="auto"/>
        </w:rPr>
      </w:pPr>
      <w:r>
        <w:rPr>
          <w:rFonts w:ascii="Arial" w:cs="Arial" w:eastAsia="Arial" w:hAnsi="Arial"/>
          <w:sz w:val="18"/>
          <w:szCs w:val="18"/>
          <w:color w:val="auto"/>
        </w:rPr>
        <w:t>From time to time, we may become involved in litigation related to claims arising from the ordinary course of our business. We believe that there are no claims or actions pending or threatened against us, the ultimate disposition of which would have a material adverse effect on us.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0" w:right="579" w:firstLine="648"/>
        <w:spacing w:after="0" w:line="308" w:lineRule="auto"/>
        <w:rPr>
          <w:sz w:val="20"/>
          <w:szCs w:val="20"/>
          <w:color w:val="auto"/>
        </w:rPr>
      </w:pPr>
      <w:r>
        <w:rPr>
          <w:rFonts w:ascii="Arial" w:cs="Arial" w:eastAsia="Arial" w:hAnsi="Arial"/>
          <w:sz w:val="17"/>
          <w:szCs w:val="17"/>
          <w:color w:val="auto"/>
        </w:rPr>
        <w:t>There have been no material changes in our risk factors disclosed in “Item 1A. Risk Factors” of our Annual Report on Form 10-K for the fiscal year ended June 30, 2020 filed with the SEC on August 7, 2020.</w:t>
      </w:r>
    </w:p>
    <w:p>
      <w:pPr>
        <w:spacing w:after="0" w:line="156"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 Sales of Unregistered Securities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 Use of Proceeds</w:t>
      </w:r>
    </w:p>
    <w:p>
      <w:pPr>
        <w:spacing w:after="0" w:line="229"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On March 24, 2014, we completed our initial public offering or IPO, of 8,101,750 shares of common stock, at a price of $17.00 per share, before underwriting discounts and commissions. The offer and sale of all of the shares in the IPO were registered under the Securities Act pursuant to a registration statement on Form S-1 (File No. 333-193661), which was declared effective by the SEC on March 18, 2014. With the proceeds of the IPO, we repaid amounts outstanding under a note issued by us to Commerce Bank &amp; Trust Company on March 9, 2011, which totaled $1.1 million, paid $9.4 million for the purchase of substantially all of the assets of BFKMS Inc. and paid $9.5 million for the purchase of substantially all of the assets of Synergy Payroll, LLC.</w:t>
      </w:r>
    </w:p>
    <w:p>
      <w:pPr>
        <w:spacing w:after="0" w:line="195" w:lineRule="exact"/>
        <w:rPr>
          <w:sz w:val="20"/>
          <w:szCs w:val="20"/>
          <w:color w:val="auto"/>
        </w:rPr>
      </w:pPr>
    </w:p>
    <w:p>
      <w:pPr>
        <w:ind w:left="60" w:right="219" w:firstLine="648"/>
        <w:spacing w:after="0" w:line="255" w:lineRule="auto"/>
        <w:rPr>
          <w:sz w:val="20"/>
          <w:szCs w:val="20"/>
          <w:color w:val="auto"/>
        </w:rPr>
      </w:pPr>
      <w:r>
        <w:rPr>
          <w:rFonts w:ascii="Arial" w:cs="Arial" w:eastAsia="Arial" w:hAnsi="Arial"/>
          <w:sz w:val="18"/>
          <w:szCs w:val="18"/>
          <w:color w:val="auto"/>
        </w:rPr>
        <w:t>On December 17, 2014, we completed a follow-on offering of 4,960,000 shares of common stock at a price of $26.25 per share, before underwriting discounts and commissions. The offer and sale of all of the shares in the follow-on offering were registered under the Securities Act pursuant to a registration statement on Form S-1 (File No. 333-200448) which was declared effective by the SEC on December 11, 2014. There have been no material changes in the planned use of proceeds from the follow-on as described in the final prospectus filed with the SEC pursuant to Rule 424(b) on December 12, 2014.</w:t>
      </w:r>
    </w:p>
    <w:p>
      <w:pPr>
        <w:spacing w:after="0" w:line="192" w:lineRule="exact"/>
        <w:rPr>
          <w:sz w:val="20"/>
          <w:szCs w:val="20"/>
          <w:color w:val="auto"/>
        </w:rPr>
      </w:pPr>
    </w:p>
    <w:p>
      <w:pPr>
        <w:ind w:left="60" w:right="99" w:firstLine="648"/>
        <w:spacing w:after="0" w:line="275" w:lineRule="auto"/>
        <w:rPr>
          <w:sz w:val="20"/>
          <w:szCs w:val="20"/>
          <w:color w:val="auto"/>
        </w:rPr>
      </w:pPr>
      <w:r>
        <w:rPr>
          <w:rFonts w:ascii="Arial" w:cs="Arial" w:eastAsia="Arial" w:hAnsi="Arial"/>
          <w:sz w:val="17"/>
          <w:szCs w:val="17"/>
          <w:color w:val="auto"/>
        </w:rPr>
        <w:t>On September 30, 2015, we completed a secondary offering of 4,301,000 shares of common stock at a price of $29.75 per share, before underwriting discounts and commissions. The offer and sale of all of the shares in the secondary offering were registered under the Securities Act pursuant to a registration statement on Form S-3 (File No. 333-206941) which was declared effective by the SEC on September 25, 2015. The Company did not receive any proceeds from the sale of common stock, as all the shares were sold by shareholders of the Company.</w:t>
      </w:r>
    </w:p>
    <w:p>
      <w:pPr>
        <w:spacing w:after="0" w:line="172"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19"/>
          </w:cols>
          <w:pgMar w:left="1440" w:top="517" w:right="1440"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The information required by this Item is set forth in the Index to Exhibits immediately following this page.</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380" w:type="dxa"/>
            <w:vAlign w:val="bottom"/>
            <w:gridSpan w:val="11"/>
          </w:tcPr>
          <w:p>
            <w:pPr>
              <w:ind w:left="40"/>
              <w:spacing w:after="0"/>
              <w:rPr>
                <w:sz w:val="20"/>
                <w:szCs w:val="20"/>
                <w:color w:val="auto"/>
              </w:rPr>
            </w:pPr>
            <w:r>
              <w:rPr>
                <w:rFonts w:ascii="Arial" w:cs="Arial" w:eastAsia="Arial" w:hAnsi="Arial"/>
                <w:sz w:val="18"/>
                <w:szCs w:val="18"/>
                <w:b w:val="1"/>
                <w:bCs w:val="1"/>
                <w:color w:val="auto"/>
              </w:rPr>
              <w:t>INDEX TO EXHIBITS</w:t>
            </w:r>
          </w:p>
        </w:tc>
      </w:tr>
      <w:tr>
        <w:trPr>
          <w:trHeight w:val="412"/>
        </w:trPr>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Nos.</w:t>
            </w:r>
          </w:p>
        </w:tc>
        <w:tc>
          <w:tcPr>
            <w:tcW w:w="1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320" w:type="dxa"/>
            <w:vAlign w:val="bottom"/>
            <w:gridSpan w:val="10"/>
          </w:tcPr>
          <w:p>
            <w:pPr>
              <w:ind w:left="1100"/>
              <w:spacing w:after="0"/>
              <w:rPr>
                <w:sz w:val="20"/>
                <w:szCs w:val="20"/>
                <w:color w:val="auto"/>
              </w:rPr>
            </w:pPr>
            <w:r>
              <w:rPr>
                <w:rFonts w:ascii="Arial" w:cs="Arial" w:eastAsia="Arial" w:hAnsi="Arial"/>
                <w:sz w:val="14"/>
                <w:szCs w:val="14"/>
                <w:b w:val="1"/>
                <w:bCs w:val="1"/>
                <w:color w:val="auto"/>
              </w:rPr>
              <w:t>Description</w:t>
            </w:r>
          </w:p>
        </w:tc>
      </w:tr>
      <w:tr>
        <w:trPr>
          <w:trHeight w:val="432"/>
        </w:trPr>
        <w:tc>
          <w:tcPr>
            <w:tcW w:w="8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4"/>
                <w:szCs w:val="24"/>
                <w:color w:val="auto"/>
              </w:rPr>
            </w:pPr>
          </w:p>
        </w:tc>
        <w:tc>
          <w:tcPr>
            <w:tcW w:w="7100" w:type="dxa"/>
            <w:vAlign w:val="bottom"/>
            <w:tcBorders>
              <w:top w:val="single" w:sz="8" w:color="auto"/>
              <w:bottom w:val="single" w:sz="8" w:color="0000EE"/>
            </w:tcBorders>
            <w:gridSpan w:val="6"/>
          </w:tcPr>
          <w:p>
            <w:pPr>
              <w:spacing w:after="0"/>
              <w:rPr>
                <w:rFonts w:ascii="Arial" w:cs="Arial" w:eastAsia="Arial" w:hAnsi="Arial"/>
                <w:sz w:val="18"/>
                <w:szCs w:val="18"/>
                <w:color w:val="0000EE"/>
                <w:w w:val="92"/>
              </w:rPr>
            </w:pPr>
            <w:hyperlink r:id="rId54">
              <w:r>
                <w:rPr>
                  <w:rFonts w:ascii="Arial" w:cs="Arial" w:eastAsia="Arial" w:hAnsi="Arial"/>
                  <w:sz w:val="18"/>
                  <w:szCs w:val="18"/>
                  <w:color w:val="0000EE"/>
                  <w:w w:val="92"/>
                </w:rPr>
                <w:t>First Amended and Restated Certificate of Incorporation (filed as Exhibit 3.2 of Paylocity Holding</w:t>
              </w:r>
            </w:hyperlink>
          </w:p>
        </w:tc>
        <w:tc>
          <w:tcPr>
            <w:tcW w:w="660" w:type="dxa"/>
            <w:vAlign w:val="bottom"/>
            <w:tcBorders>
              <w:top w:val="single" w:sz="8" w:color="auto"/>
            </w:tcBorders>
            <w:gridSpan w:val="7"/>
          </w:tcPr>
          <w:p>
            <w:pPr>
              <w:spacing w:after="0"/>
              <w:rPr>
                <w:sz w:val="24"/>
                <w:szCs w:val="24"/>
                <w:color w:val="auto"/>
              </w:rPr>
            </w:pPr>
          </w:p>
        </w:tc>
      </w:tr>
      <w:tr>
        <w:trPr>
          <w:trHeight w:val="223"/>
        </w:trPr>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760" w:type="dxa"/>
            <w:vAlign w:val="bottom"/>
            <w:gridSpan w:val="13"/>
          </w:tcPr>
          <w:p>
            <w:pPr>
              <w:spacing w:after="0"/>
              <w:rPr>
                <w:rFonts w:ascii="Arial" w:cs="Arial" w:eastAsia="Arial" w:hAnsi="Arial"/>
                <w:sz w:val="18"/>
                <w:szCs w:val="18"/>
                <w:color w:val="0000EE"/>
              </w:rPr>
            </w:pPr>
            <w:hyperlink r:id="rId54">
              <w:r>
                <w:rPr>
                  <w:rFonts w:ascii="Arial" w:cs="Arial" w:eastAsia="Arial" w:hAnsi="Arial"/>
                  <w:sz w:val="18"/>
                  <w:szCs w:val="18"/>
                  <w:color w:val="0000EE"/>
                </w:rPr>
                <w:t>Corporation’s Form S-1 Registration Statement (Registration No. 333-193661)).</w:t>
              </w:r>
            </w:hyperlink>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880" w:type="dxa"/>
            <w:vAlign w:val="bottom"/>
          </w:tcPr>
          <w:p>
            <w:pPr>
              <w:ind w:left="2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4"/>
                <w:szCs w:val="24"/>
                <w:color w:val="auto"/>
              </w:rPr>
            </w:pPr>
          </w:p>
        </w:tc>
        <w:tc>
          <w:tcPr>
            <w:tcW w:w="7760" w:type="dxa"/>
            <w:vAlign w:val="bottom"/>
            <w:tcBorders>
              <w:bottom w:val="single" w:sz="8" w:color="0000EE"/>
            </w:tcBorders>
            <w:gridSpan w:val="13"/>
          </w:tcPr>
          <w:p>
            <w:pPr>
              <w:spacing w:after="0"/>
              <w:rPr>
                <w:rFonts w:ascii="Arial" w:cs="Arial" w:eastAsia="Arial" w:hAnsi="Arial"/>
                <w:sz w:val="18"/>
                <w:szCs w:val="18"/>
                <w:color w:val="0000EE"/>
                <w:w w:val="92"/>
              </w:rPr>
            </w:pPr>
            <w:hyperlink r:id="rId55">
              <w:r>
                <w:rPr>
                  <w:rFonts w:ascii="Arial" w:cs="Arial" w:eastAsia="Arial" w:hAnsi="Arial"/>
                  <w:sz w:val="18"/>
                  <w:szCs w:val="18"/>
                  <w:color w:val="0000EE"/>
                  <w:w w:val="92"/>
                </w:rPr>
                <w:t>Amended and Restated Bylaws of Paylocity Holding Corporation (filed as Exhibit 3.2 of Paylocity Holding</w:t>
              </w:r>
            </w:hyperlink>
          </w:p>
        </w:tc>
      </w:tr>
      <w:tr>
        <w:trPr>
          <w:trHeight w:val="223"/>
        </w:trPr>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760" w:type="dxa"/>
            <w:vAlign w:val="bottom"/>
            <w:gridSpan w:val="13"/>
          </w:tcPr>
          <w:p>
            <w:pPr>
              <w:spacing w:after="0"/>
              <w:rPr>
                <w:rFonts w:ascii="Arial" w:cs="Arial" w:eastAsia="Arial" w:hAnsi="Arial"/>
                <w:sz w:val="18"/>
                <w:szCs w:val="18"/>
                <w:color w:val="0000EE"/>
                <w:w w:val="97"/>
              </w:rPr>
            </w:pPr>
            <w:hyperlink r:id="rId55">
              <w:r>
                <w:rPr>
                  <w:rFonts w:ascii="Arial" w:cs="Arial" w:eastAsia="Arial" w:hAnsi="Arial"/>
                  <w:sz w:val="18"/>
                  <w:szCs w:val="18"/>
                  <w:color w:val="0000EE"/>
                  <w:w w:val="97"/>
                </w:rPr>
                <w:t>Corporation’s Annual Report on Form 10-K for the year ended June 30, 2017 (File No. 001-36348)).</w:t>
              </w:r>
            </w:hyperlink>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880" w:type="dxa"/>
            <w:vAlign w:val="bottom"/>
          </w:tcPr>
          <w:p>
            <w:pPr>
              <w:ind w:left="20"/>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24"/>
                <w:szCs w:val="24"/>
                <w:color w:val="auto"/>
              </w:rPr>
            </w:pPr>
          </w:p>
        </w:tc>
        <w:tc>
          <w:tcPr>
            <w:tcW w:w="7620" w:type="dxa"/>
            <w:vAlign w:val="bottom"/>
            <w:tcBorders>
              <w:bottom w:val="single" w:sz="8" w:color="0000EE"/>
            </w:tcBorders>
            <w:gridSpan w:val="11"/>
          </w:tcPr>
          <w:p>
            <w:pPr>
              <w:spacing w:after="0"/>
              <w:rPr>
                <w:rFonts w:ascii="Arial" w:cs="Arial" w:eastAsia="Arial" w:hAnsi="Arial"/>
                <w:sz w:val="18"/>
                <w:szCs w:val="18"/>
                <w:color w:val="0000EE"/>
                <w:w w:val="91"/>
              </w:rPr>
            </w:pPr>
            <w:hyperlink r:id="rId56">
              <w:r>
                <w:rPr>
                  <w:rFonts w:ascii="Arial" w:cs="Arial" w:eastAsia="Arial" w:hAnsi="Arial"/>
                  <w:sz w:val="18"/>
                  <w:szCs w:val="18"/>
                  <w:color w:val="0000EE"/>
                  <w:w w:val="91"/>
                </w:rPr>
                <w:t>Form of Market Stock Units Notice of Grant and Award Agreement under the 2014 Equity Incentive Plan</w:t>
              </w:r>
            </w:hyperlink>
          </w:p>
        </w:tc>
        <w:tc>
          <w:tcPr>
            <w:tcW w:w="140" w:type="dxa"/>
            <w:vAlign w:val="bottom"/>
            <w:gridSpan w:val="2"/>
          </w:tcPr>
          <w:p>
            <w:pPr>
              <w:spacing w:after="0"/>
              <w:rPr>
                <w:sz w:val="24"/>
                <w:szCs w:val="24"/>
                <w:color w:val="auto"/>
              </w:rPr>
            </w:pPr>
          </w:p>
        </w:tc>
      </w:tr>
      <w:tr>
        <w:trPr>
          <w:trHeight w:val="223"/>
        </w:trPr>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700" w:type="dxa"/>
            <w:vAlign w:val="bottom"/>
            <w:tcBorders>
              <w:bottom w:val="single" w:sz="8" w:color="0000EE"/>
            </w:tcBorders>
            <w:gridSpan w:val="12"/>
          </w:tcPr>
          <w:p>
            <w:pPr>
              <w:spacing w:after="0"/>
              <w:rPr>
                <w:rFonts w:ascii="Arial" w:cs="Arial" w:eastAsia="Arial" w:hAnsi="Arial"/>
                <w:sz w:val="18"/>
                <w:szCs w:val="18"/>
                <w:color w:val="0000EE"/>
                <w:w w:val="92"/>
              </w:rPr>
            </w:pPr>
            <w:hyperlink r:id="rId56">
              <w:r>
                <w:rPr>
                  <w:rFonts w:ascii="Arial" w:cs="Arial" w:eastAsia="Arial" w:hAnsi="Arial"/>
                  <w:sz w:val="18"/>
                  <w:szCs w:val="18"/>
                  <w:color w:val="0000EE"/>
                  <w:w w:val="92"/>
                </w:rPr>
                <w:t>(filed as Exhibit 10.1 of Paylocity Holding Corporation’s Current Report on Form 8-K on August 18, 2020</w:t>
              </w:r>
            </w:hyperlink>
          </w:p>
        </w:tc>
        <w:tc>
          <w:tcPr>
            <w:tcW w:w="60" w:type="dxa"/>
            <w:vAlign w:val="bottom"/>
          </w:tcPr>
          <w:p>
            <w:pPr>
              <w:spacing w:after="0"/>
              <w:rPr>
                <w:sz w:val="19"/>
                <w:szCs w:val="19"/>
                <w:color w:val="auto"/>
              </w:rPr>
            </w:pPr>
          </w:p>
        </w:tc>
      </w:tr>
      <w:tr>
        <w:trPr>
          <w:trHeight w:val="223"/>
        </w:trPr>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760" w:type="dxa"/>
            <w:vAlign w:val="bottom"/>
            <w:gridSpan w:val="13"/>
          </w:tcPr>
          <w:p>
            <w:pPr>
              <w:spacing w:after="0"/>
              <w:rPr>
                <w:rFonts w:ascii="Arial" w:cs="Arial" w:eastAsia="Arial" w:hAnsi="Arial"/>
                <w:sz w:val="18"/>
                <w:szCs w:val="18"/>
                <w:color w:val="0000EE"/>
              </w:rPr>
            </w:pPr>
            <w:hyperlink r:id="rId56">
              <w:r>
                <w:rPr>
                  <w:rFonts w:ascii="Arial" w:cs="Arial" w:eastAsia="Arial" w:hAnsi="Arial"/>
                  <w:sz w:val="18"/>
                  <w:szCs w:val="18"/>
                  <w:color w:val="0000EE"/>
                </w:rPr>
                <w:t>(File No. 001-36348)).</w:t>
              </w:r>
            </w:hyperlink>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466"/>
        </w:trPr>
        <w:tc>
          <w:tcPr>
            <w:tcW w:w="880" w:type="dxa"/>
            <w:vAlign w:val="bottom"/>
          </w:tcPr>
          <w:p>
            <w:pPr>
              <w:ind w:left="20"/>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24"/>
                <w:szCs w:val="24"/>
                <w:color w:val="auto"/>
              </w:rPr>
            </w:pPr>
          </w:p>
        </w:tc>
        <w:tc>
          <w:tcPr>
            <w:tcW w:w="7760" w:type="dxa"/>
            <w:vAlign w:val="bottom"/>
            <w:gridSpan w:val="13"/>
          </w:tcPr>
          <w:p>
            <w:pPr>
              <w:spacing w:after="0"/>
              <w:rPr>
                <w:rFonts w:ascii="Arial" w:cs="Arial" w:eastAsia="Arial" w:hAnsi="Arial"/>
                <w:sz w:val="18"/>
                <w:szCs w:val="18"/>
                <w:color w:val="0000EE"/>
                <w:w w:val="94"/>
              </w:rPr>
            </w:pPr>
            <w:hyperlink w:anchor="page39">
              <w:r>
                <w:rPr>
                  <w:rFonts w:ascii="Arial" w:cs="Arial" w:eastAsia="Arial" w:hAnsi="Arial"/>
                  <w:sz w:val="18"/>
                  <w:szCs w:val="18"/>
                  <w:color w:val="0000EE"/>
                  <w:w w:val="94"/>
                </w:rPr>
                <w:t>Certification of Chief Executive Officer pursuant to Securities Exchange Act Rules 13a-4 and 15d-14 as</w:t>
              </w:r>
            </w:hyperlink>
          </w:p>
        </w:tc>
      </w:tr>
      <w:tr>
        <w:trPr>
          <w:trHeight w:val="223"/>
        </w:trPr>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500" w:type="dxa"/>
            <w:vAlign w:val="bottom"/>
            <w:tcBorders>
              <w:top w:val="single" w:sz="8" w:color="0000EE"/>
            </w:tcBorders>
            <w:gridSpan w:val="10"/>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adopted pursuant to Section 302 of the Sarbanes-Oxley Act of 2002.</w:t>
              </w:r>
            </w:hyperlink>
          </w:p>
        </w:tc>
        <w:tc>
          <w:tcPr>
            <w:tcW w:w="260" w:type="dxa"/>
            <w:vAlign w:val="bottom"/>
            <w:gridSpan w:val="3"/>
          </w:tcPr>
          <w:p>
            <w:pPr>
              <w:spacing w:after="0"/>
              <w:rPr>
                <w:sz w:val="19"/>
                <w:szCs w:val="19"/>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r>
      <w:tr>
        <w:trPr>
          <w:trHeight w:val="466"/>
        </w:trPr>
        <w:tc>
          <w:tcPr>
            <w:tcW w:w="880" w:type="dxa"/>
            <w:vAlign w:val="bottom"/>
          </w:tcPr>
          <w:p>
            <w:pPr>
              <w:ind w:left="20"/>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24"/>
                <w:szCs w:val="24"/>
                <w:color w:val="auto"/>
              </w:rPr>
            </w:pPr>
          </w:p>
        </w:tc>
        <w:tc>
          <w:tcPr>
            <w:tcW w:w="746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40">
              <w:r>
                <w:rPr>
                  <w:rFonts w:ascii="Arial" w:cs="Arial" w:eastAsia="Arial" w:hAnsi="Arial"/>
                  <w:sz w:val="18"/>
                  <w:szCs w:val="18"/>
                  <w:color w:val="0000EE"/>
                  <w:w w:val="91"/>
                </w:rPr>
                <w:t>Certification of Chief Financial Officer pursuant to Securities Exchange Act Rules 13a-4 and 15d-14 as</w:t>
              </w:r>
            </w:hyperlink>
          </w:p>
        </w:tc>
        <w:tc>
          <w:tcPr>
            <w:tcW w:w="300" w:type="dxa"/>
            <w:vAlign w:val="bottom"/>
            <w:gridSpan w:val="5"/>
          </w:tcPr>
          <w:p>
            <w:pPr>
              <w:spacing w:after="0"/>
              <w:rPr>
                <w:sz w:val="24"/>
                <w:szCs w:val="24"/>
                <w:color w:val="auto"/>
              </w:rPr>
            </w:pPr>
          </w:p>
        </w:tc>
      </w:tr>
      <w:tr>
        <w:trPr>
          <w:trHeight w:val="223"/>
        </w:trPr>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760" w:type="dxa"/>
            <w:vAlign w:val="bottom"/>
            <w:gridSpan w:val="13"/>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adopted pursuant to Section 302 of the Sarbanes-Oxley Act of 2002.</w:t>
              </w:r>
            </w:hyperlink>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r>
      <w:tr>
        <w:trPr>
          <w:trHeight w:val="466"/>
        </w:trPr>
        <w:tc>
          <w:tcPr>
            <w:tcW w:w="880" w:type="dxa"/>
            <w:vAlign w:val="bottom"/>
          </w:tcPr>
          <w:p>
            <w:pPr>
              <w:ind w:left="20"/>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24"/>
                <w:szCs w:val="24"/>
                <w:color w:val="auto"/>
              </w:rPr>
            </w:pPr>
          </w:p>
        </w:tc>
        <w:tc>
          <w:tcPr>
            <w:tcW w:w="7760" w:type="dxa"/>
            <w:vAlign w:val="bottom"/>
            <w:gridSpan w:val="13"/>
          </w:tcPr>
          <w:p>
            <w:pPr>
              <w:spacing w:after="0"/>
              <w:rPr>
                <w:rFonts w:ascii="Arial" w:cs="Arial" w:eastAsia="Arial" w:hAnsi="Arial"/>
                <w:sz w:val="18"/>
                <w:szCs w:val="18"/>
                <w:color w:val="0000EE"/>
                <w:w w:val="93"/>
              </w:rPr>
            </w:pPr>
            <w:hyperlink w:anchor="page41">
              <w:r>
                <w:rPr>
                  <w:rFonts w:ascii="Arial" w:cs="Arial" w:eastAsia="Arial" w:hAnsi="Arial"/>
                  <w:sz w:val="18"/>
                  <w:szCs w:val="18"/>
                  <w:color w:val="0000EE"/>
                  <w:w w:val="93"/>
                </w:rPr>
                <w:t>Certification pursuant to 18 U.S.C. 1350, adopted pursuant to Section 906 of the Sarbanes-Oxley Act of</w:t>
              </w:r>
            </w:hyperlink>
          </w:p>
        </w:tc>
      </w:tr>
      <w:tr>
        <w:trPr>
          <w:trHeight w:val="223"/>
        </w:trPr>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w:anchor="page41">
              <w:r>
                <w:rPr>
                  <w:rFonts w:ascii="Arial" w:cs="Arial" w:eastAsia="Arial" w:hAnsi="Arial"/>
                  <w:sz w:val="18"/>
                  <w:szCs w:val="18"/>
                  <w:color w:val="0000EE"/>
                  <w:w w:val="92"/>
                </w:rPr>
                <w:t>2002, by Chief Executive Officer.</w:t>
              </w:r>
            </w:hyperlink>
          </w:p>
        </w:tc>
        <w:tc>
          <w:tcPr>
            <w:tcW w:w="5040" w:type="dxa"/>
            <w:vAlign w:val="bottom"/>
            <w:tcBorders>
              <w:top w:val="single" w:sz="8" w:color="0000EE"/>
            </w:tcBorders>
            <w:gridSpan w:val="6"/>
          </w:tcPr>
          <w:p>
            <w:pPr>
              <w:spacing w:after="0"/>
              <w:rPr>
                <w:sz w:val="19"/>
                <w:szCs w:val="19"/>
                <w:color w:val="auto"/>
              </w:rPr>
            </w:pPr>
          </w:p>
        </w:tc>
        <w:tc>
          <w:tcPr>
            <w:tcW w:w="280" w:type="dxa"/>
            <w:vAlign w:val="bottom"/>
            <w:gridSpan w:val="4"/>
          </w:tcPr>
          <w:p>
            <w:pPr>
              <w:spacing w:after="0"/>
              <w:rPr>
                <w:sz w:val="19"/>
                <w:szCs w:val="19"/>
                <w:color w:val="auto"/>
              </w:rPr>
            </w:pPr>
          </w:p>
        </w:tc>
      </w:tr>
      <w:tr>
        <w:trPr>
          <w:trHeight w:val="466"/>
        </w:trPr>
        <w:tc>
          <w:tcPr>
            <w:tcW w:w="880" w:type="dxa"/>
            <w:vAlign w:val="bottom"/>
          </w:tcPr>
          <w:p>
            <w:pPr>
              <w:ind w:left="20"/>
              <w:spacing w:after="0"/>
              <w:rPr>
                <w:sz w:val="20"/>
                <w:szCs w:val="20"/>
                <w:color w:val="auto"/>
              </w:rPr>
            </w:pPr>
            <w:r>
              <w:rPr>
                <w:rFonts w:ascii="Arial" w:cs="Arial" w:eastAsia="Arial" w:hAnsi="Arial"/>
                <w:sz w:val="18"/>
                <w:szCs w:val="18"/>
                <w:color w:val="auto"/>
              </w:rPr>
              <w:t>32.2**</w:t>
            </w:r>
          </w:p>
        </w:tc>
        <w:tc>
          <w:tcPr>
            <w:tcW w:w="260" w:type="dxa"/>
            <w:vAlign w:val="bottom"/>
          </w:tcPr>
          <w:p>
            <w:pPr>
              <w:spacing w:after="0"/>
              <w:rPr>
                <w:sz w:val="24"/>
                <w:szCs w:val="24"/>
                <w:color w:val="auto"/>
              </w:rPr>
            </w:pPr>
          </w:p>
        </w:tc>
        <w:tc>
          <w:tcPr>
            <w:tcW w:w="7760" w:type="dxa"/>
            <w:vAlign w:val="bottom"/>
            <w:gridSpan w:val="13"/>
          </w:tcPr>
          <w:p>
            <w:pPr>
              <w:spacing w:after="0"/>
              <w:rPr>
                <w:rFonts w:ascii="Arial" w:cs="Arial" w:eastAsia="Arial" w:hAnsi="Arial"/>
                <w:sz w:val="18"/>
                <w:szCs w:val="18"/>
                <w:color w:val="0000EE"/>
                <w:w w:val="93"/>
              </w:rPr>
            </w:pPr>
            <w:hyperlink w:anchor="page42">
              <w:r>
                <w:rPr>
                  <w:rFonts w:ascii="Arial" w:cs="Arial" w:eastAsia="Arial" w:hAnsi="Arial"/>
                  <w:sz w:val="18"/>
                  <w:szCs w:val="18"/>
                  <w:color w:val="0000EE"/>
                  <w:w w:val="93"/>
                </w:rPr>
                <w:t>Certification pursuant to 18 U.S.C. 1350, adopted pursuant to Section 906 of the Sarbanes-Oxley Act of</w:t>
              </w:r>
            </w:hyperlink>
          </w:p>
        </w:tc>
      </w:tr>
      <w:tr>
        <w:trPr>
          <w:trHeight w:val="223"/>
        </w:trPr>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80" w:type="dxa"/>
            <w:vAlign w:val="bottom"/>
            <w:tcBorders>
              <w:top w:val="single" w:sz="8" w:color="0000EE"/>
            </w:tcBorders>
            <w:gridSpan w:val="9"/>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2002, by Chief Financial Officer.</w:t>
              </w:r>
            </w:hyperlink>
          </w:p>
        </w:tc>
        <w:tc>
          <w:tcPr>
            <w:tcW w:w="280" w:type="dxa"/>
            <w:vAlign w:val="bottom"/>
            <w:gridSpan w:val="4"/>
          </w:tcPr>
          <w:p>
            <w:pPr>
              <w:spacing w:after="0"/>
              <w:rPr>
                <w:sz w:val="19"/>
                <w:szCs w:val="19"/>
                <w:color w:val="auto"/>
              </w:rPr>
            </w:pPr>
          </w:p>
        </w:tc>
      </w:tr>
      <w:tr>
        <w:trPr>
          <w:trHeight w:val="20"/>
        </w:trPr>
        <w:tc>
          <w:tcPr>
            <w:tcW w:w="1140" w:type="dxa"/>
            <w:vAlign w:val="bottom"/>
            <w:gridSpan w:val="2"/>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5380" w:type="dxa"/>
            <w:vAlign w:val="bottom"/>
            <w:gridSpan w:val="11"/>
          </w:tcPr>
          <w:p>
            <w:pPr>
              <w:spacing w:after="0" w:line="20" w:lineRule="exact"/>
              <w:rPr>
                <w:sz w:val="1"/>
                <w:szCs w:val="1"/>
                <w:color w:val="auto"/>
              </w:rPr>
            </w:pPr>
          </w:p>
        </w:tc>
      </w:tr>
      <w:tr>
        <w:trPr>
          <w:trHeight w:val="507"/>
        </w:trPr>
        <w:tc>
          <w:tcPr>
            <w:tcW w:w="114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7760" w:type="dxa"/>
            <w:vAlign w:val="bottom"/>
            <w:gridSpan w:val="13"/>
          </w:tcPr>
          <w:p>
            <w:pPr>
              <w:spacing w:after="0"/>
              <w:rPr>
                <w:sz w:val="20"/>
                <w:szCs w:val="20"/>
                <w:color w:val="auto"/>
              </w:rPr>
            </w:pPr>
            <w:r>
              <w:rPr>
                <w:rFonts w:ascii="Arial" w:cs="Arial" w:eastAsia="Arial" w:hAnsi="Arial"/>
                <w:sz w:val="18"/>
                <w:szCs w:val="18"/>
                <w:color w:val="auto"/>
                <w:w w:val="91"/>
              </w:rPr>
              <w:t>XBRL Instance Document (the instance document does not appear in the Interactive Data File because its</w:t>
            </w:r>
          </w:p>
        </w:tc>
      </w:tr>
      <w:tr>
        <w:trPr>
          <w:trHeight w:val="243"/>
        </w:trPr>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760" w:type="dxa"/>
            <w:vAlign w:val="bottom"/>
            <w:gridSpan w:val="13"/>
          </w:tcPr>
          <w:p>
            <w:pPr>
              <w:spacing w:after="0"/>
              <w:rPr>
                <w:sz w:val="20"/>
                <w:szCs w:val="20"/>
                <w:color w:val="auto"/>
              </w:rPr>
            </w:pPr>
            <w:r>
              <w:rPr>
                <w:rFonts w:ascii="Arial" w:cs="Arial" w:eastAsia="Arial" w:hAnsi="Arial"/>
                <w:sz w:val="18"/>
                <w:szCs w:val="18"/>
                <w:color w:val="auto"/>
              </w:rPr>
              <w:t>XBRL tags are embedded within the Inline XBRL document).</w:t>
            </w:r>
          </w:p>
        </w:tc>
      </w:tr>
      <w:tr>
        <w:trPr>
          <w:trHeight w:val="486"/>
        </w:trPr>
        <w:tc>
          <w:tcPr>
            <w:tcW w:w="114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7760" w:type="dxa"/>
            <w:vAlign w:val="bottom"/>
            <w:gridSpan w:val="13"/>
          </w:tcPr>
          <w:p>
            <w:pPr>
              <w:spacing w:after="0"/>
              <w:rPr>
                <w:sz w:val="20"/>
                <w:szCs w:val="20"/>
                <w:color w:val="auto"/>
              </w:rPr>
            </w:pPr>
            <w:r>
              <w:rPr>
                <w:rFonts w:ascii="Arial" w:cs="Arial" w:eastAsia="Arial" w:hAnsi="Arial"/>
                <w:sz w:val="18"/>
                <w:szCs w:val="18"/>
                <w:color w:val="auto"/>
              </w:rPr>
              <w:t>XBRL Taxonomy Extension Schema Document.</w:t>
            </w:r>
          </w:p>
        </w:tc>
      </w:tr>
      <w:tr>
        <w:trPr>
          <w:trHeight w:val="486"/>
        </w:trPr>
        <w:tc>
          <w:tcPr>
            <w:tcW w:w="114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7760" w:type="dxa"/>
            <w:vAlign w:val="bottom"/>
            <w:gridSpan w:val="13"/>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86"/>
        </w:trPr>
        <w:tc>
          <w:tcPr>
            <w:tcW w:w="114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7760" w:type="dxa"/>
            <w:vAlign w:val="bottom"/>
            <w:gridSpan w:val="13"/>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86"/>
        </w:trPr>
        <w:tc>
          <w:tcPr>
            <w:tcW w:w="114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7760" w:type="dxa"/>
            <w:vAlign w:val="bottom"/>
            <w:gridSpan w:val="13"/>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86"/>
        </w:trPr>
        <w:tc>
          <w:tcPr>
            <w:tcW w:w="114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7760" w:type="dxa"/>
            <w:vAlign w:val="bottom"/>
            <w:gridSpan w:val="13"/>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86"/>
        </w:trPr>
        <w:tc>
          <w:tcPr>
            <w:tcW w:w="880" w:type="dxa"/>
            <w:vAlign w:val="bottom"/>
          </w:tcPr>
          <w:p>
            <w:pPr>
              <w:ind w:left="2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4"/>
                <w:szCs w:val="24"/>
                <w:color w:val="auto"/>
              </w:rPr>
            </w:pPr>
          </w:p>
        </w:tc>
        <w:tc>
          <w:tcPr>
            <w:tcW w:w="7760" w:type="dxa"/>
            <w:vAlign w:val="bottom"/>
            <w:gridSpan w:val="13"/>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76835</wp:posOffset>
            </wp:positionV>
            <wp:extent cx="141414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95" w:lineRule="exact"/>
        <w:rPr>
          <w:sz w:val="20"/>
          <w:szCs w:val="20"/>
          <w:color w:val="auto"/>
        </w:rPr>
      </w:pPr>
    </w:p>
    <w:p>
      <w:pPr>
        <w:ind w:left="320" w:hanging="270"/>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rFonts w:ascii="Arial" w:cs="Arial" w:eastAsia="Arial" w:hAnsi="Arial"/>
          <w:sz w:val="18"/>
          <w:szCs w:val="18"/>
          <w:color w:val="auto"/>
        </w:rPr>
      </w:pPr>
    </w:p>
    <w:p>
      <w:pPr>
        <w:ind w:left="320" w:hanging="270"/>
        <w:spacing w:after="0"/>
        <w:tabs>
          <w:tab w:leader="none" w:pos="3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880" w:type="dxa"/>
            <w:vAlign w:val="bottom"/>
            <w:gridSpan w:val="3"/>
          </w:tcPr>
          <w:p>
            <w:pPr>
              <w:ind w:left="2280"/>
              <w:spacing w:after="0"/>
              <w:rPr>
                <w:sz w:val="20"/>
                <w:szCs w:val="20"/>
                <w:color w:val="auto"/>
              </w:rPr>
            </w:pPr>
            <w:r>
              <w:rPr>
                <w:rFonts w:ascii="Arial" w:cs="Arial" w:eastAsia="Arial" w:hAnsi="Arial"/>
                <w:sz w:val="18"/>
                <w:szCs w:val="18"/>
                <w:color w:val="auto"/>
              </w:rPr>
              <w:t>PAYLOCITY HOLDING CORPORATION</w:t>
            </w:r>
          </w:p>
        </w:tc>
      </w:tr>
      <w:tr>
        <w:trPr>
          <w:trHeight w:val="439"/>
        </w:trPr>
        <w:tc>
          <w:tcPr>
            <w:tcW w:w="660" w:type="dxa"/>
            <w:vAlign w:val="bottom"/>
          </w:tcPr>
          <w:p>
            <w:pPr>
              <w:ind w:left="120"/>
              <w:spacing w:after="0"/>
              <w:rPr>
                <w:sz w:val="20"/>
                <w:szCs w:val="20"/>
                <w:color w:val="auto"/>
              </w:rPr>
            </w:pPr>
            <w:r>
              <w:rPr>
                <w:rFonts w:ascii="Arial" w:cs="Arial" w:eastAsia="Arial" w:hAnsi="Arial"/>
                <w:sz w:val="18"/>
                <w:szCs w:val="18"/>
                <w:color w:val="auto"/>
              </w:rPr>
              <w:t>Date:</w:t>
            </w:r>
          </w:p>
        </w:tc>
        <w:tc>
          <w:tcPr>
            <w:tcW w:w="2380" w:type="dxa"/>
            <w:vAlign w:val="bottom"/>
          </w:tcPr>
          <w:p>
            <w:pPr>
              <w:ind w:left="140"/>
              <w:spacing w:after="0"/>
              <w:rPr>
                <w:sz w:val="20"/>
                <w:szCs w:val="20"/>
                <w:color w:val="auto"/>
              </w:rPr>
            </w:pPr>
            <w:r>
              <w:rPr>
                <w:rFonts w:ascii="Arial" w:cs="Arial" w:eastAsia="Arial" w:hAnsi="Arial"/>
                <w:sz w:val="18"/>
                <w:szCs w:val="18"/>
                <w:color w:val="auto"/>
              </w:rPr>
              <w:t>May 7, 2021</w:t>
            </w:r>
          </w:p>
        </w:tc>
        <w:tc>
          <w:tcPr>
            <w:tcW w:w="2860" w:type="dxa"/>
            <w:vAlign w:val="bottom"/>
          </w:tcPr>
          <w:p>
            <w:pPr>
              <w:ind w:left="2280"/>
              <w:spacing w:after="0"/>
              <w:rPr>
                <w:sz w:val="20"/>
                <w:szCs w:val="20"/>
                <w:color w:val="auto"/>
              </w:rPr>
            </w:pPr>
            <w:r>
              <w:rPr>
                <w:rFonts w:ascii="Arial" w:cs="Arial" w:eastAsia="Arial" w:hAnsi="Arial"/>
                <w:sz w:val="18"/>
                <w:szCs w:val="18"/>
                <w:color w:val="auto"/>
              </w:rPr>
              <w:t>By:</w:t>
            </w:r>
          </w:p>
        </w:tc>
        <w:tc>
          <w:tcPr>
            <w:tcW w:w="3020" w:type="dxa"/>
            <w:vAlign w:val="bottom"/>
            <w:gridSpan w:val="2"/>
          </w:tcPr>
          <w:p>
            <w:pPr>
              <w:jc w:val="center"/>
              <w:spacing w:after="0"/>
              <w:rPr>
                <w:sz w:val="20"/>
                <w:szCs w:val="20"/>
                <w:color w:val="auto"/>
              </w:rPr>
            </w:pPr>
            <w:r>
              <w:rPr>
                <w:rFonts w:ascii="Arial" w:cs="Arial" w:eastAsia="Arial" w:hAnsi="Arial"/>
                <w:sz w:val="18"/>
                <w:szCs w:val="18"/>
                <w:color w:val="auto"/>
                <w:w w:val="89"/>
              </w:rPr>
              <w:t>/s/ Steven R. Beauchamp</w:t>
            </w:r>
          </w:p>
        </w:tc>
      </w:tr>
      <w:tr>
        <w:trPr>
          <w:trHeight w:val="198"/>
        </w:trPr>
        <w:tc>
          <w:tcPr>
            <w:tcW w:w="6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860" w:type="dxa"/>
            <w:vAlign w:val="bottom"/>
          </w:tcPr>
          <w:p>
            <w:pPr>
              <w:ind w:left="2280"/>
              <w:spacing w:after="0" w:line="198" w:lineRule="exact"/>
              <w:rPr>
                <w:sz w:val="20"/>
                <w:szCs w:val="20"/>
                <w:color w:val="auto"/>
              </w:rPr>
            </w:pPr>
            <w:r>
              <w:rPr>
                <w:rFonts w:ascii="Arial" w:cs="Arial" w:eastAsia="Arial" w:hAnsi="Arial"/>
                <w:sz w:val="18"/>
                <w:szCs w:val="18"/>
                <w:b w:val="1"/>
                <w:bCs w:val="1"/>
                <w:color w:val="auto"/>
              </w:rPr>
              <w:t>Name:</w:t>
            </w:r>
          </w:p>
        </w:tc>
        <w:tc>
          <w:tcPr>
            <w:tcW w:w="30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9"/>
              </w:rPr>
              <w:t>Steven R. Beauchamp</w:t>
            </w:r>
          </w:p>
        </w:tc>
        <w:tc>
          <w:tcPr>
            <w:tcW w:w="20" w:type="dxa"/>
            <w:vAlign w:val="bottom"/>
          </w:tcPr>
          <w:p>
            <w:pPr>
              <w:spacing w:after="0"/>
              <w:rPr>
                <w:sz w:val="17"/>
                <w:szCs w:val="17"/>
                <w:color w:val="auto"/>
              </w:rPr>
            </w:pPr>
          </w:p>
        </w:tc>
      </w:tr>
      <w:tr>
        <w:trPr>
          <w:trHeight w:val="216"/>
        </w:trPr>
        <w:tc>
          <w:tcPr>
            <w:tcW w:w="6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860" w:type="dxa"/>
            <w:vAlign w:val="bottom"/>
          </w:tcPr>
          <w:p>
            <w:pPr>
              <w:ind w:left="2280"/>
              <w:spacing w:after="0"/>
              <w:rPr>
                <w:sz w:val="20"/>
                <w:szCs w:val="20"/>
                <w:color w:val="auto"/>
              </w:rPr>
            </w:pPr>
            <w:r>
              <w:rPr>
                <w:rFonts w:ascii="Arial" w:cs="Arial" w:eastAsia="Arial" w:hAnsi="Arial"/>
                <w:sz w:val="18"/>
                <w:szCs w:val="18"/>
                <w:b w:val="1"/>
                <w:bCs w:val="1"/>
                <w:color w:val="auto"/>
              </w:rPr>
              <w:t>Title:</w:t>
            </w:r>
          </w:p>
        </w:tc>
        <w:tc>
          <w:tcPr>
            <w:tcW w:w="3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Chief Executive Officer (Principal</w:t>
            </w:r>
          </w:p>
        </w:tc>
      </w:tr>
      <w:tr>
        <w:trPr>
          <w:trHeight w:val="234"/>
        </w:trPr>
        <w:tc>
          <w:tcPr>
            <w:tcW w:w="6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Executive Officer) and Director</w:t>
            </w:r>
          </w:p>
        </w:tc>
      </w:tr>
      <w:tr>
        <w:trPr>
          <w:trHeight w:val="655"/>
        </w:trPr>
        <w:tc>
          <w:tcPr>
            <w:tcW w:w="660" w:type="dxa"/>
            <w:vAlign w:val="bottom"/>
          </w:tcPr>
          <w:p>
            <w:pPr>
              <w:ind w:left="120"/>
              <w:spacing w:after="0"/>
              <w:rPr>
                <w:sz w:val="20"/>
                <w:szCs w:val="20"/>
                <w:color w:val="auto"/>
              </w:rPr>
            </w:pPr>
            <w:r>
              <w:rPr>
                <w:rFonts w:ascii="Arial" w:cs="Arial" w:eastAsia="Arial" w:hAnsi="Arial"/>
                <w:sz w:val="18"/>
                <w:szCs w:val="18"/>
                <w:color w:val="auto"/>
              </w:rPr>
              <w:t>Date:</w:t>
            </w:r>
          </w:p>
        </w:tc>
        <w:tc>
          <w:tcPr>
            <w:tcW w:w="2380" w:type="dxa"/>
            <w:vAlign w:val="bottom"/>
          </w:tcPr>
          <w:p>
            <w:pPr>
              <w:ind w:left="140"/>
              <w:spacing w:after="0"/>
              <w:rPr>
                <w:sz w:val="20"/>
                <w:szCs w:val="20"/>
                <w:color w:val="auto"/>
              </w:rPr>
            </w:pPr>
            <w:r>
              <w:rPr>
                <w:rFonts w:ascii="Arial" w:cs="Arial" w:eastAsia="Arial" w:hAnsi="Arial"/>
                <w:sz w:val="18"/>
                <w:szCs w:val="18"/>
                <w:color w:val="auto"/>
              </w:rPr>
              <w:t>May 7, 2021</w:t>
            </w:r>
          </w:p>
        </w:tc>
        <w:tc>
          <w:tcPr>
            <w:tcW w:w="2860" w:type="dxa"/>
            <w:vAlign w:val="bottom"/>
          </w:tcPr>
          <w:p>
            <w:pPr>
              <w:ind w:left="2280"/>
              <w:spacing w:after="0"/>
              <w:rPr>
                <w:sz w:val="20"/>
                <w:szCs w:val="20"/>
                <w:color w:val="auto"/>
              </w:rPr>
            </w:pPr>
            <w:r>
              <w:rPr>
                <w:rFonts w:ascii="Arial" w:cs="Arial" w:eastAsia="Arial" w:hAnsi="Arial"/>
                <w:sz w:val="18"/>
                <w:szCs w:val="18"/>
                <w:color w:val="auto"/>
              </w:rPr>
              <w:t>By:</w:t>
            </w:r>
          </w:p>
        </w:tc>
        <w:tc>
          <w:tcPr>
            <w:tcW w:w="302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/s/ Toby J. Williams</w:t>
            </w:r>
          </w:p>
        </w:tc>
      </w:tr>
      <w:tr>
        <w:trPr>
          <w:trHeight w:val="198"/>
        </w:trPr>
        <w:tc>
          <w:tcPr>
            <w:tcW w:w="6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860" w:type="dxa"/>
            <w:vAlign w:val="bottom"/>
          </w:tcPr>
          <w:p>
            <w:pPr>
              <w:ind w:left="2280"/>
              <w:spacing w:after="0" w:line="198" w:lineRule="exact"/>
              <w:rPr>
                <w:sz w:val="20"/>
                <w:szCs w:val="20"/>
                <w:color w:val="auto"/>
              </w:rPr>
            </w:pPr>
            <w:r>
              <w:rPr>
                <w:rFonts w:ascii="Arial" w:cs="Arial" w:eastAsia="Arial" w:hAnsi="Arial"/>
                <w:sz w:val="18"/>
                <w:szCs w:val="18"/>
                <w:b w:val="1"/>
                <w:bCs w:val="1"/>
                <w:color w:val="auto"/>
              </w:rPr>
              <w:t>Name:</w:t>
            </w:r>
          </w:p>
        </w:tc>
        <w:tc>
          <w:tcPr>
            <w:tcW w:w="30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2"/>
              </w:rPr>
              <w:t>Toby J. Williams</w:t>
            </w:r>
          </w:p>
        </w:tc>
        <w:tc>
          <w:tcPr>
            <w:tcW w:w="20" w:type="dxa"/>
            <w:vAlign w:val="bottom"/>
          </w:tcPr>
          <w:p>
            <w:pPr>
              <w:spacing w:after="0"/>
              <w:rPr>
                <w:sz w:val="17"/>
                <w:szCs w:val="17"/>
                <w:color w:val="auto"/>
              </w:rPr>
            </w:pPr>
          </w:p>
        </w:tc>
      </w:tr>
      <w:tr>
        <w:trPr>
          <w:trHeight w:val="216"/>
        </w:trPr>
        <w:tc>
          <w:tcPr>
            <w:tcW w:w="6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860" w:type="dxa"/>
            <w:vAlign w:val="bottom"/>
          </w:tcPr>
          <w:p>
            <w:pPr>
              <w:ind w:left="2280"/>
              <w:spacing w:after="0"/>
              <w:rPr>
                <w:sz w:val="20"/>
                <w:szCs w:val="20"/>
                <w:color w:val="auto"/>
              </w:rPr>
            </w:pPr>
            <w:r>
              <w:rPr>
                <w:rFonts w:ascii="Arial" w:cs="Arial" w:eastAsia="Arial" w:hAnsi="Arial"/>
                <w:sz w:val="18"/>
                <w:szCs w:val="18"/>
                <w:b w:val="1"/>
                <w:bCs w:val="1"/>
                <w:color w:val="auto"/>
              </w:rPr>
              <w:t>Title:</w:t>
            </w:r>
          </w:p>
        </w:tc>
        <w:tc>
          <w:tcPr>
            <w:tcW w:w="3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Chief Financial Officer (Principal</w:t>
            </w:r>
          </w:p>
        </w:tc>
      </w:tr>
      <w:tr>
        <w:trPr>
          <w:trHeight w:val="234"/>
        </w:trPr>
        <w:tc>
          <w:tcPr>
            <w:tcW w:w="6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Financial Officer)</w:t>
            </w:r>
          </w:p>
        </w:tc>
      </w:tr>
      <w:tr>
        <w:trPr>
          <w:trHeight w:val="905"/>
        </w:trPr>
        <w:tc>
          <w:tcPr>
            <w:tcW w:w="6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860" w:type="dxa"/>
            <w:vAlign w:val="bottom"/>
          </w:tcPr>
          <w:p>
            <w:pPr>
              <w:ind w:left="1340"/>
              <w:spacing w:after="0"/>
              <w:rPr>
                <w:sz w:val="20"/>
                <w:szCs w:val="20"/>
                <w:color w:val="auto"/>
              </w:rPr>
            </w:pPr>
            <w:r>
              <w:rPr>
                <w:rFonts w:ascii="Arial" w:cs="Arial" w:eastAsia="Arial" w:hAnsi="Arial"/>
                <w:sz w:val="18"/>
                <w:szCs w:val="18"/>
                <w:color w:val="auto"/>
              </w:rPr>
              <w:t>37</w:t>
            </w:r>
          </w:p>
        </w:tc>
        <w:tc>
          <w:tcPr>
            <w:tcW w:w="3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6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38" w:name="page39"/>
    <w:bookmarkEnd w:id="38"/>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302(a) OF THE SARBANES-OXLEY ACT OF 2002</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Steven R. Beauchamp, certify that:</w:t>
      </w:r>
    </w:p>
    <w:p>
      <w:pPr>
        <w:spacing w:after="0" w:line="198" w:lineRule="exact"/>
        <w:rPr>
          <w:sz w:val="20"/>
          <w:szCs w:val="20"/>
          <w:color w:val="auto"/>
        </w:rPr>
      </w:pPr>
    </w:p>
    <w:p>
      <w:pPr>
        <w:ind w:left="1340" w:hanging="408"/>
        <w:spacing w:after="0"/>
        <w:tabs>
          <w:tab w:leader="none" w:pos="1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Paylocity Holding Corporation (the “Company”);</w:t>
      </w:r>
    </w:p>
    <w:p>
      <w:pPr>
        <w:spacing w:after="0" w:line="209" w:lineRule="exact"/>
        <w:rPr>
          <w:rFonts w:ascii="Arial" w:cs="Arial" w:eastAsia="Arial" w:hAnsi="Arial"/>
          <w:sz w:val="17"/>
          <w:szCs w:val="17"/>
          <w:color w:val="auto"/>
        </w:rPr>
      </w:pPr>
    </w:p>
    <w:p>
      <w:pPr>
        <w:ind w:left="500" w:right="299" w:firstLine="432"/>
        <w:spacing w:after="0" w:line="270" w:lineRule="auto"/>
        <w:tabs>
          <w:tab w:leader="none" w:pos="1346"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7"/>
          <w:szCs w:val="17"/>
          <w:color w:val="auto"/>
        </w:rPr>
      </w:pPr>
    </w:p>
    <w:p>
      <w:pPr>
        <w:ind w:left="500" w:right="119" w:firstLine="432"/>
        <w:spacing w:after="0" w:line="248" w:lineRule="auto"/>
        <w:tabs>
          <w:tab w:leader="none" w:pos="1346"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500" w:right="199" w:firstLine="432"/>
        <w:spacing w:after="0" w:line="294" w:lineRule="auto"/>
        <w:tabs>
          <w:tab w:leader="none" w:pos="1342"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3" w:lineRule="exact"/>
        <w:rPr>
          <w:rFonts w:ascii="Arial" w:cs="Arial" w:eastAsia="Arial" w:hAnsi="Arial"/>
          <w:sz w:val="16"/>
          <w:szCs w:val="16"/>
          <w:color w:val="auto"/>
        </w:rPr>
      </w:pPr>
    </w:p>
    <w:p>
      <w:pPr>
        <w:ind w:left="940" w:right="139" w:firstLine="432"/>
        <w:spacing w:after="0" w:line="243" w:lineRule="auto"/>
        <w:tabs>
          <w:tab w:leader="none" w:pos="1776"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jc w:val="both"/>
        <w:ind w:left="940" w:right="99" w:firstLine="432"/>
        <w:spacing w:after="0" w:line="243" w:lineRule="auto"/>
        <w:tabs>
          <w:tab w:leader="none" w:pos="1786"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ind w:left="940" w:right="219" w:firstLine="432"/>
        <w:spacing w:after="0" w:line="248" w:lineRule="auto"/>
        <w:tabs>
          <w:tab w:leader="none" w:pos="1776"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940" w:right="199" w:firstLine="432"/>
        <w:spacing w:after="0" w:line="270" w:lineRule="auto"/>
        <w:tabs>
          <w:tab w:leader="none" w:pos="1786" w:val="left"/>
        </w:tabs>
        <w:numPr>
          <w:ilvl w:val="1"/>
          <w:numId w:val="1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fiscal quarter ended March 31, 2021 that has materially affected, or is reasonably likely to materially affect, the registrant’s internal control over financial reporting; and</w:t>
      </w:r>
    </w:p>
    <w:p>
      <w:pPr>
        <w:spacing w:after="0" w:line="150" w:lineRule="exact"/>
        <w:rPr>
          <w:rFonts w:ascii="Arial" w:cs="Arial" w:eastAsia="Arial" w:hAnsi="Arial"/>
          <w:sz w:val="17"/>
          <w:szCs w:val="17"/>
          <w:color w:val="auto"/>
        </w:rPr>
      </w:pPr>
    </w:p>
    <w:p>
      <w:pPr>
        <w:ind w:left="500" w:right="179" w:firstLine="432"/>
        <w:spacing w:after="0" w:line="248" w:lineRule="auto"/>
        <w:tabs>
          <w:tab w:leader="none" w:pos="134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940" w:right="279" w:firstLine="432"/>
        <w:spacing w:after="0" w:line="248" w:lineRule="auto"/>
        <w:tabs>
          <w:tab w:leader="none" w:pos="1766"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940" w:right="479" w:firstLine="432"/>
        <w:spacing w:after="0" w:line="261" w:lineRule="auto"/>
        <w:tabs>
          <w:tab w:leader="none" w:pos="1776"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080" w:type="dxa"/>
            <w:vAlign w:val="bottom"/>
          </w:tcPr>
          <w:p>
            <w:pPr>
              <w:ind w:left="20"/>
              <w:spacing w:after="0"/>
              <w:rPr>
                <w:sz w:val="20"/>
                <w:szCs w:val="20"/>
                <w:color w:val="auto"/>
              </w:rPr>
            </w:pPr>
            <w:r>
              <w:rPr>
                <w:rFonts w:ascii="Arial" w:cs="Arial" w:eastAsia="Arial" w:hAnsi="Arial"/>
                <w:sz w:val="18"/>
                <w:szCs w:val="18"/>
                <w:color w:val="auto"/>
              </w:rPr>
              <w:t>Date: May 7, 2021</w:t>
            </w:r>
          </w:p>
        </w:tc>
        <w:tc>
          <w:tcPr>
            <w:tcW w:w="384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/s/ Steven R. Beauchamp</w:t>
            </w:r>
          </w:p>
        </w:tc>
      </w:tr>
      <w:tr>
        <w:trPr>
          <w:trHeight w:val="191"/>
        </w:trPr>
        <w:tc>
          <w:tcPr>
            <w:tcW w:w="5080" w:type="dxa"/>
            <w:vAlign w:val="bottom"/>
          </w:tcPr>
          <w:p>
            <w:pPr>
              <w:ind w:left="4460"/>
              <w:spacing w:after="0" w:line="191" w:lineRule="exact"/>
              <w:rPr>
                <w:sz w:val="20"/>
                <w:szCs w:val="20"/>
                <w:color w:val="auto"/>
              </w:rPr>
            </w:pPr>
            <w:r>
              <w:rPr>
                <w:rFonts w:ascii="Arial" w:cs="Arial" w:eastAsia="Arial" w:hAnsi="Arial"/>
                <w:sz w:val="18"/>
                <w:szCs w:val="18"/>
                <w:b w:val="1"/>
                <w:bCs w:val="1"/>
                <w:color w:val="auto"/>
              </w:rPr>
              <w:t>Name:</w:t>
            </w:r>
          </w:p>
        </w:tc>
        <w:tc>
          <w:tcPr>
            <w:tcW w:w="38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Steven R. Beauchamp</w:t>
            </w:r>
          </w:p>
        </w:tc>
        <w:tc>
          <w:tcPr>
            <w:tcW w:w="20" w:type="dxa"/>
            <w:vAlign w:val="bottom"/>
          </w:tcPr>
          <w:p>
            <w:pPr>
              <w:spacing w:after="0"/>
              <w:rPr>
                <w:sz w:val="16"/>
                <w:szCs w:val="16"/>
                <w:color w:val="auto"/>
              </w:rPr>
            </w:pPr>
          </w:p>
        </w:tc>
      </w:tr>
      <w:tr>
        <w:trPr>
          <w:trHeight w:val="234"/>
        </w:trPr>
        <w:tc>
          <w:tcPr>
            <w:tcW w:w="5080" w:type="dxa"/>
            <w:vAlign w:val="bottom"/>
          </w:tcPr>
          <w:p>
            <w:pPr>
              <w:ind w:left="4460"/>
              <w:spacing w:after="0"/>
              <w:rPr>
                <w:sz w:val="20"/>
                <w:szCs w:val="20"/>
                <w:color w:val="auto"/>
              </w:rPr>
            </w:pPr>
            <w:r>
              <w:rPr>
                <w:rFonts w:ascii="Arial" w:cs="Arial" w:eastAsia="Arial" w:hAnsi="Arial"/>
                <w:sz w:val="18"/>
                <w:szCs w:val="18"/>
                <w:b w:val="1"/>
                <w:bCs w:val="1"/>
                <w:color w:val="auto"/>
              </w:rPr>
              <w:t>Title:</w:t>
            </w:r>
          </w:p>
        </w:tc>
        <w:tc>
          <w:tcPr>
            <w:tcW w:w="38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Chief Executive Officer (Principal Executive</w:t>
            </w:r>
          </w:p>
        </w:tc>
      </w:tr>
      <w:tr>
        <w:trPr>
          <w:trHeight w:val="243"/>
        </w:trPr>
        <w:tc>
          <w:tcPr>
            <w:tcW w:w="5080" w:type="dxa"/>
            <w:vAlign w:val="bottom"/>
          </w:tcPr>
          <w:p>
            <w:pPr>
              <w:spacing w:after="0"/>
              <w:rPr>
                <w:sz w:val="21"/>
                <w:szCs w:val="21"/>
                <w:color w:val="auto"/>
              </w:rPr>
            </w:pPr>
          </w:p>
        </w:tc>
        <w:tc>
          <w:tcPr>
            <w:tcW w:w="38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Officer) and Director</w:t>
            </w:r>
          </w:p>
        </w:tc>
      </w:tr>
      <w:tr>
        <w:trPr>
          <w:trHeight w:val="776"/>
        </w:trPr>
        <w:tc>
          <w:tcPr>
            <w:tcW w:w="508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39" w:name="page40"/>
    <w:bookmarkEnd w:id="39"/>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302(a) OF THE SARBANES-OXLEY ACT OF 2002</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Toby J. Williams, certify that:</w:t>
      </w:r>
    </w:p>
    <w:p>
      <w:pPr>
        <w:spacing w:after="0" w:line="198" w:lineRule="exact"/>
        <w:rPr>
          <w:sz w:val="20"/>
          <w:szCs w:val="20"/>
          <w:color w:val="auto"/>
        </w:rPr>
      </w:pPr>
    </w:p>
    <w:p>
      <w:pPr>
        <w:ind w:left="1340" w:hanging="408"/>
        <w:spacing w:after="0"/>
        <w:tabs>
          <w:tab w:leader="none" w:pos="1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Paylocity Holding Corporation (the “Company”);</w:t>
      </w:r>
    </w:p>
    <w:p>
      <w:pPr>
        <w:spacing w:after="0" w:line="209" w:lineRule="exact"/>
        <w:rPr>
          <w:rFonts w:ascii="Arial" w:cs="Arial" w:eastAsia="Arial" w:hAnsi="Arial"/>
          <w:sz w:val="17"/>
          <w:szCs w:val="17"/>
          <w:color w:val="auto"/>
        </w:rPr>
      </w:pPr>
    </w:p>
    <w:p>
      <w:pPr>
        <w:ind w:left="500" w:right="299" w:firstLine="432"/>
        <w:spacing w:after="0" w:line="270" w:lineRule="auto"/>
        <w:tabs>
          <w:tab w:leader="none" w:pos="1346"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7"/>
          <w:szCs w:val="17"/>
          <w:color w:val="auto"/>
        </w:rPr>
      </w:pPr>
    </w:p>
    <w:p>
      <w:pPr>
        <w:ind w:left="500" w:right="119" w:firstLine="432"/>
        <w:spacing w:after="0" w:line="248" w:lineRule="auto"/>
        <w:tabs>
          <w:tab w:leader="none" w:pos="1346"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500" w:right="199" w:firstLine="432"/>
        <w:spacing w:after="0" w:line="294" w:lineRule="auto"/>
        <w:tabs>
          <w:tab w:leader="none" w:pos="1342"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3" w:lineRule="exact"/>
        <w:rPr>
          <w:rFonts w:ascii="Arial" w:cs="Arial" w:eastAsia="Arial" w:hAnsi="Arial"/>
          <w:sz w:val="16"/>
          <w:szCs w:val="16"/>
          <w:color w:val="auto"/>
        </w:rPr>
      </w:pPr>
    </w:p>
    <w:p>
      <w:pPr>
        <w:ind w:left="940" w:right="139" w:firstLine="432"/>
        <w:spacing w:after="0" w:line="243" w:lineRule="auto"/>
        <w:tabs>
          <w:tab w:leader="none" w:pos="1776"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jc w:val="both"/>
        <w:ind w:left="940" w:right="99" w:firstLine="432"/>
        <w:spacing w:after="0" w:line="243" w:lineRule="auto"/>
        <w:tabs>
          <w:tab w:leader="none" w:pos="1786"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ind w:left="940" w:right="219" w:firstLine="432"/>
        <w:spacing w:after="0" w:line="248" w:lineRule="auto"/>
        <w:tabs>
          <w:tab w:leader="none" w:pos="1776"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940" w:right="199" w:firstLine="432"/>
        <w:spacing w:after="0" w:line="270" w:lineRule="auto"/>
        <w:tabs>
          <w:tab w:leader="none" w:pos="1786" w:val="left"/>
        </w:tabs>
        <w:numPr>
          <w:ilvl w:val="1"/>
          <w:numId w:val="1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fiscal quarter ended March 31, 2021 that has materially affected, or is reasonably likely to materially affect, the registrant’s internal control over financial reporting; and</w:t>
      </w:r>
    </w:p>
    <w:p>
      <w:pPr>
        <w:spacing w:after="0" w:line="150" w:lineRule="exact"/>
        <w:rPr>
          <w:rFonts w:ascii="Arial" w:cs="Arial" w:eastAsia="Arial" w:hAnsi="Arial"/>
          <w:sz w:val="17"/>
          <w:szCs w:val="17"/>
          <w:color w:val="auto"/>
        </w:rPr>
      </w:pPr>
    </w:p>
    <w:p>
      <w:pPr>
        <w:ind w:left="500" w:right="179" w:firstLine="432"/>
        <w:spacing w:after="0" w:line="248" w:lineRule="auto"/>
        <w:tabs>
          <w:tab w:leader="none" w:pos="134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940" w:right="279" w:firstLine="432"/>
        <w:spacing w:after="0" w:line="248" w:lineRule="auto"/>
        <w:tabs>
          <w:tab w:leader="none" w:pos="1766"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940" w:right="479" w:firstLine="432"/>
        <w:spacing w:after="0" w:line="261" w:lineRule="auto"/>
        <w:tabs>
          <w:tab w:leader="none" w:pos="1776"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080" w:type="dxa"/>
            <w:vAlign w:val="bottom"/>
          </w:tcPr>
          <w:p>
            <w:pPr>
              <w:ind w:left="20"/>
              <w:spacing w:after="0"/>
              <w:rPr>
                <w:sz w:val="20"/>
                <w:szCs w:val="20"/>
                <w:color w:val="auto"/>
              </w:rPr>
            </w:pPr>
            <w:r>
              <w:rPr>
                <w:rFonts w:ascii="Arial" w:cs="Arial" w:eastAsia="Arial" w:hAnsi="Arial"/>
                <w:sz w:val="18"/>
                <w:szCs w:val="18"/>
                <w:color w:val="auto"/>
              </w:rPr>
              <w:t>Date: May 7, 2021</w:t>
            </w:r>
          </w:p>
        </w:tc>
        <w:tc>
          <w:tcPr>
            <w:tcW w:w="3840" w:type="dxa"/>
            <w:vAlign w:val="bottom"/>
            <w:gridSpan w:val="2"/>
          </w:tcPr>
          <w:p>
            <w:pPr>
              <w:jc w:val="center"/>
              <w:spacing w:after="0"/>
              <w:rPr>
                <w:sz w:val="20"/>
                <w:szCs w:val="20"/>
                <w:color w:val="auto"/>
              </w:rPr>
            </w:pPr>
            <w:r>
              <w:rPr>
                <w:rFonts w:ascii="Arial" w:cs="Arial" w:eastAsia="Arial" w:hAnsi="Arial"/>
                <w:sz w:val="18"/>
                <w:szCs w:val="18"/>
                <w:color w:val="auto"/>
                <w:w w:val="92"/>
              </w:rPr>
              <w:t>/s/ Toby J. Williams</w:t>
            </w:r>
          </w:p>
        </w:tc>
      </w:tr>
      <w:tr>
        <w:trPr>
          <w:trHeight w:val="178"/>
        </w:trPr>
        <w:tc>
          <w:tcPr>
            <w:tcW w:w="5080" w:type="dxa"/>
            <w:vAlign w:val="bottom"/>
          </w:tcPr>
          <w:p>
            <w:pPr>
              <w:ind w:left="4460"/>
              <w:spacing w:after="0" w:line="177" w:lineRule="exact"/>
              <w:rPr>
                <w:sz w:val="20"/>
                <w:szCs w:val="20"/>
                <w:color w:val="auto"/>
              </w:rPr>
            </w:pPr>
            <w:r>
              <w:rPr>
                <w:rFonts w:ascii="Arial" w:cs="Arial" w:eastAsia="Arial" w:hAnsi="Arial"/>
                <w:sz w:val="18"/>
                <w:szCs w:val="18"/>
                <w:b w:val="1"/>
                <w:bCs w:val="1"/>
                <w:color w:val="auto"/>
              </w:rPr>
              <w:t>Name:</w:t>
            </w:r>
          </w:p>
        </w:tc>
        <w:tc>
          <w:tcPr>
            <w:tcW w:w="382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92"/>
              </w:rPr>
              <w:t>Toby J. Williams</w:t>
            </w:r>
          </w:p>
        </w:tc>
        <w:tc>
          <w:tcPr>
            <w:tcW w:w="20" w:type="dxa"/>
            <w:vAlign w:val="bottom"/>
          </w:tcPr>
          <w:p>
            <w:pPr>
              <w:spacing w:after="0"/>
              <w:rPr>
                <w:sz w:val="15"/>
                <w:szCs w:val="15"/>
                <w:color w:val="auto"/>
              </w:rPr>
            </w:pPr>
          </w:p>
        </w:tc>
      </w:tr>
      <w:tr>
        <w:trPr>
          <w:trHeight w:val="203"/>
        </w:trPr>
        <w:tc>
          <w:tcPr>
            <w:tcW w:w="5080" w:type="dxa"/>
            <w:vAlign w:val="bottom"/>
          </w:tcPr>
          <w:p>
            <w:pPr>
              <w:ind w:left="4460"/>
              <w:spacing w:after="0" w:line="202" w:lineRule="exact"/>
              <w:rPr>
                <w:sz w:val="20"/>
                <w:szCs w:val="20"/>
                <w:color w:val="auto"/>
              </w:rPr>
            </w:pPr>
            <w:r>
              <w:rPr>
                <w:rFonts w:ascii="Arial" w:cs="Arial" w:eastAsia="Arial" w:hAnsi="Arial"/>
                <w:sz w:val="18"/>
                <w:szCs w:val="18"/>
                <w:b w:val="1"/>
                <w:bCs w:val="1"/>
                <w:color w:val="auto"/>
              </w:rPr>
              <w:t>Title:</w:t>
            </w:r>
          </w:p>
        </w:tc>
        <w:tc>
          <w:tcPr>
            <w:tcW w:w="38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3"/>
              </w:rPr>
              <w:t>Chief Financial Officer (Principal Financial</w:t>
            </w:r>
          </w:p>
        </w:tc>
      </w:tr>
      <w:tr>
        <w:trPr>
          <w:trHeight w:val="234"/>
        </w:trPr>
        <w:tc>
          <w:tcPr>
            <w:tcW w:w="5080" w:type="dxa"/>
            <w:vAlign w:val="bottom"/>
          </w:tcPr>
          <w:p>
            <w:pPr>
              <w:spacing w:after="0"/>
              <w:rPr>
                <w:sz w:val="20"/>
                <w:szCs w:val="20"/>
                <w:color w:val="auto"/>
              </w:rPr>
            </w:pPr>
          </w:p>
        </w:tc>
        <w:tc>
          <w:tcPr>
            <w:tcW w:w="38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Officer)</w:t>
            </w:r>
          </w:p>
        </w:tc>
      </w:tr>
      <w:tr>
        <w:trPr>
          <w:trHeight w:val="749"/>
        </w:trPr>
        <w:tc>
          <w:tcPr>
            <w:tcW w:w="508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40" w:name="page41"/>
    <w:bookmarkEnd w:id="40"/>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ind w:left="60" w:right="79"/>
        <w:spacing w:after="0" w:line="245" w:lineRule="auto"/>
        <w:rPr>
          <w:sz w:val="20"/>
          <w:szCs w:val="20"/>
          <w:color w:val="auto"/>
        </w:rPr>
      </w:pPr>
      <w:r>
        <w:rPr>
          <w:rFonts w:ascii="Arial" w:cs="Arial" w:eastAsia="Arial" w:hAnsi="Arial"/>
          <w:sz w:val="18"/>
          <w:szCs w:val="18"/>
          <w:b w:val="1"/>
          <w:bCs w:val="1"/>
          <w:color w:val="auto"/>
        </w:rPr>
        <w:t>CERTIFICATION OF CHIEF EXECUTIVE OFFICER PURSUANT TO 18 U.S.C. SECTION 1350 AS ADOPTED PURSUANT TO SECTION 906 OF THE SARBANES-OXLEY ACT OF 2002</w:t>
      </w:r>
    </w:p>
    <w:p>
      <w:pPr>
        <w:spacing w:after="0" w:line="171" w:lineRule="exact"/>
        <w:rPr>
          <w:sz w:val="20"/>
          <w:szCs w:val="20"/>
          <w:color w:val="auto"/>
        </w:rPr>
      </w:pPr>
    </w:p>
    <w:p>
      <w:pPr>
        <w:ind w:left="60" w:right="199" w:firstLine="441"/>
        <w:spacing w:after="0"/>
        <w:rPr>
          <w:sz w:val="20"/>
          <w:szCs w:val="20"/>
          <w:color w:val="auto"/>
        </w:rPr>
      </w:pPr>
      <w:r>
        <w:rPr>
          <w:rFonts w:ascii="Arial" w:cs="Arial" w:eastAsia="Arial" w:hAnsi="Arial"/>
          <w:sz w:val="18"/>
          <w:szCs w:val="18"/>
          <w:color w:val="auto"/>
        </w:rPr>
        <w:t>The undersigned, the Chief Executive Officer of Paylocity Holding Corporation (the “Company”), does hereby certify under the standards set forth and solely for the purposes of 18 U.S.C. 1350, as adopted pursuant to Section 906 of the Sarbanes-Oxley Act of 2002, that the Quarterly Report on Form 10-Q of the Company for the period ended March 31, 2021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176" w:lineRule="exact"/>
        <w:rPr>
          <w:sz w:val="20"/>
          <w:szCs w:val="20"/>
          <w:color w:val="auto"/>
        </w:rPr>
      </w:pPr>
    </w:p>
    <w:p>
      <w:pPr>
        <w:ind w:left="60"/>
        <w:spacing w:after="0"/>
        <w:tabs>
          <w:tab w:leader="none" w:pos="5800" w:val="left"/>
        </w:tabs>
        <w:rPr>
          <w:sz w:val="20"/>
          <w:szCs w:val="20"/>
          <w:color w:val="auto"/>
        </w:rPr>
      </w:pPr>
      <w:r>
        <w:rPr>
          <w:rFonts w:ascii="Arial" w:cs="Arial" w:eastAsia="Arial" w:hAnsi="Arial"/>
          <w:sz w:val="18"/>
          <w:szCs w:val="18"/>
          <w:color w:val="auto"/>
        </w:rPr>
        <w:t>Dated: May 7, 2021</w:t>
      </w:r>
      <w:r>
        <w:rPr>
          <w:sz w:val="20"/>
          <w:szCs w:val="20"/>
          <w:color w:val="auto"/>
        </w:rPr>
        <w:tab/>
      </w:r>
      <w:r>
        <w:rPr>
          <w:rFonts w:ascii="Arial" w:cs="Arial" w:eastAsia="Arial" w:hAnsi="Arial"/>
          <w:sz w:val="16"/>
          <w:szCs w:val="16"/>
          <w:color w:val="auto"/>
        </w:rPr>
        <w:t>/s/ Steven R. Beauchamp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6350</wp:posOffset>
            </wp:positionV>
            <wp:extent cx="28200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 w:lineRule="exact"/>
        <w:rPr>
          <w:sz w:val="20"/>
          <w:szCs w:val="20"/>
          <w:color w:val="auto"/>
        </w:rPr>
      </w:pPr>
    </w:p>
    <w:p>
      <w:pPr>
        <w:jc w:val="center"/>
        <w:ind w:left="4440"/>
        <w:spacing w:after="0"/>
        <w:rPr>
          <w:sz w:val="20"/>
          <w:szCs w:val="20"/>
          <w:color w:val="auto"/>
        </w:rPr>
      </w:pPr>
      <w:r>
        <w:rPr>
          <w:rFonts w:ascii="Arial" w:cs="Arial" w:eastAsia="Arial" w:hAnsi="Arial"/>
          <w:sz w:val="18"/>
          <w:szCs w:val="18"/>
          <w:b w:val="1"/>
          <w:bCs w:val="1"/>
          <w:color w:val="auto"/>
        </w:rPr>
        <w:t>Steven R. Beauchamp</w:t>
      </w:r>
    </w:p>
    <w:p>
      <w:pPr>
        <w:jc w:val="center"/>
        <w:ind w:left="4440"/>
        <w:spacing w:after="0"/>
        <w:rPr>
          <w:sz w:val="20"/>
          <w:szCs w:val="20"/>
          <w:color w:val="auto"/>
        </w:rPr>
      </w:pPr>
      <w:r>
        <w:rPr>
          <w:rFonts w:ascii="Arial" w:cs="Arial" w:eastAsia="Arial" w:hAnsi="Arial"/>
          <w:sz w:val="16"/>
          <w:szCs w:val="16"/>
          <w:b w:val="1"/>
          <w:bCs w:val="1"/>
          <w:color w:val="auto"/>
        </w:rPr>
        <w:t>Chief Executive Officer (Principal Executive Officer) and</w:t>
      </w:r>
    </w:p>
    <w:p>
      <w:pPr>
        <w:spacing w:after="0" w:line="19" w:lineRule="exact"/>
        <w:rPr>
          <w:sz w:val="20"/>
          <w:szCs w:val="20"/>
          <w:color w:val="auto"/>
        </w:rPr>
      </w:pPr>
    </w:p>
    <w:p>
      <w:pPr>
        <w:jc w:val="center"/>
        <w:ind w:left="4440"/>
        <w:spacing w:after="0"/>
        <w:rPr>
          <w:sz w:val="20"/>
          <w:szCs w:val="20"/>
          <w:color w:val="auto"/>
        </w:rPr>
      </w:pPr>
      <w:r>
        <w:rPr>
          <w:rFonts w:ascii="Arial" w:cs="Arial" w:eastAsia="Arial" w:hAnsi="Arial"/>
          <w:sz w:val="18"/>
          <w:szCs w:val="18"/>
          <w:b w:val="1"/>
          <w:bCs w:val="1"/>
          <w:color w:val="auto"/>
        </w:rPr>
        <w:t>Director</w:t>
      </w:r>
    </w:p>
    <w:p>
      <w:pPr>
        <w:spacing w:after="0" w:line="182" w:lineRule="exact"/>
        <w:rPr>
          <w:sz w:val="20"/>
          <w:szCs w:val="20"/>
          <w:color w:val="auto"/>
        </w:rPr>
      </w:pPr>
    </w:p>
    <w:p>
      <w:pPr>
        <w:ind w:left="60" w:right="319" w:firstLine="441"/>
        <w:spacing w:after="0" w:line="324"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294005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1" w:name="page42"/>
    <w:bookmarkEnd w:id="41"/>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198" w:lineRule="exact"/>
        <w:rPr>
          <w:sz w:val="20"/>
          <w:szCs w:val="20"/>
          <w:color w:val="auto"/>
        </w:rPr>
      </w:pPr>
    </w:p>
    <w:p>
      <w:pPr>
        <w:jc w:val="center"/>
        <w:ind w:left="60" w:right="79"/>
        <w:spacing w:after="0" w:line="245" w:lineRule="auto"/>
        <w:rPr>
          <w:sz w:val="20"/>
          <w:szCs w:val="20"/>
          <w:color w:val="auto"/>
        </w:rPr>
      </w:pPr>
      <w:r>
        <w:rPr>
          <w:rFonts w:ascii="Arial" w:cs="Arial" w:eastAsia="Arial" w:hAnsi="Arial"/>
          <w:sz w:val="18"/>
          <w:szCs w:val="18"/>
          <w:b w:val="1"/>
          <w:bCs w:val="1"/>
          <w:color w:val="auto"/>
        </w:rPr>
        <w:t>CERTIFICATION OF CHIEF FINANCIAL OFFICER PURSUANT TO 18 U.S.C. SECTION 1350 AS ADOPTED PURSUANT TO SECTION 906 OF THE SARBANES-OXLEY ACT OF 2002</w:t>
      </w:r>
    </w:p>
    <w:p>
      <w:pPr>
        <w:spacing w:after="0" w:line="171" w:lineRule="exact"/>
        <w:rPr>
          <w:sz w:val="20"/>
          <w:szCs w:val="20"/>
          <w:color w:val="auto"/>
        </w:rPr>
      </w:pPr>
    </w:p>
    <w:p>
      <w:pPr>
        <w:ind w:left="60" w:right="59" w:firstLine="441"/>
        <w:spacing w:after="0"/>
        <w:rPr>
          <w:sz w:val="20"/>
          <w:szCs w:val="20"/>
          <w:color w:val="auto"/>
        </w:rPr>
      </w:pPr>
      <w:r>
        <w:rPr>
          <w:rFonts w:ascii="Arial" w:cs="Arial" w:eastAsia="Arial" w:hAnsi="Arial"/>
          <w:sz w:val="18"/>
          <w:szCs w:val="18"/>
          <w:color w:val="auto"/>
        </w:rPr>
        <w:t>The undersigned, the Chief Financial Officer of Paylocity Holding Corporation (the “Company”), does hereby certify under the standards set forth and solely for the purposes of 18 U.S.C. 1350, as adopted pursuant to Section 906 of the Sarbanes-Oxley Act of 2002, that the Quarterly Report on Form 10-Q of the Company for the period ended March 31, 2021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189" w:lineRule="exact"/>
        <w:rPr>
          <w:sz w:val="20"/>
          <w:szCs w:val="20"/>
          <w:color w:val="auto"/>
        </w:rPr>
      </w:pPr>
    </w:p>
    <w:p>
      <w:pPr>
        <w:ind w:left="60"/>
        <w:spacing w:after="0"/>
        <w:tabs>
          <w:tab w:leader="none" w:pos="5820" w:val="left"/>
        </w:tabs>
        <w:rPr>
          <w:sz w:val="20"/>
          <w:szCs w:val="20"/>
          <w:color w:val="auto"/>
        </w:rPr>
      </w:pPr>
      <w:r>
        <w:rPr>
          <w:rFonts w:ascii="Arial" w:cs="Arial" w:eastAsia="Arial" w:hAnsi="Arial"/>
          <w:sz w:val="18"/>
          <w:szCs w:val="18"/>
          <w:color w:val="auto"/>
        </w:rPr>
        <w:t>Dated: May 7, 2021</w:t>
      </w:r>
      <w:r>
        <w:rPr>
          <w:sz w:val="20"/>
          <w:szCs w:val="20"/>
          <w:color w:val="auto"/>
        </w:rPr>
        <w:tab/>
      </w:r>
      <w:r>
        <w:rPr>
          <w:rFonts w:ascii="Arial" w:cs="Arial" w:eastAsia="Arial" w:hAnsi="Arial"/>
          <w:sz w:val="16"/>
          <w:szCs w:val="16"/>
          <w:color w:val="auto"/>
        </w:rPr>
        <w:t>/s/ Toby J.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2654300</wp:posOffset>
            </wp:positionH>
            <wp:positionV relativeFrom="paragraph">
              <wp:posOffset>6350</wp:posOffset>
            </wp:positionV>
            <wp:extent cx="30257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3025775" cy="8890"/>
                    </a:xfrm>
                    <a:prstGeom prst="rect">
                      <a:avLst/>
                    </a:prstGeom>
                    <a:noFill/>
                  </pic:spPr>
                </pic:pic>
              </a:graphicData>
            </a:graphic>
          </wp:anchor>
        </w:drawing>
      </w:r>
    </w:p>
    <w:p>
      <w:pPr>
        <w:spacing w:after="0" w:line="1" w:lineRule="exact"/>
        <w:rPr>
          <w:sz w:val="20"/>
          <w:szCs w:val="20"/>
          <w:color w:val="auto"/>
        </w:rPr>
      </w:pPr>
    </w:p>
    <w:p>
      <w:pPr>
        <w:jc w:val="center"/>
        <w:ind w:left="4120"/>
        <w:spacing w:after="0"/>
        <w:rPr>
          <w:sz w:val="20"/>
          <w:szCs w:val="20"/>
          <w:color w:val="auto"/>
        </w:rPr>
      </w:pPr>
      <w:r>
        <w:rPr>
          <w:rFonts w:ascii="Arial" w:cs="Arial" w:eastAsia="Arial" w:hAnsi="Arial"/>
          <w:sz w:val="18"/>
          <w:szCs w:val="18"/>
          <w:b w:val="1"/>
          <w:bCs w:val="1"/>
          <w:color w:val="auto"/>
        </w:rPr>
        <w:t>Toby J. Williams</w:t>
      </w:r>
    </w:p>
    <w:p>
      <w:pPr>
        <w:jc w:val="center"/>
        <w:ind w:left="4120"/>
        <w:spacing w:after="0"/>
        <w:rPr>
          <w:sz w:val="20"/>
          <w:szCs w:val="20"/>
          <w:color w:val="auto"/>
        </w:rPr>
      </w:pPr>
      <w:r>
        <w:rPr>
          <w:rFonts w:ascii="Arial" w:cs="Arial" w:eastAsia="Arial" w:hAnsi="Arial"/>
          <w:sz w:val="18"/>
          <w:szCs w:val="18"/>
          <w:b w:val="1"/>
          <w:bCs w:val="1"/>
          <w:color w:val="auto"/>
        </w:rPr>
        <w:t>Chief Financial Officer (Principal Financial Officer)</w:t>
      </w:r>
    </w:p>
    <w:p>
      <w:pPr>
        <w:spacing w:after="0" w:line="182" w:lineRule="exact"/>
        <w:rPr>
          <w:sz w:val="20"/>
          <w:szCs w:val="20"/>
          <w:color w:val="auto"/>
        </w:rPr>
      </w:pPr>
    </w:p>
    <w:p>
      <w:pPr>
        <w:ind w:left="60" w:right="319" w:firstLine="441"/>
        <w:spacing w:after="0" w:line="324"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294005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lowerLetter"/>
      <w:start w:val="1"/>
    </w:lvl>
  </w:abstractNum>
  <w:abstractNum w:abstractNumId="3">
    <w:nsid w:val="12200854"/>
    <w:multiLevelType w:val="hybridMultilevel"/>
    <w:lvl w:ilvl="0">
      <w:lvlJc w:val="left"/>
      <w:lvlText w:val="(%1)"/>
      <w:numFmt w:val="lowerLetter"/>
      <w:start w:val="2"/>
    </w:lvl>
  </w:abstractNum>
  <w:abstractNum w:abstractNumId="4">
    <w:nsid w:val="4DB127F8"/>
    <w:multiLevelType w:val="hybridMultilevel"/>
    <w:lvl w:ilvl="0">
      <w:lvlJc w:val="left"/>
      <w:lvlText w:val="(%1)"/>
      <w:numFmt w:val="lowerLetter"/>
      <w:start w:val="3"/>
    </w:lvl>
  </w:abstractNum>
  <w:abstractNum w:abstractNumId="5">
    <w:nsid w:val="216231B"/>
    <w:multiLevelType w:val="hybridMultilevel"/>
    <w:lvl w:ilvl="0">
      <w:lvlJc w:val="left"/>
      <w:lvlText w:val="(%1)"/>
      <w:numFmt w:val="lowerLetter"/>
      <w:start w:val="4"/>
    </w:lvl>
  </w:abstractNum>
  <w:abstractNum w:abstractNumId="6">
    <w:nsid w:val="1F16E9E8"/>
    <w:multiLevelType w:val="hybridMultilevel"/>
    <w:lvl w:ilvl="0">
      <w:lvlJc w:val="left"/>
      <w:lvlText w:val="(%1)"/>
      <w:numFmt w:val="lowerLetter"/>
      <w:start w:val="5"/>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2"/>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lvl w:ilvl="1">
      <w:lvlJc w:val="left"/>
      <w:lvlText w:val="**"/>
      <w:numFmt w:val="bullet"/>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54" Type="http://schemas.openxmlformats.org/officeDocument/2006/relationships/hyperlink" Target="http://www.sec.gov/Archives/edgar/data/1591698/000104746914000931/a2218171zex-3_2.htm" TargetMode="External"/><Relationship Id="rId55" Type="http://schemas.openxmlformats.org/officeDocument/2006/relationships/hyperlink" Target="http://www.sec.gov/Archives/edgar/data/1591698/000155837017006561/pcty-20170630ex321ac616a.htm" TargetMode="External"/><Relationship Id="rId56" Type="http://schemas.openxmlformats.org/officeDocument/2006/relationships/hyperlink" Target="https://www.sec.gov/Archives/edgar/data/1591698/000110465920096509/tm2027535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2021-05-07T09:03:29Z</dcterms:created>
  <dcterms:modified xsi:type="dcterms:W3CDTF">2021-05-07T09:03:29Z</dcterms:modified>
</cp:coreProperties>
</file>