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2025</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55,230,112 shares of Common Stock, $0.001 par value per share, as of April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477,785</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43,629</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111,839</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40,232</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673,485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3,429,517</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4,103,002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342,799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378,456</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18,140</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5,167,966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193,644</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2,950,411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3,422,621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3,624,984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33,599</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3,212,396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3,959,231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2024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2024 and March 31, 2025; 55,514</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June 30, 2024 and 55,540 shares issued and outstanding at March 31, 2025</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352,993</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851,977</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1,208,735</w:t>
            </w: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5,167,966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540" w:right="2380"/>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5"/>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95"/>
        </w:trPr>
        <w:tc>
          <w:tcPr>
            <w:tcW w:w="4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366,840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956,941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1,101,915</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92,569</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1,194,484</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324,849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369,358</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720,379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825,126</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273,338</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154,811</w:t>
            </w:r>
          </w:p>
        </w:tc>
      </w:tr>
      <w:tr>
        <w:trPr>
          <w:trHeight w:val="230"/>
        </w:trPr>
        <w:tc>
          <w:tcPr>
            <w:tcW w:w="4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159,180</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587,329</w:t>
            </w:r>
          </w:p>
        </w:tc>
      </w:tr>
      <w:tr>
        <w:trPr>
          <w:trHeight w:val="223"/>
        </w:trPr>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237,797</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23"/>
        </w:trPr>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242,264</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63,743</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178,521</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161,769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183,166</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4"/>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5"/>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57,048</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56,780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56,975</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56,640</w:t>
            </w:r>
          </w:p>
        </w:tc>
      </w:tr>
      <w:tr>
        <w:trPr>
          <w:trHeight w:val="21"/>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5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8"/>
          </w:tcPr>
          <w:p>
            <w:pPr>
              <w:ind w:left="440"/>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43"/>
        </w:trPr>
        <w:tc>
          <w:tcPr>
            <w:tcW w:w="4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4"/>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4"/>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72"/>
        </w:trPr>
        <w:tc>
          <w:tcPr>
            <w:tcW w:w="4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2023</w:t>
            </w:r>
          </w:p>
        </w:tc>
        <w:tc>
          <w:tcPr>
            <w:tcW w:w="82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56,313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446,860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539,323</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986,773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39,221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8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1,549</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96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losses on securities, net of tax</w:t>
            </w:r>
          </w:p>
        </w:tc>
        <w:tc>
          <w:tcPr>
            <w:tcW w:w="2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85,314</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85,314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2024</w:t>
            </w:r>
          </w:p>
        </w:tc>
        <w:tc>
          <w:tcPr>
            <w:tcW w:w="820" w:type="dxa"/>
            <w:vAlign w:val="bottom"/>
            <w:tcBorders>
              <w:top w:val="single" w:sz="8" w:color="auto"/>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56,427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475,414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624,637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1,099,414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gridSpan w:val="18"/>
          </w:tcPr>
          <w:p>
            <w:pPr>
              <w:ind w:left="50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1"/>
        </w:trPr>
        <w:tc>
          <w:tcPr>
            <w:tcW w:w="4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restart"/>
          </w:tcPr>
          <w:p>
            <w:pPr>
              <w:ind w:left="12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55,884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411,373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760,494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1,172,140</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w w:val="97"/>
              </w:rPr>
              <w:t>(12,116)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(12,116)</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w w:val="97"/>
              </w:rPr>
              <w:t>(84,977)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(84,977)</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91,483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352,993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851,977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1,208,735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0" w:type="dxa"/>
            <w:vAlign w:val="bottom"/>
            <w:gridSpan w:val="18"/>
          </w:tcPr>
          <w:p>
            <w:pPr>
              <w:ind w:left="500"/>
              <w:spacing w:after="0"/>
              <w:rPr>
                <w:sz w:val="20"/>
                <w:szCs w:val="20"/>
                <w:color w:val="auto"/>
              </w:rPr>
            </w:pPr>
            <w:r>
              <w:rPr>
                <w:rFonts w:ascii="Times New Roman" w:cs="Times New Roman" w:eastAsia="Times New Roman" w:hAnsi="Times New Roman"/>
                <w:sz w:val="12"/>
                <w:szCs w:val="12"/>
                <w:b w:val="1"/>
                <w:bCs w:val="1"/>
                <w:color w:val="auto"/>
              </w:rPr>
              <w:t>Nine Months Ended March 31, 2024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6"/>
          </w:tcPr>
          <w:p>
            <w:pPr>
              <w:jc w:val="right"/>
              <w:ind w:right="620"/>
              <w:spacing w:after="0" w:line="132"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4"/>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4"/>
            <w:vMerge w:val="restart"/>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restart"/>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4"/>
            <w:vMerge w:val="restart"/>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51"/>
        </w:trPr>
        <w:tc>
          <w:tcPr>
            <w:tcW w:w="4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380,632</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466,690</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(4,515)</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842,863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131,305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131,305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(48,090)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3,822</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3,822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157,947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157,947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475,414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624,637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1,099,414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gridSpan w:val="18"/>
          </w:tcPr>
          <w:p>
            <w:pPr>
              <w:ind w:left="520"/>
              <w:spacing w:after="0"/>
              <w:rPr>
                <w:sz w:val="20"/>
                <w:szCs w:val="20"/>
                <w:color w:val="auto"/>
              </w:rPr>
            </w:pPr>
            <w:r>
              <w:rPr>
                <w:rFonts w:ascii="Times New Roman" w:cs="Times New Roman" w:eastAsia="Times New Roman" w:hAnsi="Times New Roman"/>
                <w:sz w:val="12"/>
                <w:szCs w:val="12"/>
                <w:b w:val="1"/>
                <w:bCs w:val="1"/>
                <w:color w:val="auto"/>
              </w:rPr>
              <w:t>Nine Months Ended March 31, 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Accumulated Other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1"/>
        </w:trPr>
        <w:tc>
          <w:tcPr>
            <w:tcW w:w="4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4"/>
            <w:vMerge w:val="restart"/>
          </w:tcPr>
          <w:p>
            <w:pPr>
              <w:ind w:left="12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gridSpan w:val="4"/>
            <w:vMerge w:val="restart"/>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64"/>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55,514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360,488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673,456</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(936)</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1,033,064</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124,680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employee stock purchase plan</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w w:val="97"/>
              </w:rPr>
              <w:t>(53,813)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(53,813)</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w w:val="97"/>
              </w:rPr>
              <w:t>(93,615)</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(93,615)</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178,521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178,521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352,993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851,977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1,208,735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ectPr>
          <w:pgSz w:w="11900" w:h="16838" w:orient="portrait"/>
          <w:cols w:equalWidth="0" w:num="1">
            <w:col w:w="11180"/>
          </w:cols>
          <w:pgMar w:left="320" w:top="25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157,947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178,521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112,538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73,184</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18,971</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331,657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(121,777)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122,969</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and funds held for clients acquired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(277,851)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(328,543)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964,082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927,524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543,566</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1,155,853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546,680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2,421,312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3,577,165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3,392,349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34,659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63,963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492,695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477,785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3,084,470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2,914,564</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3,577,165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3,392,349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payroll and spend management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payroll and spend management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2025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2024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2023-07, Segment Reporting (Topic 280): Improvements to Reportable Segment Disclosures ("ASU 2023-07"). ASU 2023-07 primarily requires disclosure of significant segment expenses that are regularly provided to the chief operating decision maker along with other incremental segment information. The ASU is effective for fiscal years beginning after December 15, 2023 and interim periods within fiscal years beginning after December 15, 2024, with early adoption permitted, and will be applied retrospectively to all prior periods presented in the financial statements. The Company will adopt this standard for the fiscal year ended June 30, 2025 and continues to evaluate the impact of this ASU on its consolidated financial statement disclosures.</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continues to evaluate the impact of this ASU on its consolidated financial statement disclosures including the method and timing of adoption.</w:t>
      </w:r>
    </w:p>
    <w:p>
      <w:pPr>
        <w:spacing w:after="0" w:line="14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4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revenue from contracts from recurring service fees. While the majority of its agreements are generally cancellable by the client on 60 days’ notice or less, the Company also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 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1,056,093</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4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37,320</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28,983</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as follows: $10,822 in fiscal 2025, $14,763 in fiscal 2026 and $3,398 in fiscal 2027 and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43" w:lineRule="exact"/>
        <w:rPr>
          <w:sz w:val="20"/>
          <w:szCs w:val="20"/>
          <w:color w:val="auto"/>
        </w:rPr>
      </w:pPr>
    </w:p>
    <w:p>
      <w:pPr>
        <w:ind w:right="320" w:firstLine="648"/>
        <w:spacing w:after="0" w:line="277" w:lineRule="auto"/>
        <w:rPr>
          <w:sz w:val="20"/>
          <w:szCs w:val="20"/>
          <w:color w:val="auto"/>
        </w:rPr>
      </w:pPr>
      <w:r>
        <w:rPr>
          <w:rFonts w:ascii="Times New Roman" w:cs="Times New Roman" w:eastAsia="Times New Roman" w:hAnsi="Times New Roman"/>
          <w:sz w:val="17"/>
          <w:szCs w:val="17"/>
          <w:color w:val="auto"/>
        </w:rPr>
        <w:t>The Company utilizes the portfolio approach to account for both the cost of obtaining a contract and the cost of fulfilling a contract. These capitalized costs are amortized over the expected period of benefit, which has been determined to be generally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185,316</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268,161</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March 31, 2024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240,527</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185,316</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March 31, 2025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268,161</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$124,985 as of March 31, 2025,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acquisitions disclosed below using the acquisition method of accounting and recognized assets and liabilities at their fair values as of the date of acquisitions, with the excess recorded to goodwill.</w:t>
      </w:r>
    </w:p>
    <w:p>
      <w:pPr>
        <w:spacing w:after="0" w:line="20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November 30, 2023, the Company acquired all of the outstanding shares of TraceHQ.com, Inc. ("Trace") through a merger of Trace with a subsidiary of the Company for cash consideration of $12,086, subject to working capital and other customary purchase price adjustments. Trace offers a headcount planning solution that expands the Company's product functionality in this area. The allocation of the purchase price for Trace was approximately $6,809 of goodwill, $4,200 of proprietary technology, and other immaterial assets and liabilities which reflect certain immaterial measurement period adjustments recorded during the nine months ended March 31, 2025. Pro forma information is not presented for the Trace acquisition because the effects of the acquisition are not material to the Company’s consolidated financial statements.</w:t>
      </w:r>
    </w:p>
    <w:p>
      <w:pPr>
        <w:spacing w:after="0" w:line="14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Airbase Inc. ("Airbase") for cash consideration of $320,205, net of cash acquired and preliminary purchase price adjustments, which was funded by borrowings under its credit facility. Refer to Note 8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purchase price for Airbase was as follows, which reflects certain immaterial measurement period adjustments recorded during the nine months ended March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fund obligations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all assets acquired and liabilities assumed for Airbase are currently provisional and are subject to change over the measurement period as the Company continues to evaluate and analyze the estimates and assumptions used in the valuation. The measurement period will end no later than one year from the acquisition date.</w:t>
      </w:r>
    </w:p>
    <w:p>
      <w:pPr>
        <w:spacing w:after="0" w:line="14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results from both of the above acquisitions have been included in the Company’s consolidated financial statements since the closing of the respective transactions. The goodwill related to both of these transactions is primarily attributable to the assembled workforce and growth opportunities from the expansion and enhancement of the Company’s product offerings. The goodwill associated with both of these acquisitions is not deductible for income tax purposes. Direct costs related to both of the acquisitions were not material and were expensed as incurred as General and administrative expense in the Unaudited Consolidated Statements of Operations and Comprehensive Income.</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information below summarizes the combined results of the Company and Airbase as if the Company’s acquisition of Airbase closed on July 1, 2023, but does not necessarily reflect the combined actual results of operations of the Company and Airbase that would have been achieved, nor is it necessarily indicative of future results of operations. The unaudited pro forma information reflects certain adjustments that were directly attributable to the acquisition of Airbase, including amortization of acquired intangible assets, interest expense incurred to fund the acquisition and acquisition related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0" w:type="dxa"/>
            <w:vAlign w:val="bottom"/>
            <w:gridSpan w:val="3"/>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r>
      <w:tr>
        <w:trPr>
          <w:trHeight w:val="196"/>
        </w:trPr>
        <w:tc>
          <w:tcPr>
            <w:tcW w:w="4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454,548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1,060,497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1,200,882</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73,815</w:t>
            </w:r>
          </w:p>
        </w:tc>
        <w:tc>
          <w:tcPr>
            <w:tcW w:w="100" w:type="dxa"/>
            <w:vAlign w:val="bottom"/>
          </w:tcPr>
          <w:p>
            <w:pPr>
              <w:spacing w:after="0"/>
              <w:rPr>
                <w:sz w:val="20"/>
                <w:szCs w:val="20"/>
                <w:color w:val="auto"/>
              </w:rPr>
            </w:pPr>
          </w:p>
        </w:tc>
        <w:tc>
          <w:tcPr>
            <w:tcW w:w="1020" w:type="dxa"/>
            <w:vAlign w:val="bottom"/>
          </w:tcPr>
          <w:p>
            <w:pPr>
              <w:jc w:val="center"/>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121,475</w:t>
            </w:r>
          </w:p>
        </w:tc>
        <w:tc>
          <w:tcPr>
            <w:tcW w:w="10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due to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40" w:hanging="1027"/>
        <w:spacing w:after="0"/>
        <w:tabs>
          <w:tab w:leader="none" w:pos="2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2,375</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(881)</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248</w:t>
      </w:r>
    </w:p>
    <w:p>
      <w:pPr>
        <w:spacing w:after="0" w:line="6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324,269</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381,187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(207,857)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(251,715)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5"/>
              </w:rPr>
              <w:t>116,412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129,472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Amortization of capitalized internal-use software costs is primarily included in Cost of revenues and amounted to $12,260 and $15,248 for the three months ended March 31, 2024 and 2025, respectively, and $32,471 and $43,858 for the nine months ended March 31, 2024 and 2025, respectively.</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64,959</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(100,299)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$5,220 and $5,097 for the three months ended March 31, 2024 and 2025, respectively, and $15,449 and $15,474 for the nine months ended March 31, 2024 and 2025,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nine months ended March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108,937</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attributable to acquisition</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233,936</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342,799</w:t>
            </w:r>
          </w:p>
        </w:tc>
      </w:tr>
      <w:tr>
        <w:trPr>
          <w:trHeight w:val="21"/>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p>
      <w:pPr>
        <w:sectPr>
          <w:pgSz w:w="11900" w:h="16838" w:orient="portrait"/>
          <w:cols w:equalWidth="0" w:num="1">
            <w:col w:w="11240"/>
          </w:cols>
          <w:pgMar w:left="320" w:top="2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$2,798 and $5,627 for the three months ended March 31, 2024 and 2025, respectively, and $7,859 and $13,852 for the nine months ended March 31, 2024 and 2025, respectively, and is included in Cost of revenues and General and administrative.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March 31, 2025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24,467</w:t>
            </w:r>
          </w:p>
        </w:tc>
        <w:tc>
          <w:tcPr>
            <w:tcW w:w="0" w:type="dxa"/>
            <w:vAlign w:val="bottom"/>
          </w:tcPr>
          <w:p>
            <w:pPr>
              <w:spacing w:after="0"/>
              <w:rPr>
                <w:sz w:val="1"/>
                <w:szCs w:val="1"/>
                <w:color w:val="auto"/>
              </w:rPr>
            </w:pPr>
          </w:p>
        </w:tc>
      </w:tr>
      <w:tr>
        <w:trPr>
          <w:trHeight w:val="28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0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104,035</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37,580</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43,785</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193,644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0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and Cash Equivalents and Funds Held for Clients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509,145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3,354,814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2,914,564</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509,592</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514,953</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3,901,941</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3,907,302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2024 and March 31, 2025.</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2024 and March 31,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3"/>
        </w:trPr>
        <w:tc>
          <w:tcPr>
            <w:tcW w:w="37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477,785</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4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2,952,060</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3,429,517</w:t>
            </w:r>
          </w:p>
        </w:tc>
        <w:tc>
          <w:tcPr>
            <w:tcW w:w="0" w:type="dxa"/>
            <w:vAlign w:val="bottom"/>
          </w:tcPr>
          <w:p>
            <w:pPr>
              <w:spacing w:after="0"/>
              <w:rPr>
                <w:sz w:val="1"/>
                <w:szCs w:val="1"/>
                <w:color w:val="auto"/>
              </w:rPr>
            </w:pPr>
          </w:p>
        </w:tc>
      </w:tr>
      <w:tr>
        <w:trPr>
          <w:trHeight w:val="27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3,907,302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116,936</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121,141</w:t>
            </w: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276,376</w:t>
            </w: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48,592</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53,018</w:t>
            </w: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6"/>
                <w:szCs w:val="16"/>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100" w:type="dxa"/>
            <w:vAlign w:val="bottom"/>
          </w:tcPr>
          <w:p>
            <w:pPr>
              <w:spacing w:after="0"/>
              <w:rPr>
                <w:sz w:val="16"/>
                <w:szCs w:val="16"/>
                <w:color w:val="auto"/>
              </w:rPr>
            </w:pPr>
          </w:p>
        </w:tc>
        <w:tc>
          <w:tcPr>
            <w:tcW w:w="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99,373</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nine months ended March 31, 2024 or 2025. All securities in the Company’s portfolio held an A-1 rating or better as of March 31, 2025.</w:t>
      </w:r>
    </w:p>
    <w:p>
      <w:pPr>
        <w:spacing w:after="0" w:line="14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nine months ended March 31, 2024 or 2025. There were no realized gains or losses on the sale of available-for-sale securities for the three or nine months ended March 31, 2024 or 2025.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March 31,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4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156,938</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4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61,139</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4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4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231,755</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years and thereafter</w:t>
            </w:r>
          </w:p>
        </w:tc>
        <w:tc>
          <w:tcPr>
            <w:tcW w:w="42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0" w:type="dxa"/>
            <w:vAlign w:val="bottom"/>
          </w:tcPr>
          <w:p>
            <w:pPr>
              <w:spacing w:after="0"/>
              <w:rPr>
                <w:sz w:val="1"/>
                <w:szCs w:val="1"/>
                <w:color w:val="auto"/>
              </w:rPr>
            </w:pPr>
          </w:p>
        </w:tc>
      </w:tr>
      <w:tr>
        <w:trPr>
          <w:trHeight w:val="25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509,592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514,953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200" w:type="dxa"/>
            <w:vAlign w:val="bottom"/>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9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8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8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3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4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cash and cash equivalents, funds held for clients'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2024 and March 31, 2025 based upon the short-term nature of these assets and liabilities.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certificates of deposit,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2024 or March 31, 2025.</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3,353,871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2,845,669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477,785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2,914,564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2,914,564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3,907,302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3,392,349</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514,953</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outstanding borrowings will mature and be payable upon expiration. The Company had no outstanding borrowings under the credit facility at June 30, 2024. During the nine months ended March 31, 2025, the Company borrowed $325,000 to fund the acquisition of Airbase Inc. in October 2024, of which it repaid $81,250 in March 2025. As a result, $243,750 remained outstanding at March 31, 2025. Refer to Note 4 for further details on the Company's acquisition of Airbase Inc.</w:t>
      </w:r>
    </w:p>
    <w:p>
      <w:pPr>
        <w:spacing w:after="0" w:line="148"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Borrowings are to be used to fund working capital, capital expenditures and general corporate purposes, including share repurchases and permitted acquisitions, investments, and distributions. The Company generally may borrow, prepay and reborrow under the credit facility and terminate or reduce the lenders’ commitments at any time prior to revolving credit facility expiration without a premium or a penalty, other than customary “breakage” costs.</w:t>
      </w:r>
    </w:p>
    <w:p>
      <w:pPr>
        <w:spacing w:after="0" w:line="117"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Any borrowings under the credit facility will bear interest, at the Company’s option, at a rate per annum determined by reference to either the Term Secured Overnight Financing Rate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March 31, 2025, the Company was in compliance with all of the aforementioned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maintained a 2014 Equity Incentive Plan (the “2014 Plan”) and continues to maintain a 2023 Equity Incentive Plan (the “2023 Plan”). The 2023 Plan serves as the successor to the 2014 Plan and permits the granting of market share units ("MSUs"), performance stock units ("PSUs"), restricted stock units ("RSUs") and other equity incentives at the discretion of the compensation committee of the Company’s board of directors ("Committee"). No new awards have been or will be issued under the 2014 Plan since the effective date of the 2023 Plan. Outstanding awards under the 2014 Plan continue to be subject to the terms and conditions of the 2014 Plan.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As of March 31, 2025, the Company had 1,624 shares available for future grant under the 2023 Plan, and 1,744 shares were subject to outstanding options or awards. Generally, the Company issues previously unissued shares for the exercise of stock options or vesting of awards; however, shares previously subject to granted awards that are forfeited or net settled at exercise or release may be reissued under the 2023 Plan to satisfy future issuances.</w:t>
      </w:r>
    </w:p>
    <w:p>
      <w:pPr>
        <w:spacing w:after="0" w:line="11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PSUs, MSUs and the Company's Employee Stock Purchase Plan is included in the following line items in the accompanying Unaudited Consolidated Statements of Operations and Comprehensive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2"/>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29,183</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13,919</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14,503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40,760</w:t>
            </w: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34,952</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35,332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$3,470 and $3,101 of stock-based compensation expense in its capitalized internal-use software costs in the three months ended March 31, 2024 and 2025, respectively, and $11,435 and $10,555 for the nine months ended March 31, 2024 and 2025, respectively.</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nine months ended March 31, 2025. The table below presents stock option activity during the nine months ended March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9"/>
        </w:trPr>
        <w:tc>
          <w:tcPr>
            <w:tcW w:w="50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5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July 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$13,476 during the three months ended March 31, 2024 and $18,176 and $22,819 for the nine months ended March 31, 2024 and 2025, respectively. There were no options exercised during the three months ended March 31, 2025</w:t>
      </w:r>
    </w:p>
    <w:p>
      <w:pPr>
        <w:spacing w:after="0" w:line="13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2023 Plan with terms determined at the discretion of the Committee. RSUs are time-based awards that generally vest over four years following the grant date.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RSU activity during the nine months ended March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202.53</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March 31,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also grants PSUs under the 2023 Plan with terms determined at the discretion of the Committee. During the nine months ended March 31, 2025, the Company granted approximately 55 PSUs with a grant date fair value of $155.95 per share, all which remained outstanding at March 31, 2025. The actual number of PSUs that will be eligible 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vest is based on the achievement of Recurring and other revenue targets over a one-year period with vesting taking place annually over three years. Up to 200% of the target number of shares subject to each PSU are eligible to be earned.</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vest at the end of each TSR measurement period, and up to 200% of the target number of shares subject to each MSU are eligible to be earned.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MSU activity during the nine months ended March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335.79</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w:t>
            </w: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r>
      <w:tr>
        <w:trPr>
          <w:trHeight w:val="277"/>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March 31,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1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w:t>
            </w: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March 31, 2025, there was $139,716 of total unrecognized compensation cost, net of estimated forfeitures, related to unvested RSUs, PSUs and MSUs. That cost is expected to be recognized over a weighted average period of 1.7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The plaintiff will have 30 days to file a notice of appeal, if they choose. The Company will monitor any further developments related to this matter.</w:t>
      </w:r>
    </w:p>
    <w:p>
      <w:pPr>
        <w:spacing w:after="0" w:line="13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On September 11, 2023, a second potential class action complaint was filed against the Company with the Circuit Court of Cook County that alleges violations of the Illinois Biometric Information Privacy Act that overlap with claims in the first action. The Company is unable to estimate any reasonably possible loss, or range of loss, with respect to this matter at this time. The Company intends to vigorously defend against this lawsuit.</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Company is subject to litigation arising in the ordinary course of business. Many of these matters are covered in whole or in part by insurance. In the opinion of the Company’s management, the ultimate disposition of any of these matters that are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4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22.9% and 27.7% for the three months ended March 31, 2024 and 2025, respectively. The Company's effective tax rate for both the three months ended March 31, 2024 and 2025 was higher than the federal statutory rate of 21% primarily due to an increase in non-deductible stock-based compensation under Internal Revenue Code Section 162(m) and state and local income taxes.</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24.3% and 26.3% for the nine months ended March 31, 2024 and 2025, respectively. The Company's effective tax rate for both the nine months ended March 31, 2024 and 2025 was higher than the federal statutory rate of 21% primarily due to state and local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RSUs, PSUs and MSUs as of the balance sheet date. The following table presents the calculation of basic and diluted net income per share: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85,314</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91,483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178,521</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56,369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55,759</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options, RSUs and MSUs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57,048</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56,780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56,640</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March 31, 2024 and 2025 that were excluded from the diluted per share calculation for the periods presented because to include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4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6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92"/>
        </w:trPr>
        <w:tc>
          <w:tcPr>
            <w:tcW w:w="61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2024 filed with the SEC on August 2,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payroll and spend management software solutions that deliver a comprehensive platform for the modern workforce. Our platform offers an intuitive, easy-to-use product suite that helps businesses attract and retain talent, build culture and connection with their employees, and streamline and automate HR, payroll and spend management processes. We are expanding the spend management capabilities of our platform beyond expense management to include bill pay and accounts payable automation, corporate cards, and procurement capabilities through the acquisition of Airbase Inc. in October 2024. This integrated platform will enable HR and finance leaders to manage all their spend, including payroll, on a single platform.</w:t>
      </w:r>
    </w:p>
    <w:p>
      <w:pPr>
        <w:spacing w:after="0" w:line="16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across our entire organization as we grow our business over the long term. These investments include increasing the number of personnel across all functional areas, along with improving our solutions and infrastructure to support our growth. The timing and amount of these investments will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$401.3 million for the three months ended March 31, 2024 to $454.5 million for the three months ended March 31, 2025, representing a 13% year-over-year increase. Total revenues increased from $1,045.2 million for the nine months ended March 31, 2024 to $1,194.5 million for the nine months ended March 31, 2025, representing a 14% year-over-year increase. The increase in year-over-year revenue growth was driven by the strong performance by our sales team.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0"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described below. We define Adjusted EBITDA as net income before interest expense, income tax expense (benefit), depreciation and amortization expense, stock-based compensation expense and employer payroll taxes related to stock releases and option exercises and other items as described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6"/>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285,298</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324,695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720,379</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825,126</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43,858</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82"/>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304,647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897,046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1"/>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178,521</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63,743</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73,184</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325,130</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118,045</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w:t>
            </w:r>
          </w:p>
        </w:tc>
      </w:tr>
      <w:tr>
        <w:trPr>
          <w:trHeight w:val="282"/>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385,396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452,248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680" w:hanging="652"/>
        <w:spacing w:after="0" w:line="26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 and severance cost adjustments related to certain roles that have been eliminated. We exclude one-off severance costs that we incur as part of the normal course of our business operations.</w:t>
      </w:r>
    </w:p>
    <w:p>
      <w:pPr>
        <w:ind w:left="660" w:right="360" w:hanging="652"/>
        <w:spacing w:after="0" w:line="26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nonrecurring transaction-related costs, lease exit activity and severance costs related to certain roles that have been eliminated. We exclude one-off severance costs that we incur as part of the normal course of our business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HCM and payroll software solutions, which are recurring in nature. Recurring fees for each client generally include a base fee in addition to a fee based on the number of client employees and the number of products a client uses. We also charge fees for our preparation of W-2 documents and annual required filings on behalf of our clients. We charge implementation fees for professional services provided to implement our HCM and payroll solutions.</w:t>
      </w:r>
    </w:p>
    <w:p>
      <w:pPr>
        <w:spacing w:after="0" w:line="1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necessarily a good indicator of our financial results in any given period. Recurring and other revenue accounted for 91% and 93% of our total revenues for the three months ended March 31, 2024 and 2025, respectively, and 92% of our total revenues for both the nine months ended March 31, 2024 and 2025.</w:t>
      </w:r>
    </w:p>
    <w:p>
      <w:pPr>
        <w:spacing w:after="0" w:line="15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2"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$12.3 million and $15.2 million of capitalized internal-use software costs during the three months ended March 31, 2024 and 2025, respectively, and $32.5 million and $43.9 million of capitalized internal-use software costs for the nine months ended March 31, 2024 and 2025,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as well as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generally amortize them over a period of 7 years.</w:t>
      </w:r>
    </w:p>
    <w:p>
      <w:pPr>
        <w:spacing w:after="0" w:line="13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2024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r>
      <w:tr>
        <w:trPr>
          <w:trHeight w:val="198"/>
        </w:trPr>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9"/>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19,660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43,386</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51,396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134,130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154,811</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63,046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211,729</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increase in absolute dollars as our company continues to grow, we expect to realize cost efficiencies as our business scales.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9"/>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1,101,915</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1,194,484</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115,983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324,849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369,358</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720,379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825,126</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273,338</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154,811</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159,180</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587,329</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237,797</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242,264</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63,743</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Comparison of Three Months Ended March 31, 2024 and 2025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80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366,840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421,096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54,256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34,441</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33,452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March 31, 2025 increased by $54.3 million, or 15%, to $421.1 million from $366.8 million for the three months ended March 31, 2024.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March 31, 2025 decreased by $1.0 million, or 3%, to $33.5 million from $34.4 million for the three months ended March 31, 2024. Interest income on funds held for clients decreased primarily due to lower interest rates as compared to the prior fiscal year, partially offset by higher average daily balances of funds held for new and existing clients.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115,983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129,853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13,870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three months ended March 31, 2025 increased by $13.9 million, or 12%, to $129.9 million from $116.0 million for the three months ended March 31, 2024. Cost of revenues increased primarily as a result of the continued growth of our business, in particular, $5.6 million in additional employee-related costs, $3.0 million in additional amortization of internal use software, $2.9 million in additional processing and delivery related costs and $2.6 million in additional amortization of certain intangible assets. Gross margin remained consistent at 71% for both the three months ended March 31, 2024 and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86,760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91,774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5,014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2025 increased by $5.0 million, or 6%, to $91.8 million from $86.8 million for the three months ended March 31, 2024. The increase in sales and marketing expense was primarily due to $5.2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43,386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51,396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2025 increased by $8.0 million, or 18%, to $51.4 million from $43.4 million for the three months ended March 31, 2024. The increase in research and development expenses was primarily due to $5.9 million of additional employee-related costs related to additional development personnel, net of capitalized internal-use software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48,863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54,495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2025 increased by $5.6 million, or 12%, to $54.5 million from $48.9 million for the three months ended March 31, 2024. General and administrative expenses increased primarily due to $3.2 million in additional employee-related costs during the three months ended March 31,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March 31, 2025 decreased by $4.8 million as compared to the three months ended March 31, 2024. The change in other income was primarily due to $4.3 million in additional interest expense related to borrowings under our revolving credit facility to fund the October 2024 acquisition of Airbase Inc.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 w:lineRule="exact"/>
        <w:rPr>
          <w:sz w:val="20"/>
          <w:szCs w:val="20"/>
          <w:color w:val="auto"/>
        </w:rPr>
      </w:pPr>
    </w:p>
    <w:p>
      <w:pPr>
        <w:jc w:val="both"/>
        <w:ind w:right="80" w:firstLine="648"/>
        <w:spacing w:after="0" w:line="234" w:lineRule="auto"/>
        <w:rPr>
          <w:sz w:val="20"/>
          <w:szCs w:val="20"/>
          <w:color w:val="auto"/>
        </w:rPr>
      </w:pPr>
      <w:r>
        <w:rPr>
          <w:rFonts w:ascii="Times New Roman" w:cs="Times New Roman" w:eastAsia="Times New Roman" w:hAnsi="Times New Roman"/>
          <w:sz w:val="18"/>
          <w:szCs w:val="18"/>
          <w:color w:val="auto"/>
        </w:rPr>
        <w:t>Our effective tax rate was 22.9% and 27.7% for the three months ended March 31, 2024 and 2025, respectively. Our effective tax rate for both the three months ended March 31, 2024 and 2025 was higher than the federal statutory rate of 21% primarily due to an increase to non-deductible stock-based compensation under Internal Revenue Code Section 162(m) and state and local income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2024 and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956,941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1,101,915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88,287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92,569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nine months ended March 31, 2025 increased by $145.0 million, or 15%, to $1,101.9 million from $956.9 million for the nine months ended March 31, 2024. Recurring and other revenue increased primarily as a result of incremental revenues from new and existing clients due to the strong performance by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2025 increased by $4.3 million, or 5%, to $92.6 million from $88.3 million for the nine months ended March 31, 2024. Interest income on funds held for clients increased primarily due to higher average daily balances of funds held for new and existing clients as compared to the prior fiscal year partially offset by lower interest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324,849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369,358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44,509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nine months ended March 31, 2025 increased by $44.5 million, or 14%, to $369.4 million from $324.8 million for the nine months ended March 31, 2024. Cost of revenues increased primarily as a result of the continued growth of our business, in particular, $18.3 million in additional employee-related costs, $11.4 million in additional amortization of internal use software, $9.9 million in additional processing and delivery related costs and $5.7</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million in additional amortization of certain intangible assets. Gross margin remained consistent at 69% for both the nine months ended March 31, 2024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246,940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273,338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26,398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2025 increased by $26.4 million, or 11%, to $273.3 million from $246.9 million for the nine months ended March 31, 2024. The increase in sales and marketing expense was primarily due to $25.4 million of additional employee-related costs, including those incurred to expand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134,130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154,811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20,681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March 31, 2025 increased by $20.7 million, or 15%, to $154.8 million from $134.1 million for the nine months ended March 31, 2024. The increase in research and development expenses was primarily due to $17.4 million of additional employee-related costs related to additional development personnel, net of capitalized internal-use software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142,125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159,180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17,055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2025 increased by $17.1 million, or 12%, to $159.2 million from $142.1 million for the nine months ended March 31, 2024. General and administrative expenses increased primarily due to $10.3 million in additional employee-related costs during the nine months ended March 31, 2025 and a $4.3 million gain related to lease exit activity during the nine months ended March 31, 2024, partially offset by a $4.6 million reduction in stock-based compensation expense mostly attributable to executive award forfeitures.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Other income for the nine months ended March 31, 2025 decreased by $6.9 million as compared to the nine months ended March 31, 2024. The change in other income was primarily due to $9.3 million in additional interest expense related to borrowings under our revolving credit facility to fund the October 2024 acquisition of Airbase Inc., partially offset by a $2.7 million increase in interest income earned on our cash and cash equivalents as a result of higher average daily balances of those corporate cash and cash equivalents.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8"/>
          <w:szCs w:val="18"/>
          <w:color w:val="auto"/>
        </w:rPr>
        <w:t>Our effective tax rate was 24.3% and 26.3% for the nine months ended March 31, 2024 and 2025, respectively. Our effective tax rate for the nine months ended March 31, 2024 and 2025 was higher than the federal statutory rate of 21% primarily due to state and local income taxes.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3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There have been no material changes in our critical accounting policies and use of estimates from the information provided in Item 7 of our audited consolidated financial statements for the year ended June 30, 2024 included in our Annual Report on Form 10-K filed with the SEC on August 2,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March 31, 2025, our principal source of liquidity was $477.8 million of cash and cash equivalents. We maintain a credit agreement that provides for a $550.0 million revolving credit facility, which may be increased up to $825.0 million. In September 2024, we borrowed $325.0 million under this credit facility to fund the acquisition of Airbase Inc. in October 2024. We had $243.8 million in outstanding borrowings under this credit facility at March 31, 2025, as we repaid $81.3 million in March 2025. Refer to Notes 4 and 8 of the Notes to the Unaudited Consolidated Financial Statements for additional details on the Airbase acquisition and credit agreement, respectively.</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$500.0 million of our common stock (the "Repurchase Program"). The extent to which we repurchase shares, the number and price of any shares repurchased and the timing of any repurchases depends on the market price of our common stock, trading volume, general market conditions and other corporate and economic considerations. During the nine months ended March 31, 2025, we repurchased an aggregate of 472 thousand shares for approximately $93.6 million at an average cost per share of $198.11 under the Repurchase Program. As of March 31, 2025, approximately $256.4 million remains authorized for repurchases under the Repurchase Program.</w:t>
      </w:r>
    </w:p>
    <w:p>
      <w:pPr>
        <w:spacing w:after="0" w:line="1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bonds, asset-backed securities, certificates of deposit, U.S. treasury securities, and other securities with credit quality ratings of A-1 or higher as well as in money market funds. As of March 31, 2025, we did not have any corporate investments classified as available-for-sale securities.</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13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various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65"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331,657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(121,777)</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and funds held for clients acquired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(277,851)</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(328,543)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429,856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543,566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546,680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$304.7 million and $331.7 million for the nine months ended March 31, 2024 and 2025, respectively. The change in net cash provided by operating activities from the nine months ended March 31, 2024 to the nine months ended March 31, 2025 was primarily due to improved operating results after adjusting for non-cash items including stock-based compensation expense, depreciation and amortization expense and deferred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income tax expense (benefit) and other, accompanied by changes in operating assets and liabilities during the nine months ended March 31, 2025 as compared to the nine months ended March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$76.4 million and $328.5 million for the nine months ended March 31, 2024 and 2025,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$265.8 million in additional amounts paid for acquisitions, net of cash and funds held for clients acquired, and a $99.7 million decrease in proceeds from the sales and maturities of available-for-sale securities, partially offset by a $109.9 million decrease in purchases of available-for-sale securities during the nine months ended March 31, 2025 as compared to the nine months ended March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Net cash provided by financing activities was $927.5 million and $543.6 million for the nine months ended March 31, 2024 and 2025, respectively. The change in net cash provided by financing activities was primarily due to a decrease in the net change in client fund obligations of $534.2 million due to the timing of client funds collected and related remittance of those funds to client employees and taxing authorities, $91.1 million in share</w:t>
      </w:r>
    </w:p>
    <w:p>
      <w:pPr>
        <w:spacing w:after="0" w:line="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repurchases, and $81.3 million repayment of amounts borrowed on our credit facility, partially offset by $325.0 million in borrowings under our credit facility during the nine months ended March 31, 2025 as compared to the nine months ended March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At March 31, 2025, our principal commitments consisted of $243.8 million in borrowings on our revolving credit facility, which is contractually not due in the next twelve months, and related interest payments, as well as $67.3 million in operating lease obligations, of which $10.9 million is due in the next twelve months. We also had $79.5 million in purchase obligations, of which $47.4 million is due in the next twelve months.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$11.7 million and $7.6 million for the nine months ended March 31, 2024 and 2025, respectively, exclusive of capitalized internal-use software costs of $44.5 million and $45.6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2, 2024 for risks related to our business.</w:t>
      </w:r>
    </w:p>
    <w:p>
      <w:pPr>
        <w:spacing w:after="0" w:line="14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we had cash and cash equivalents of $477.8 million and funds held for clients of $3,429.5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bonds, asset-backed securities, certificates of deposit, U.S. treasury securities, and other securities, as well as in money market funds.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$11.1 million as of March 31, 2025.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$11.1 million as of March 31, 2025.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$243.8</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million in borrowings outstanding under our credit facility. </w:t>
      </w:r>
      <w:r>
        <w:rPr>
          <w:rFonts w:ascii="Times New Roman" w:cs="Times New Roman" w:eastAsia="Times New Roman" w:hAnsi="Times New Roman"/>
          <w:sz w:val="18"/>
          <w:szCs w:val="18"/>
          <w:color w:val="212529"/>
        </w:rPr>
        <w:t>Because interest rates applicable to the credit facility are variable, we are exposed to market risk</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from changes in the underlying index rates, which affects our interest expense. A hypothetical change of 100 basis points in interest rates would not have had a significant impact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March 31, 2025,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2024 filed with the SEC on August 2,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Company’s purchases of common stock during the three months ended March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Value of Shares that May</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Yet Be Purchased Under</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 (1)</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Plans or Programs (2)</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308,863,707</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191.91</w:t>
            </w:r>
          </w:p>
        </w:tc>
        <w:tc>
          <w:tcPr>
            <w:tcW w:w="100" w:type="dxa"/>
            <w:vAlign w:val="bottom"/>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256,420,098</w:t>
            </w:r>
          </w:p>
        </w:tc>
        <w:tc>
          <w:tcPr>
            <w:tcW w:w="0" w:type="dxa"/>
            <w:vAlign w:val="bottom"/>
          </w:tcPr>
          <w:p>
            <w:pPr>
              <w:spacing w:after="0"/>
              <w:rPr>
                <w:sz w:val="1"/>
                <w:szCs w:val="1"/>
                <w:color w:val="auto"/>
              </w:rPr>
            </w:pPr>
          </w:p>
        </w:tc>
      </w:tr>
      <w:tr>
        <w:trPr>
          <w:trHeight w:val="223"/>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excludes excise taxes payable on shares repurchased.</w:t>
      </w:r>
    </w:p>
    <w:p>
      <w:pPr>
        <w:spacing w:after="0" w:line="225" w:lineRule="exact"/>
        <w:rPr>
          <w:rFonts w:ascii="Times New Roman" w:cs="Times New Roman" w:eastAsia="Times New Roman" w:hAnsi="Times New Roman"/>
          <w:sz w:val="18"/>
          <w:szCs w:val="18"/>
          <w:color w:val="auto"/>
        </w:rPr>
      </w:pPr>
    </w:p>
    <w:p>
      <w:pPr>
        <w:ind w:right="580" w:firstLine="8"/>
        <w:spacing w:after="0" w:line="266" w:lineRule="auto"/>
        <w:tabs>
          <w:tab w:leader="none" w:pos="3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following directors and/or officers (as defined in Rule 16a-1(f)) adopted a “Rule 10b5-1 trading arrangement,” as defined in Item 408(a) of Regulation S-K intending to satisfy the affirmative defense of Rule 10b5-1(c):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2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Total Shares of Common</w:t>
            </w:r>
          </w:p>
        </w:tc>
        <w:tc>
          <w:tcPr>
            <w:tcW w:w="23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Duration</w:t>
            </w:r>
            <w:r>
              <w:rPr>
                <w:rFonts w:ascii="Times New Roman" w:cs="Times New Roman" w:eastAsia="Times New Roman" w:hAnsi="Times New Roman"/>
                <w:sz w:val="23"/>
                <w:szCs w:val="23"/>
                <w:b w:val="1"/>
                <w:bCs w:val="1"/>
                <w:color w:val="auto"/>
                <w:vertAlign w:val="superscript"/>
              </w:rPr>
              <w:t>1</w:t>
            </w:r>
          </w:p>
        </w:tc>
        <w:tc>
          <w:tcPr>
            <w:tcW w:w="1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2980" w:type="dxa"/>
            <w:vAlign w:val="bottom"/>
            <w:vMerge w:val="continue"/>
          </w:tcPr>
          <w:p>
            <w:pPr>
              <w:spacing w:after="0"/>
              <w:rPr>
                <w:sz w:val="21"/>
                <w:szCs w:val="21"/>
                <w:color w:val="auto"/>
              </w:rPr>
            </w:pPr>
          </w:p>
        </w:tc>
        <w:tc>
          <w:tcPr>
            <w:tcW w:w="22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232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Cappotelli</w:t>
            </w:r>
          </w:p>
        </w:tc>
        <w:tc>
          <w:tcPr>
            <w:tcW w:w="2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3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June 23, 2025 -</w:t>
            </w:r>
          </w:p>
        </w:tc>
        <w:tc>
          <w:tcPr>
            <w:tcW w:w="19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29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320" w:type="dxa"/>
            <w:vAlign w:val="bottom"/>
            <w:vMerge w:val="continue"/>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Operations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 to 5,427</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2</w:t>
            </w:r>
          </w:p>
        </w:tc>
        <w:tc>
          <w:tcPr>
            <w:tcW w:w="2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September 5, 2025</w:t>
            </w:r>
          </w:p>
        </w:tc>
        <w:tc>
          <w:tcPr>
            <w:tcW w:w="19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February 25, 2025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5, 2025</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Toby Williams</w:t>
            </w: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August 15, 2025 - March</w:t>
            </w:r>
          </w:p>
        </w:tc>
        <w:tc>
          <w:tcPr>
            <w:tcW w:w="1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3</w:t>
            </w:r>
          </w:p>
        </w:tc>
        <w:tc>
          <w:tcPr>
            <w:tcW w:w="2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13, 2026</w:t>
            </w:r>
          </w:p>
        </w:tc>
        <w:tc>
          <w:tcPr>
            <w:tcW w:w="1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February 21,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56" w:right="35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80" w:right="40" w:hanging="412"/>
        <w:spacing w:after="0" w:line="258" w:lineRule="auto"/>
        <w:rPr>
          <w:sz w:val="20"/>
          <w:szCs w:val="20"/>
          <w:color w:val="auto"/>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ind w:left="380" w:hanging="409"/>
        <w:spacing w:after="0" w:line="232" w:lineRule="auto"/>
        <w:rPr>
          <w:sz w:val="20"/>
          <w:szCs w:val="20"/>
          <w:color w:val="auto"/>
        </w:rPr>
      </w:pPr>
      <w:r>
        <w:rPr>
          <w:rFonts w:ascii="Times New Roman" w:cs="Times New Roman" w:eastAsia="Times New Roman" w:hAnsi="Times New Roman"/>
          <w:sz w:val="18"/>
          <w:szCs w:val="18"/>
          <w:color w:val="auto"/>
        </w:rPr>
        <w:t>Includes shares subject to certain outstanding equity awards with time- and/or performance-based vesting conditions. For shares subject to performance-based vesting conditions, the number of shares included in the table above assumes the target achievement of the performance-based conditions. Additionally, for both time- and performance-based vesting awards, the actual number of shares that may be sold will be net of the number of shares withheld by the Company to satisfy tax withholding obligations arising from the vesting of such awards, which is not determinable at this time.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to be sold is determined, in part, based on pricing triggers outlined in the adopting person's trading arrangement.</w:t>
      </w:r>
    </w:p>
    <w:p>
      <w:pPr>
        <w:spacing w:after="0" w:line="200" w:lineRule="exact"/>
        <w:rPr>
          <w:sz w:val="20"/>
          <w:szCs w:val="20"/>
          <w:color w:val="auto"/>
        </w:rPr>
      </w:pPr>
    </w:p>
    <w:p>
      <w:pPr>
        <w:sectPr>
          <w:pgSz w:w="11900" w:h="16838" w:orient="portrait"/>
          <w:cols w:equalWidth="0" w:num="2">
            <w:col w:w="60" w:space="220"/>
            <w:col w:w="10940"/>
          </w:cols>
          <w:pgMar w:left="320" w:top="256" w:right="359" w:bottom="1440" w:gutter="0" w:footer="0" w:header="0"/>
          <w:type w:val="continuous"/>
        </w:sectPr>
      </w:pPr>
    </w:p>
    <w:p>
      <w:pPr>
        <w:spacing w:after="0" w:line="147"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March 31, 2025.</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6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3"/>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8-K on December 4, 2023 (File No. 001-36348)).</w:t>
              </w:r>
            </w:hyperlink>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3"/>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480" w:type="dxa"/>
            <w:vAlign w:val="bottom"/>
            <w:gridSpan w:val="5"/>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6"/>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00" w:type="dxa"/>
            <w:vAlign w:val="bottom"/>
            <w:gridSpan w:val="11"/>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2, 2025</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2, 2025</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r>
        <w:trPr>
          <w:trHeight w:val="904"/>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36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ectPr>
          <w:pgSz w:w="11900" w:h="16838" w:orient="portrait"/>
          <w:cols w:equalWidth="0" w:num="1">
            <w:col w:w="11240"/>
          </w:cols>
          <w:pgMar w:left="320" w:top="3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March 31, 2025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4"/>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3" Type="http://schemas.openxmlformats.org/officeDocument/2006/relationships/hyperlink" Target="https://www.sec.gov/Archives/edgar/data/1591698/000159169823000278/pcty-20231130xexhibit31.htm" TargetMode="External"/><Relationship Id="rId64" Type="http://schemas.openxmlformats.org/officeDocument/2006/relationships/hyperlink" Target="https://www.sec.gov/Archives/edgar/data/1591698/000159169823000278/pcty-20231130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2025-05-02T09:05:27Z</dcterms:created>
  <dcterms:modified xsi:type="dcterms:W3CDTF">2025-05-02T09:05:27Z</dcterms:modified>
</cp:coreProperties>
</file>