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8"/>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90805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30"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86360</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63" w:lineRule="exact"/>
        <w:rPr>
          <w:sz w:val="24"/>
          <w:szCs w:val="24"/>
          <w:color w:val="auto"/>
        </w:rPr>
      </w:pPr>
    </w:p>
    <w:p>
      <w:pPr>
        <w:ind w:left="4009" w:right="2720" w:hanging="4009"/>
        <w:spacing w:after="0" w:line="322" w:lineRule="auto"/>
        <w:tabs>
          <w:tab w:leader="none" w:pos="649"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June 30, 2017</w:t>
      </w:r>
    </w:p>
    <w:p>
      <w:pPr>
        <w:ind w:left="5089"/>
        <w:spacing w:after="0"/>
        <w:rPr>
          <w:rFonts w:ascii="Arial" w:cs="Arial" w:eastAsia="Arial" w:hAnsi="Arial"/>
          <w:sz w:val="14"/>
          <w:szCs w:val="14"/>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649" w:hanging="649"/>
        <w:spacing w:after="0"/>
        <w:tabs>
          <w:tab w:leader="none" w:pos="649"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5" w:lineRule="exact"/>
        <w:rPr>
          <w:sz w:val="24"/>
          <w:szCs w:val="24"/>
          <w:color w:val="auto"/>
        </w:rPr>
      </w:pPr>
    </w:p>
    <w:p>
      <w:pPr>
        <w:ind w:left="3629"/>
        <w:spacing w:after="0"/>
        <w:tabs>
          <w:tab w:leader="none" w:pos="6088"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ind w:right="-8"/>
        <w:spacing w:after="0"/>
        <w:rPr>
          <w:sz w:val="20"/>
          <w:szCs w:val="20"/>
          <w:color w:val="auto"/>
        </w:rPr>
      </w:pPr>
      <w:r>
        <w:rPr>
          <w:rFonts w:ascii="Arial" w:cs="Arial" w:eastAsia="Arial" w:hAnsi="Arial"/>
          <w:sz w:val="14"/>
          <w:szCs w:val="14"/>
          <w:b w:val="1"/>
          <w:bCs w:val="1"/>
          <w:color w:val="auto"/>
        </w:rPr>
        <w:t>Commission File Number 001- 36348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83820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5" w:lineRule="exact"/>
        <w:rPr>
          <w:sz w:val="24"/>
          <w:szCs w:val="24"/>
          <w:color w:val="auto"/>
        </w:rPr>
      </w:pPr>
    </w:p>
    <w:p>
      <w:pPr>
        <w:jc w:val="center"/>
        <w:ind w:right="-8"/>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8"/>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90805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389"/>
          </w:cols>
          <w:pgMar w:left="751" w:top="233" w:right="759" w:bottom="1440" w:gutter="0" w:footer="0" w:header="0"/>
        </w:sectPr>
      </w:pPr>
    </w:p>
    <w:p>
      <w:pPr>
        <w:spacing w:after="0" w:line="255" w:lineRule="exact"/>
        <w:rPr>
          <w:sz w:val="24"/>
          <w:szCs w:val="24"/>
          <w:color w:val="auto"/>
        </w:rPr>
      </w:pPr>
    </w:p>
    <w:p>
      <w:pPr>
        <w:ind w:left="2269"/>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709"/>
        <w:spacing w:after="0"/>
        <w:rPr>
          <w:sz w:val="20"/>
          <w:szCs w:val="20"/>
          <w:color w:val="auto"/>
        </w:rPr>
      </w:pPr>
      <w:r>
        <w:rPr>
          <w:rFonts w:ascii="Arial" w:cs="Arial" w:eastAsia="Arial" w:hAnsi="Arial"/>
          <w:sz w:val="13"/>
          <w:szCs w:val="13"/>
          <w:color w:val="auto"/>
        </w:rPr>
        <w:t>(State or other jurisdiction of</w:t>
      </w:r>
    </w:p>
    <w:p>
      <w:pPr>
        <w:ind w:left="1689"/>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880"/>
        <w:spacing w:after="0"/>
        <w:rPr>
          <w:sz w:val="20"/>
          <w:szCs w:val="20"/>
          <w:color w:val="auto"/>
        </w:rPr>
      </w:pPr>
      <w:r>
        <w:rPr>
          <w:rFonts w:ascii="Arial" w:cs="Arial" w:eastAsia="Arial" w:hAnsi="Arial"/>
          <w:sz w:val="14"/>
          <w:szCs w:val="14"/>
          <w:b w:val="1"/>
          <w:bCs w:val="1"/>
          <w:color w:val="auto"/>
        </w:rPr>
        <w:t>46-4066644</w:t>
      </w:r>
    </w:p>
    <w:p>
      <w:pPr>
        <w:jc w:val="center"/>
        <w:ind w:right="1880"/>
        <w:spacing w:after="0" w:line="226" w:lineRule="auto"/>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1880"/>
        <w:spacing w:after="0"/>
        <w:rPr>
          <w:sz w:val="20"/>
          <w:szCs w:val="20"/>
          <w:color w:val="auto"/>
        </w:rPr>
      </w:pPr>
      <w:r>
        <w:rPr>
          <w:rFonts w:ascii="Arial" w:cs="Arial" w:eastAsia="Arial" w:hAnsi="Arial"/>
          <w:sz w:val="13"/>
          <w:szCs w:val="13"/>
          <w:color w:val="auto"/>
        </w:rPr>
        <w:t>Identification Number)</w:t>
      </w:r>
    </w:p>
    <w:p>
      <w:pPr>
        <w:spacing w:after="0" w:line="51" w:lineRule="exact"/>
        <w:rPr>
          <w:sz w:val="24"/>
          <w:szCs w:val="24"/>
          <w:color w:val="auto"/>
        </w:rPr>
      </w:pPr>
    </w:p>
    <w:p>
      <w:pPr>
        <w:sectPr>
          <w:pgSz w:w="11900" w:h="16838" w:orient="portrait"/>
          <w:cols w:equalWidth="0" w:num="2">
            <w:col w:w="6469" w:space="720"/>
            <w:col w:w="3200"/>
          </w:cols>
          <w:pgMar w:left="751" w:top="233" w:right="759" w:bottom="1440" w:gutter="0" w:footer="0" w:header="0"/>
          <w:type w:val="continuous"/>
        </w:sectPr>
      </w:pPr>
    </w:p>
    <w:p>
      <w:pPr>
        <w:jc w:val="center"/>
        <w:ind w:right="-28"/>
        <w:spacing w:after="0"/>
        <w:rPr>
          <w:sz w:val="20"/>
          <w:szCs w:val="20"/>
          <w:color w:val="auto"/>
        </w:rPr>
      </w:pPr>
      <w:r>
        <w:rPr>
          <w:rFonts w:ascii="Arial" w:cs="Arial" w:eastAsia="Arial" w:hAnsi="Arial"/>
          <w:sz w:val="14"/>
          <w:szCs w:val="14"/>
          <w:b w:val="1"/>
          <w:bCs w:val="1"/>
          <w:color w:val="auto"/>
        </w:rPr>
        <w:t>3850 N. Wilke Road</w:t>
      </w:r>
    </w:p>
    <w:p>
      <w:pPr>
        <w:jc w:val="center"/>
        <w:ind w:right="-28"/>
        <w:spacing w:after="0" w:line="226" w:lineRule="auto"/>
        <w:rPr>
          <w:sz w:val="20"/>
          <w:szCs w:val="20"/>
          <w:color w:val="auto"/>
        </w:rPr>
      </w:pPr>
      <w:r>
        <w:rPr>
          <w:rFonts w:ascii="Arial" w:cs="Arial" w:eastAsia="Arial" w:hAnsi="Arial"/>
          <w:sz w:val="14"/>
          <w:szCs w:val="14"/>
          <w:b w:val="1"/>
          <w:bCs w:val="1"/>
          <w:color w:val="auto"/>
        </w:rPr>
        <w:t>Arlington Heights, Illinois 60004</w:t>
      </w:r>
    </w:p>
    <w:p>
      <w:pPr>
        <w:spacing w:after="0" w:line="1" w:lineRule="exact"/>
        <w:rPr>
          <w:sz w:val="24"/>
          <w:szCs w:val="24"/>
          <w:color w:val="auto"/>
        </w:rPr>
      </w:pPr>
    </w:p>
    <w:p>
      <w:pPr>
        <w:jc w:val="center"/>
        <w:ind w:right="-28"/>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0389"/>
          </w:cols>
          <w:pgMar w:left="751" w:top="233" w:right="759" w:bottom="1440" w:gutter="0" w:footer="0" w:header="0"/>
          <w:type w:val="continuous"/>
        </w:sectPr>
      </w:pPr>
    </w:p>
    <w:p>
      <w:pPr>
        <w:spacing w:after="0" w:line="73"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(847) 463-3200</w:t>
      </w:r>
    </w:p>
    <w:p>
      <w:pPr>
        <w:spacing w:after="0" w:line="26" w:lineRule="exact"/>
        <w:rPr>
          <w:sz w:val="24"/>
          <w:szCs w:val="24"/>
          <w:color w:val="auto"/>
        </w:rPr>
      </w:pPr>
    </w:p>
    <w:p>
      <w:pPr>
        <w:jc w:val="center"/>
        <w:ind w:right="-8"/>
        <w:spacing w:after="0"/>
        <w:rPr>
          <w:sz w:val="20"/>
          <w:szCs w:val="20"/>
          <w:color w:val="auto"/>
        </w:rPr>
      </w:pPr>
      <w:r>
        <w:rPr>
          <w:rFonts w:ascii="Arial" w:cs="Arial" w:eastAsia="Arial" w:hAnsi="Arial"/>
          <w:sz w:val="16"/>
          <w:szCs w:val="16"/>
          <w:color w:val="auto"/>
        </w:rPr>
        <w:t>(Registrant’s telephone number, including area code)</w:t>
      </w:r>
    </w:p>
    <w:p>
      <w:pPr>
        <w:spacing w:after="0" w:line="24"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1" w:lineRule="exact"/>
        <w:rPr>
          <w:sz w:val="24"/>
          <w:szCs w:val="24"/>
          <w:color w:val="auto"/>
        </w:rPr>
      </w:pPr>
    </w:p>
    <w:tbl>
      <w:tblPr>
        <w:tblLayout w:type="fixed"/>
        <w:tblInd w:w="9" w:type="dxa"/>
        <w:tblCellMar>
          <w:top w:w="0" w:type="dxa"/>
          <w:left w:w="0" w:type="dxa"/>
          <w:bottom w:w="0" w:type="dxa"/>
          <w:right w:w="0" w:type="dxa"/>
        </w:tblCellMar>
      </w:tblPr>
      <w:tr>
        <w:trPr>
          <w:trHeight w:val="138"/>
        </w:trPr>
        <w:tc>
          <w:tcPr>
            <w:tcW w:w="2100" w:type="dxa"/>
            <w:vAlign w:val="bottom"/>
          </w:tcPr>
          <w:p>
            <w:pPr>
              <w:spacing w:after="0"/>
              <w:rPr>
                <w:sz w:val="12"/>
                <w:szCs w:val="12"/>
                <w:color w:val="auto"/>
              </w:rPr>
            </w:pPr>
          </w:p>
        </w:tc>
        <w:tc>
          <w:tcPr>
            <w:tcW w:w="4360" w:type="dxa"/>
            <w:vAlign w:val="bottom"/>
            <w:gridSpan w:val="3"/>
          </w:tcPr>
          <w:p>
            <w:pPr>
              <w:jc w:val="center"/>
              <w:ind w:right="3408"/>
              <w:spacing w:after="0"/>
              <w:rPr>
                <w:sz w:val="20"/>
                <w:szCs w:val="20"/>
                <w:color w:val="auto"/>
              </w:rPr>
            </w:pPr>
            <w:r>
              <w:rPr>
                <w:rFonts w:ascii="Arial" w:cs="Arial" w:eastAsia="Arial" w:hAnsi="Arial"/>
                <w:sz w:val="12"/>
                <w:szCs w:val="12"/>
                <w:b w:val="1"/>
                <w:bCs w:val="1"/>
                <w:color w:val="auto"/>
                <w:w w:val="85"/>
              </w:rPr>
              <w:t>Title of each class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Name of each exchange on which registered</w:t>
            </w:r>
          </w:p>
        </w:tc>
      </w:tr>
      <w:tr>
        <w:trPr>
          <w:trHeight w:val="20"/>
        </w:trPr>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gridSpan w:val="2"/>
            <w:shd w:val="clear" w:color="auto" w:fill="000000"/>
          </w:tcPr>
          <w:p>
            <w:pPr>
              <w:spacing w:after="0" w:line="20" w:lineRule="exact"/>
              <w:rPr>
                <w:sz w:val="1"/>
                <w:szCs w:val="1"/>
                <w:color w:val="auto"/>
              </w:rPr>
            </w:pPr>
          </w:p>
        </w:tc>
      </w:tr>
      <w:tr>
        <w:trPr>
          <w:trHeight w:val="142"/>
        </w:trPr>
        <w:tc>
          <w:tcPr>
            <w:tcW w:w="6460" w:type="dxa"/>
            <w:vAlign w:val="bottom"/>
            <w:gridSpan w:val="4"/>
          </w:tcPr>
          <w:p>
            <w:pPr>
              <w:jc w:val="center"/>
              <w:ind w:right="1288"/>
              <w:spacing w:after="0"/>
              <w:rPr>
                <w:sz w:val="20"/>
                <w:szCs w:val="20"/>
                <w:color w:val="auto"/>
              </w:rPr>
            </w:pPr>
            <w:r>
              <w:rPr>
                <w:rFonts w:ascii="Arial" w:cs="Arial" w:eastAsia="Arial" w:hAnsi="Arial"/>
                <w:sz w:val="12"/>
                <w:szCs w:val="12"/>
                <w:color w:val="auto"/>
                <w:w w:val="87"/>
              </w:rPr>
              <w:t>Common Stock, par value $0.001 per share</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gridSpan w:val="2"/>
          </w:tcPr>
          <w:p>
            <w:pPr>
              <w:jc w:val="center"/>
              <w:spacing w:after="0"/>
              <w:rPr>
                <w:sz w:val="20"/>
                <w:szCs w:val="20"/>
                <w:color w:val="auto"/>
              </w:rPr>
            </w:pPr>
            <w:r>
              <w:rPr>
                <w:rFonts w:ascii="Arial" w:cs="Arial" w:eastAsia="Arial" w:hAnsi="Arial"/>
                <w:sz w:val="12"/>
                <w:szCs w:val="12"/>
                <w:color w:val="auto"/>
                <w:w w:val="92"/>
              </w:rPr>
              <w:t>The NASDAQ Global Select Market LLC</w:t>
            </w:r>
          </w:p>
        </w:tc>
      </w:tr>
      <w:tr>
        <w:trPr>
          <w:trHeight w:val="180"/>
        </w:trPr>
        <w:tc>
          <w:tcPr>
            <w:tcW w:w="2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20" w:type="dxa"/>
            <w:vAlign w:val="bottom"/>
            <w:gridSpan w:val="5"/>
          </w:tcPr>
          <w:p>
            <w:pPr>
              <w:jc w:val="center"/>
              <w:ind w:left="348"/>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1940" w:type="dxa"/>
            <w:vAlign w:val="bottom"/>
          </w:tcPr>
          <w:p>
            <w:pPr>
              <w:spacing w:after="0"/>
              <w:rPr>
                <w:sz w:val="15"/>
                <w:szCs w:val="15"/>
                <w:color w:val="auto"/>
              </w:rPr>
            </w:pPr>
          </w:p>
        </w:tc>
      </w:tr>
      <w:tr>
        <w:trPr>
          <w:trHeight w:val="186"/>
        </w:trPr>
        <w:tc>
          <w:tcPr>
            <w:tcW w:w="2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1"/>
              </w:rPr>
              <w:t>None</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41"/>
        </w:trPr>
        <w:tc>
          <w:tcPr>
            <w:tcW w:w="2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324"/>
        </w:trPr>
        <w:tc>
          <w:tcPr>
            <w:tcW w:w="6460" w:type="dxa"/>
            <w:vAlign w:val="bottom"/>
            <w:gridSpan w:val="4"/>
          </w:tcPr>
          <w:p>
            <w:pPr>
              <w:spacing w:after="0"/>
              <w:rPr>
                <w:sz w:val="20"/>
                <w:szCs w:val="20"/>
                <w:color w:val="auto"/>
              </w:rPr>
            </w:pPr>
            <w:r>
              <w:rPr>
                <w:rFonts w:ascii="Arial" w:cs="Arial" w:eastAsia="Arial" w:hAnsi="Arial"/>
                <w:sz w:val="14"/>
                <w:szCs w:val="14"/>
                <w:color w:val="auto"/>
                <w:w w:val="88"/>
              </w:rPr>
              <w:t>Indicate by check mark if the registrant is a well-known seasoned issuer, as defined in Rule 405 of the Securities Act.</w:t>
            </w:r>
          </w:p>
        </w:tc>
        <w:tc>
          <w:tcPr>
            <w:tcW w:w="540" w:type="dxa"/>
            <w:vAlign w:val="bottom"/>
            <w:gridSpan w:val="3"/>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94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43"/>
        </w:trPr>
        <w:tc>
          <w:tcPr>
            <w:tcW w:w="6460" w:type="dxa"/>
            <w:vAlign w:val="bottom"/>
            <w:gridSpan w:val="4"/>
          </w:tcPr>
          <w:p>
            <w:pPr>
              <w:spacing w:after="0"/>
              <w:rPr>
                <w:sz w:val="20"/>
                <w:szCs w:val="20"/>
                <w:color w:val="auto"/>
              </w:rPr>
            </w:pPr>
            <w:r>
              <w:rPr>
                <w:rFonts w:ascii="Arial" w:cs="Arial" w:eastAsia="Arial" w:hAnsi="Arial"/>
                <w:sz w:val="14"/>
                <w:szCs w:val="14"/>
                <w:color w:val="auto"/>
                <w:w w:val="88"/>
              </w:rPr>
              <w:t>Indicate by check mark if the registrant is not required to file reports pursuant to Section 13 or Section 15(d) of the Act.</w:t>
            </w:r>
          </w:p>
        </w:tc>
        <w:tc>
          <w:tcPr>
            <w:tcW w:w="40" w:type="dxa"/>
            <w:vAlign w:val="bottom"/>
          </w:tcPr>
          <w:p>
            <w:pPr>
              <w:spacing w:after="0"/>
              <w:rPr>
                <w:sz w:val="21"/>
                <w:szCs w:val="21"/>
                <w:color w:val="auto"/>
              </w:rPr>
            </w:pPr>
          </w:p>
        </w:tc>
        <w:tc>
          <w:tcPr>
            <w:tcW w:w="500" w:type="dxa"/>
            <w:vAlign w:val="bottom"/>
            <w:gridSpan w:val="2"/>
          </w:tcPr>
          <w:p>
            <w:pPr>
              <w:ind w:left="80"/>
              <w:spacing w:after="0" w:line="161" w:lineRule="exact"/>
              <w:rPr>
                <w:sz w:val="20"/>
                <w:szCs w:val="20"/>
                <w:color w:val="auto"/>
              </w:rPr>
            </w:pPr>
            <w:r>
              <w:rPr>
                <w:rFonts w:ascii="Arial" w:cs="Arial" w:eastAsia="Arial" w:hAnsi="Arial"/>
                <w:sz w:val="14"/>
                <w:szCs w:val="14"/>
                <w:color w:val="auto"/>
                <w:w w:val="87"/>
              </w:rPr>
              <w:t xml:space="preserve">Yes  </w:t>
            </w:r>
            <w:r>
              <w:rPr>
                <w:rFonts w:ascii="MS PGothic" w:cs="MS PGothic" w:eastAsia="MS PGothic" w:hAnsi="MS PGothic"/>
                <w:sz w:val="14"/>
                <w:szCs w:val="14"/>
                <w:color w:val="auto"/>
                <w:w w:val="87"/>
              </w:rPr>
              <w:t>☐</w:t>
            </w:r>
          </w:p>
        </w:tc>
        <w:tc>
          <w:tcPr>
            <w:tcW w:w="194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57" w:lineRule="exact"/>
        <w:rPr>
          <w:sz w:val="24"/>
          <w:szCs w:val="24"/>
          <w:color w:val="auto"/>
        </w:rPr>
      </w:pPr>
    </w:p>
    <w:p>
      <w:pPr>
        <w:ind w:left="9" w:right="40"/>
        <w:spacing w:after="0" w:line="16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7" w:lineRule="exact"/>
        <w:rPr>
          <w:sz w:val="24"/>
          <w:szCs w:val="24"/>
          <w:color w:val="auto"/>
        </w:rPr>
      </w:pPr>
    </w:p>
    <w:p>
      <w:pPr>
        <w:ind w:left="9" w:right="40"/>
        <w:spacing w:after="0" w:line="264"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w:t>
      </w:r>
    </w:p>
    <w:p>
      <w:pPr>
        <w:spacing w:after="0" w:line="1" w:lineRule="exact"/>
        <w:rPr>
          <w:sz w:val="24"/>
          <w:szCs w:val="24"/>
          <w:color w:val="auto"/>
        </w:rPr>
      </w:pPr>
    </w:p>
    <w:p>
      <w:pPr>
        <w:ind w:left="329" w:hanging="261"/>
        <w:spacing w:after="0" w:line="161" w:lineRule="exact"/>
        <w:tabs>
          <w:tab w:leader="none" w:pos="329"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5" w:lineRule="exact"/>
        <w:rPr>
          <w:sz w:val="24"/>
          <w:szCs w:val="24"/>
          <w:color w:val="auto"/>
        </w:rPr>
      </w:pPr>
    </w:p>
    <w:p>
      <w:pPr>
        <w:ind w:left="9" w:right="260"/>
        <w:spacing w:after="0" w:line="168"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57" w:lineRule="exact"/>
        <w:rPr>
          <w:sz w:val="24"/>
          <w:szCs w:val="24"/>
          <w:color w:val="auto"/>
        </w:rPr>
      </w:pPr>
    </w:p>
    <w:p>
      <w:pPr>
        <w:ind w:left="9" w:right="16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0389"/>
          </w:cols>
          <w:pgMar w:left="751" w:top="233" w:right="759" w:bottom="1440" w:gutter="0" w:footer="0" w:header="0"/>
          <w:type w:val="continuous"/>
        </w:sectPr>
      </w:pPr>
    </w:p>
    <w:p>
      <w:pPr>
        <w:spacing w:after="0" w:line="85" w:lineRule="exact"/>
        <w:rPr>
          <w:sz w:val="24"/>
          <w:szCs w:val="24"/>
          <w:color w:val="auto"/>
        </w:rPr>
      </w:pPr>
    </w:p>
    <w:p>
      <w:pPr>
        <w:ind w:left="9"/>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ectPr>
          <w:pgSz w:w="11900" w:h="16838" w:orient="portrait"/>
          <w:cols w:equalWidth="0" w:num="4">
            <w:col w:w="1209" w:space="380"/>
            <w:col w:w="5980" w:space="720"/>
            <w:col w:w="1260" w:space="720"/>
            <w:col w:w="120"/>
          </w:cols>
          <w:pgMar w:left="751" w:top="233" w:right="759" w:bottom="1440" w:gutter="0" w:footer="0" w:header="0"/>
          <w:type w:val="continuous"/>
        </w:sectPr>
      </w:pPr>
    </w:p>
    <w:p>
      <w:pPr>
        <w:spacing w:after="0" w:line="25" w:lineRule="exact"/>
        <w:rPr>
          <w:sz w:val="24"/>
          <w:szCs w:val="24"/>
          <w:color w:val="auto"/>
        </w:rPr>
      </w:pPr>
    </w:p>
    <w:p>
      <w:pPr>
        <w:ind w:left="9"/>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76" w:lineRule="exact"/>
        <w:rPr>
          <w:sz w:val="24"/>
          <w:szCs w:val="24"/>
          <w:color w:val="auto"/>
        </w:rPr>
      </w:pPr>
    </w:p>
    <w:p>
      <w:pPr>
        <w:sectPr>
          <w:pgSz w:w="11900" w:h="16838" w:orient="portrait"/>
          <w:cols w:equalWidth="0" w:num="5">
            <w:col w:w="1149" w:space="440"/>
            <w:col w:w="120" w:space="80"/>
            <w:col w:w="5780" w:space="720"/>
            <w:col w:w="1480" w:space="500"/>
            <w:col w:w="120"/>
          </w:cols>
          <w:pgMar w:left="751" w:top="233" w:right="759" w:bottom="1440" w:gutter="0" w:footer="0" w:header="0"/>
          <w:type w:val="continuous"/>
        </w:sectPr>
      </w:pPr>
    </w:p>
    <w:p>
      <w:pPr>
        <w:ind w:left="9"/>
        <w:spacing w:after="0" w:line="161" w:lineRule="exact"/>
        <w:tabs>
          <w:tab w:leader="none" w:pos="1568"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94" w:lineRule="exact"/>
        <w:rPr>
          <w:sz w:val="24"/>
          <w:szCs w:val="24"/>
          <w:color w:val="auto"/>
        </w:rPr>
      </w:pPr>
    </w:p>
    <w:p>
      <w:pPr>
        <w:ind w:left="9" w:right="38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left="9"/>
        <w:spacing w:after="0" w:line="161" w:lineRule="exact"/>
        <w:tabs>
          <w:tab w:leader="none" w:pos="5688" w:val="left"/>
          <w:tab w:leader="none" w:pos="6228"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7" w:lineRule="exact"/>
        <w:rPr>
          <w:sz w:val="24"/>
          <w:szCs w:val="24"/>
          <w:color w:val="auto"/>
        </w:rPr>
      </w:pPr>
    </w:p>
    <w:p>
      <w:pPr>
        <w:ind w:left="9" w:right="340"/>
        <w:spacing w:after="0" w:line="318" w:lineRule="auto"/>
        <w:rPr>
          <w:sz w:val="20"/>
          <w:szCs w:val="20"/>
          <w:color w:val="auto"/>
        </w:rPr>
      </w:pPr>
      <w:r>
        <w:rPr>
          <w:rFonts w:ascii="Arial" w:cs="Arial" w:eastAsia="Arial" w:hAnsi="Arial"/>
          <w:sz w:val="12"/>
          <w:szCs w:val="12"/>
          <w:color w:val="auto"/>
        </w:rPr>
        <w:t>The aggregate market value of voting stock held by non-affiliates of the registrant as of December 31, 2016, the last day of registrant’s most recently completed second fiscal quarter, was $774.8 million (based on the closing price for shares of the registrant’s common stock as reported by the NASDAQ Global Select Market for the last business day prior to that date).</w:t>
      </w:r>
    </w:p>
    <w:p>
      <w:pPr>
        <w:spacing w:after="0" w:line="121" w:lineRule="exact"/>
        <w:rPr>
          <w:sz w:val="24"/>
          <w:szCs w:val="24"/>
          <w:color w:val="auto"/>
        </w:rPr>
      </w:pPr>
    </w:p>
    <w:p>
      <w:pPr>
        <w:ind w:left="9"/>
        <w:spacing w:after="0"/>
        <w:rPr>
          <w:sz w:val="20"/>
          <w:szCs w:val="20"/>
          <w:color w:val="auto"/>
        </w:rPr>
      </w:pPr>
      <w:r>
        <w:rPr>
          <w:rFonts w:ascii="Arial" w:cs="Arial" w:eastAsia="Arial" w:hAnsi="Arial"/>
          <w:sz w:val="14"/>
          <w:szCs w:val="14"/>
          <w:color w:val="auto"/>
        </w:rPr>
        <w:t>As of August 4, 2017, there were 51,750,086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144780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57" w:lineRule="exact"/>
        <w:rPr>
          <w:sz w:val="24"/>
          <w:szCs w:val="24"/>
          <w:color w:val="auto"/>
        </w:rPr>
      </w:pPr>
    </w:p>
    <w:p>
      <w:pPr>
        <w:jc w:val="center"/>
        <w:ind w:right="-8"/>
        <w:spacing w:after="0"/>
        <w:rPr>
          <w:sz w:val="20"/>
          <w:szCs w:val="20"/>
          <w:color w:val="auto"/>
        </w:rPr>
      </w:pPr>
      <w:r>
        <w:rPr>
          <w:rFonts w:ascii="Arial" w:cs="Arial" w:eastAsia="Arial" w:hAnsi="Arial"/>
          <w:sz w:val="14"/>
          <w:szCs w:val="14"/>
          <w:b w:val="1"/>
          <w:bCs w:val="1"/>
          <w:color w:val="auto"/>
        </w:rPr>
        <w:t>DOCUMENTS INCORPORATED BY REFERENCE:</w:t>
      </w:r>
    </w:p>
    <w:p>
      <w:pPr>
        <w:spacing w:after="0" w:line="57" w:lineRule="exact"/>
        <w:rPr>
          <w:sz w:val="24"/>
          <w:szCs w:val="24"/>
          <w:color w:val="auto"/>
        </w:rPr>
      </w:pPr>
    </w:p>
    <w:p>
      <w:pPr>
        <w:ind w:left="9" w:right="380"/>
        <w:spacing w:after="0" w:line="318" w:lineRule="auto"/>
        <w:rPr>
          <w:sz w:val="20"/>
          <w:szCs w:val="20"/>
          <w:color w:val="auto"/>
        </w:rPr>
      </w:pPr>
      <w:r>
        <w:rPr>
          <w:rFonts w:ascii="Arial" w:cs="Arial" w:eastAsia="Arial" w:hAnsi="Arial"/>
          <w:sz w:val="12"/>
          <w:szCs w:val="12"/>
          <w:color w:val="auto"/>
        </w:rPr>
        <w:t>The information required by Part III of this Report, to the extent not set forth herein, is incorporated herein by reference from the Proxy Statement relating to the registrant’s 2018 annual meeting of stockholders, which shall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357505</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233"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0" w:type="dxa"/>
            <w:vAlign w:val="bottom"/>
            <w:gridSpan w:val="8"/>
            <w:vMerge w:val="continue"/>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60" w:type="dxa"/>
            <w:vAlign w:val="bottom"/>
            <w:tcBorders>
              <w:top w:val="single" w:sz="8" w:color="0000EE"/>
            </w:tcBorders>
          </w:tcPr>
          <w:p>
            <w:pPr>
              <w:spacing w:after="0"/>
              <w:rPr>
                <w:sz w:val="24"/>
                <w:szCs w:val="24"/>
                <w:color w:val="auto"/>
              </w:rPr>
            </w:pPr>
          </w:p>
        </w:tc>
        <w:tc>
          <w:tcPr>
            <w:tcW w:w="480" w:type="dxa"/>
            <w:vAlign w:val="bottom"/>
            <w:gridSpan w:val="6"/>
          </w:tcPr>
          <w:p>
            <w:pPr>
              <w:spacing w:after="0"/>
              <w:rPr>
                <w:sz w:val="24"/>
                <w:szCs w:val="24"/>
                <w:color w:val="auto"/>
              </w:rPr>
            </w:pPr>
          </w:p>
        </w:tc>
        <w:tc>
          <w:tcPr>
            <w:tcW w:w="75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1A.</w:t>
              </w:r>
            </w:hyperlink>
          </w:p>
        </w:tc>
        <w:tc>
          <w:tcPr>
            <w:tcW w:w="7580" w:type="dxa"/>
            <w:vAlign w:val="bottom"/>
            <w:gridSpan w:val="2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35">
              <w:r>
                <w:rPr>
                  <w:rFonts w:ascii="Arial" w:cs="Arial" w:eastAsia="Arial" w:hAnsi="Arial"/>
                  <w:sz w:val="18"/>
                  <w:szCs w:val="18"/>
                  <w:color w:val="0000EE"/>
                  <w:w w:val="83"/>
                </w:rPr>
                <w:t>Item 1B.</w:t>
              </w:r>
            </w:hyperlink>
          </w:p>
        </w:tc>
        <w:tc>
          <w:tcPr>
            <w:tcW w:w="460" w:type="dxa"/>
            <w:vAlign w:val="bottom"/>
            <w:gridSpan w:val="5"/>
          </w:tcPr>
          <w:p>
            <w:pPr>
              <w:spacing w:after="0"/>
              <w:rPr>
                <w:sz w:val="17"/>
                <w:szCs w:val="17"/>
                <w:color w:val="auto"/>
              </w:rPr>
            </w:pPr>
          </w:p>
        </w:tc>
        <w:tc>
          <w:tcPr>
            <w:tcW w:w="758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80" w:type="dxa"/>
            <w:vAlign w:val="bottom"/>
            <w:gridSpan w:val="2"/>
          </w:tcPr>
          <w:p>
            <w:pPr>
              <w:spacing w:after="0"/>
              <w:rPr>
                <w:sz w:val="17"/>
                <w:szCs w:val="17"/>
                <w:color w:val="auto"/>
              </w:rPr>
            </w:pPr>
          </w:p>
        </w:tc>
        <w:tc>
          <w:tcPr>
            <w:tcW w:w="460" w:type="dxa"/>
            <w:vAlign w:val="bottom"/>
            <w:gridSpan w:val="5"/>
          </w:tcPr>
          <w:p>
            <w:pPr>
              <w:spacing w:after="0"/>
              <w:rPr>
                <w:sz w:val="17"/>
                <w:szCs w:val="17"/>
                <w:color w:val="auto"/>
              </w:rPr>
            </w:pPr>
          </w:p>
        </w:tc>
        <w:tc>
          <w:tcPr>
            <w:tcW w:w="758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540" w:type="dxa"/>
            <w:vAlign w:val="bottom"/>
            <w:gridSpan w:val="7"/>
          </w:tcPr>
          <w:p>
            <w:pPr>
              <w:spacing w:after="0"/>
              <w:rPr>
                <w:sz w:val="17"/>
                <w:szCs w:val="17"/>
                <w:color w:val="auto"/>
              </w:rPr>
            </w:pPr>
          </w:p>
        </w:tc>
        <w:tc>
          <w:tcPr>
            <w:tcW w:w="758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540" w:type="dxa"/>
            <w:vAlign w:val="bottom"/>
            <w:gridSpan w:val="7"/>
          </w:tcPr>
          <w:p>
            <w:pPr>
              <w:spacing w:after="0"/>
              <w:rPr>
                <w:sz w:val="17"/>
                <w:szCs w:val="17"/>
                <w:color w:val="auto"/>
              </w:rPr>
            </w:pPr>
          </w:p>
        </w:tc>
        <w:tc>
          <w:tcPr>
            <w:tcW w:w="758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PART II</w:t>
              </w:r>
            </w:hyperlink>
          </w:p>
        </w:tc>
        <w:tc>
          <w:tcPr>
            <w:tcW w:w="4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5.</w:t>
              </w:r>
            </w:hyperlink>
          </w:p>
        </w:tc>
        <w:tc>
          <w:tcPr>
            <w:tcW w:w="758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Market for Registrant’s Common Equity, Related Stockholder Matters and Issuer Purchases of</w:t>
              </w:r>
            </w:hyperlink>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Equity Securities</w:t>
              </w:r>
            </w:hyperlink>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line="18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6.</w:t>
              </w:r>
            </w:hyperlink>
          </w:p>
        </w:tc>
        <w:tc>
          <w:tcPr>
            <w:tcW w:w="540" w:type="dxa"/>
            <w:vAlign w:val="bottom"/>
            <w:gridSpan w:val="7"/>
          </w:tcPr>
          <w:p>
            <w:pPr>
              <w:spacing w:after="0"/>
              <w:rPr>
                <w:sz w:val="15"/>
                <w:szCs w:val="15"/>
                <w:color w:val="auto"/>
              </w:rPr>
            </w:pPr>
          </w:p>
        </w:tc>
        <w:tc>
          <w:tcPr>
            <w:tcW w:w="1240" w:type="dxa"/>
            <w:vAlign w:val="bottom"/>
            <w:tcBorders>
              <w:top w:val="single" w:sz="8" w:color="0000EE"/>
            </w:tcBorders>
            <w:gridSpan w:val="5"/>
          </w:tcPr>
          <w:p>
            <w:pPr>
              <w:spacing w:after="0" w:line="182" w:lineRule="exact"/>
              <w:rPr>
                <w:rFonts w:ascii="Arial" w:cs="Arial" w:eastAsia="Arial" w:hAnsi="Arial"/>
                <w:sz w:val="18"/>
                <w:szCs w:val="18"/>
                <w:color w:val="0000EE"/>
                <w:w w:val="82"/>
              </w:rPr>
            </w:pPr>
            <w:hyperlink w:anchor="page39">
              <w:r>
                <w:rPr>
                  <w:rFonts w:ascii="Arial" w:cs="Arial" w:eastAsia="Arial" w:hAnsi="Arial"/>
                  <w:sz w:val="18"/>
                  <w:szCs w:val="18"/>
                  <w:color w:val="0000EE"/>
                  <w:w w:val="82"/>
                </w:rPr>
                <w:t>Selected Financial</w:t>
              </w:r>
            </w:hyperlink>
          </w:p>
        </w:tc>
        <w:tc>
          <w:tcPr>
            <w:tcW w:w="80" w:type="dxa"/>
            <w:vAlign w:val="bottom"/>
          </w:tcPr>
          <w:p>
            <w:pPr>
              <w:spacing w:after="0"/>
              <w:rPr>
                <w:sz w:val="15"/>
                <w:szCs w:val="15"/>
                <w:color w:val="auto"/>
              </w:rPr>
            </w:pPr>
          </w:p>
        </w:tc>
        <w:tc>
          <w:tcPr>
            <w:tcW w:w="6260" w:type="dxa"/>
            <w:vAlign w:val="bottom"/>
            <w:gridSpan w:val="17"/>
          </w:tcPr>
          <w:p>
            <w:pPr>
              <w:ind w:left="60"/>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Data</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7.</w:t>
              </w:r>
            </w:hyperlink>
          </w:p>
        </w:tc>
        <w:tc>
          <w:tcPr>
            <w:tcW w:w="540" w:type="dxa"/>
            <w:vAlign w:val="bottom"/>
            <w:gridSpan w:val="7"/>
          </w:tcPr>
          <w:p>
            <w:pPr>
              <w:spacing w:after="0"/>
              <w:rPr>
                <w:sz w:val="17"/>
                <w:szCs w:val="17"/>
                <w:color w:val="auto"/>
              </w:rPr>
            </w:pPr>
          </w:p>
        </w:tc>
        <w:tc>
          <w:tcPr>
            <w:tcW w:w="7580" w:type="dxa"/>
            <w:vAlign w:val="bottom"/>
            <w:gridSpan w:val="2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7A.</w:t>
              </w:r>
            </w:hyperlink>
          </w:p>
        </w:tc>
        <w:tc>
          <w:tcPr>
            <w:tcW w:w="7580" w:type="dxa"/>
            <w:vAlign w:val="bottom"/>
            <w:gridSpan w:val="2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8.</w:t>
              </w:r>
            </w:hyperlink>
          </w:p>
        </w:tc>
        <w:tc>
          <w:tcPr>
            <w:tcW w:w="80" w:type="dxa"/>
            <w:vAlign w:val="bottom"/>
            <w:gridSpan w:val="2"/>
          </w:tcPr>
          <w:p>
            <w:pPr>
              <w:spacing w:after="0"/>
              <w:rPr>
                <w:sz w:val="17"/>
                <w:szCs w:val="17"/>
                <w:color w:val="auto"/>
              </w:rPr>
            </w:pPr>
          </w:p>
        </w:tc>
        <w:tc>
          <w:tcPr>
            <w:tcW w:w="460" w:type="dxa"/>
            <w:vAlign w:val="bottom"/>
            <w:gridSpan w:val="5"/>
          </w:tcPr>
          <w:p>
            <w:pPr>
              <w:spacing w:after="0"/>
              <w:rPr>
                <w:sz w:val="17"/>
                <w:szCs w:val="17"/>
                <w:color w:val="auto"/>
              </w:rPr>
            </w:pPr>
          </w:p>
        </w:tc>
        <w:tc>
          <w:tcPr>
            <w:tcW w:w="7580" w:type="dxa"/>
            <w:vAlign w:val="bottom"/>
            <w:gridSpan w:val="2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9.</w:t>
              </w:r>
            </w:hyperlink>
          </w:p>
        </w:tc>
        <w:tc>
          <w:tcPr>
            <w:tcW w:w="540" w:type="dxa"/>
            <w:vAlign w:val="bottom"/>
            <w:gridSpan w:val="7"/>
          </w:tcPr>
          <w:p>
            <w:pPr>
              <w:spacing w:after="0"/>
              <w:rPr>
                <w:sz w:val="17"/>
                <w:szCs w:val="17"/>
                <w:color w:val="auto"/>
              </w:rPr>
            </w:pPr>
          </w:p>
        </w:tc>
        <w:tc>
          <w:tcPr>
            <w:tcW w:w="7580" w:type="dxa"/>
            <w:vAlign w:val="bottom"/>
            <w:gridSpan w:val="2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Changes in and Disagreements with Accountants on Accounting and Financial Disclosure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9A.</w:t>
              </w:r>
            </w:hyperlink>
          </w:p>
        </w:tc>
        <w:tc>
          <w:tcPr>
            <w:tcW w:w="7580" w:type="dxa"/>
            <w:vAlign w:val="bottom"/>
            <w:gridSpan w:val="2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60">
              <w:r>
                <w:rPr>
                  <w:rFonts w:ascii="Arial" w:cs="Arial" w:eastAsia="Arial" w:hAnsi="Arial"/>
                  <w:sz w:val="18"/>
                  <w:szCs w:val="18"/>
                  <w:color w:val="0000EE"/>
                  <w:w w:val="83"/>
                </w:rPr>
                <w:t>Item 9B.</w:t>
              </w:r>
            </w:hyperlink>
          </w:p>
        </w:tc>
        <w:tc>
          <w:tcPr>
            <w:tcW w:w="460" w:type="dxa"/>
            <w:vAlign w:val="bottom"/>
            <w:gridSpan w:val="5"/>
          </w:tcPr>
          <w:p>
            <w:pPr>
              <w:spacing w:after="0"/>
              <w:rPr>
                <w:sz w:val="17"/>
                <w:szCs w:val="17"/>
                <w:color w:val="auto"/>
              </w:rPr>
            </w:pPr>
          </w:p>
        </w:tc>
        <w:tc>
          <w:tcPr>
            <w:tcW w:w="7580" w:type="dxa"/>
            <w:vAlign w:val="bottom"/>
            <w:gridSpan w:val="2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III</w:t>
              </w:r>
            </w:hyperlink>
          </w:p>
        </w:tc>
        <w:tc>
          <w:tcPr>
            <w:tcW w:w="3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10.</w:t>
              </w:r>
            </w:hyperlink>
          </w:p>
        </w:tc>
        <w:tc>
          <w:tcPr>
            <w:tcW w:w="7580" w:type="dxa"/>
            <w:vAlign w:val="bottom"/>
            <w:gridSpan w:val="2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Directors, Executive Officers and Corporate Governance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6"/>
              </w:rPr>
            </w:pPr>
            <w:hyperlink w:anchor="page61">
              <w:r>
                <w:rPr>
                  <w:rFonts w:ascii="Arial" w:cs="Arial" w:eastAsia="Arial" w:hAnsi="Arial"/>
                  <w:sz w:val="18"/>
                  <w:szCs w:val="18"/>
                  <w:color w:val="0000EE"/>
                  <w:w w:val="86"/>
                </w:rPr>
                <w:t>Item 11.</w:t>
              </w:r>
            </w:hyperlink>
          </w:p>
        </w:tc>
        <w:tc>
          <w:tcPr>
            <w:tcW w:w="460" w:type="dxa"/>
            <w:vAlign w:val="bottom"/>
            <w:gridSpan w:val="5"/>
          </w:tcPr>
          <w:p>
            <w:pPr>
              <w:spacing w:after="0"/>
              <w:rPr>
                <w:sz w:val="17"/>
                <w:szCs w:val="17"/>
                <w:color w:val="auto"/>
              </w:rPr>
            </w:pPr>
          </w:p>
        </w:tc>
        <w:tc>
          <w:tcPr>
            <w:tcW w:w="7580" w:type="dxa"/>
            <w:vAlign w:val="bottom"/>
            <w:gridSpan w:val="2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Executive Compensation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12.</w:t>
              </w:r>
            </w:hyperlink>
          </w:p>
        </w:tc>
        <w:tc>
          <w:tcPr>
            <w:tcW w:w="7580" w:type="dxa"/>
            <w:vAlign w:val="bottom"/>
            <w:gridSpan w:val="23"/>
          </w:tcPr>
          <w:p>
            <w:pPr>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Security Ownership of Certain Beneficial Owners and Management and Related Stockholder Matters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13.</w:t>
              </w:r>
            </w:hyperlink>
          </w:p>
        </w:tc>
        <w:tc>
          <w:tcPr>
            <w:tcW w:w="7580" w:type="dxa"/>
            <w:vAlign w:val="bottom"/>
            <w:gridSpan w:val="2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Certain Relationships and Related Transactions and Director Independence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14.</w:t>
              </w:r>
            </w:hyperlink>
          </w:p>
        </w:tc>
        <w:tc>
          <w:tcPr>
            <w:tcW w:w="7580" w:type="dxa"/>
            <w:vAlign w:val="bottom"/>
            <w:gridSpan w:val="2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Principal Accountant Fees and Services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62">
              <w:r>
                <w:rPr>
                  <w:rFonts w:ascii="Arial" w:cs="Arial" w:eastAsia="Arial" w:hAnsi="Arial"/>
                  <w:sz w:val="18"/>
                  <w:szCs w:val="18"/>
                  <w:b w:val="1"/>
                  <w:bCs w:val="1"/>
                  <w:color w:val="0000EE"/>
                  <w:w w:val="98"/>
                </w:rPr>
                <w:t>PART IV</w:t>
              </w:r>
            </w:hyperlink>
          </w:p>
        </w:tc>
        <w:tc>
          <w:tcPr>
            <w:tcW w:w="3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00" w:type="dxa"/>
            <w:vAlign w:val="bottom"/>
            <w:gridSpan w:val="3"/>
          </w:tcPr>
          <w:p>
            <w:pPr>
              <w:spacing w:after="0"/>
              <w:rPr>
                <w:rFonts w:ascii="Arial" w:cs="Arial" w:eastAsia="Arial" w:hAnsi="Arial"/>
                <w:sz w:val="18"/>
                <w:szCs w:val="18"/>
                <w:color w:val="0000EE"/>
                <w:w w:val="86"/>
              </w:rPr>
            </w:pPr>
            <w:hyperlink w:anchor="page62">
              <w:r>
                <w:rPr>
                  <w:rFonts w:ascii="Arial" w:cs="Arial" w:eastAsia="Arial" w:hAnsi="Arial"/>
                  <w:sz w:val="18"/>
                  <w:szCs w:val="18"/>
                  <w:color w:val="0000EE"/>
                  <w:w w:val="86"/>
                </w:rPr>
                <w:t>Item 15.</w:t>
              </w:r>
            </w:hyperlink>
          </w:p>
        </w:tc>
        <w:tc>
          <w:tcPr>
            <w:tcW w:w="460" w:type="dxa"/>
            <w:vAlign w:val="bottom"/>
            <w:gridSpan w:val="5"/>
          </w:tcPr>
          <w:p>
            <w:pPr>
              <w:spacing w:after="0"/>
              <w:rPr>
                <w:sz w:val="24"/>
                <w:szCs w:val="24"/>
                <w:color w:val="auto"/>
              </w:rPr>
            </w:pPr>
          </w:p>
        </w:tc>
        <w:tc>
          <w:tcPr>
            <w:tcW w:w="7580" w:type="dxa"/>
            <w:vAlign w:val="bottom"/>
            <w:gridSpan w:val="2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 and Financial Statement Schedules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6"/>
              </w:rPr>
            </w:pPr>
            <w:hyperlink w:anchor="page62">
              <w:r>
                <w:rPr>
                  <w:rFonts w:ascii="Arial" w:cs="Arial" w:eastAsia="Arial" w:hAnsi="Arial"/>
                  <w:sz w:val="18"/>
                  <w:szCs w:val="18"/>
                  <w:color w:val="0000EE"/>
                  <w:w w:val="86"/>
                </w:rPr>
                <w:t>Item 16.</w:t>
              </w:r>
            </w:hyperlink>
          </w:p>
        </w:tc>
        <w:tc>
          <w:tcPr>
            <w:tcW w:w="460" w:type="dxa"/>
            <w:vAlign w:val="bottom"/>
            <w:gridSpan w:val="5"/>
          </w:tcPr>
          <w:p>
            <w:pPr>
              <w:spacing w:after="0"/>
              <w:rPr>
                <w:sz w:val="17"/>
                <w:szCs w:val="17"/>
                <w:color w:val="auto"/>
              </w:rPr>
            </w:pPr>
          </w:p>
        </w:tc>
        <w:tc>
          <w:tcPr>
            <w:tcW w:w="7580" w:type="dxa"/>
            <w:vAlign w:val="bottom"/>
            <w:gridSpan w:val="2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Form 10-K Summary</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45"/>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3"/>
        </w:trPr>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192"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report, and in particular, the risks discussed under Part 1, Item 1A:”Risk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167"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As of June 30, 2017, we served approximately 14,550 clients across the U.S., which on average had over 100 employees. Our solutions help drive strategic human capital decision-making and improve employee engagement by enhancing the human resource, payroll and finance capabilities of our clients.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multi-tenant software platform is highly configurable and includes a unified suite of payroll and HCM applications, such as time and labor tracking, benefits and talent management. Our solutions have been organically developed from our core payroll solution, which we believe is the most critical system of record for medium-sized organizations and an essential gateway to other HCM functionality. Our payroll and HCM applications use a unified database and provide robust on-demand reporting and analytics. Our platform provides intuitive self-service functionality for employees and managers combined with seamless integration across all our solutions. We supplement our comprehensive software platform with an integrated implementation and client service organization, all of which are designed to meet the needs of medium-sized organizations.</w:t>
      </w:r>
    </w:p>
    <w:p>
      <w:pPr>
        <w:spacing w:after="0" w:line="19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Effective management of human capital is a core function in all organizations and requires a significant commitment of resources. Organizations are faced with complex and ever-changing requirements, including diverse federal, state and local regulations across multiple jurisdictions. In addition, the workplace operating environment is rapidly changing as employees increasingly become mobile, work remotely and expect an end user experience similar to that of consumer-oriented Internet applications. Medium-sized organizations operating without the infrastructure,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expertise or personnel of larger enterprises are uniquely pressured in this complex and dynamic environment. Existing solutions offered by third-party payroll service providers can have limited capabilities and configurability while enterprise-focused software vendors can be expensive and time-consuming to implement and manage. We believe that medium-sized organizations are better served by solutions designed to meet their unique needs.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solutions provide the following key benefits to our clients:</w:t>
      </w:r>
    </w:p>
    <w:p>
      <w:pPr>
        <w:spacing w:after="0" w:line="225" w:lineRule="exact"/>
        <w:rPr>
          <w:sz w:val="20"/>
          <w:szCs w:val="20"/>
          <w:color w:val="auto"/>
        </w:rPr>
      </w:pPr>
    </w:p>
    <w:p>
      <w:pPr>
        <w:ind w:left="980" w:right="74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Comprehensive cloud-based platform optimized to meet the payroll and HCM needs of medium-sized organizations;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Modern, intuitive user experience and self-service capabilities that significantly increase employee engagement;</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Flexible and configurable platform that aligns with business processes and centralizes payroll and HCM data;</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Software as a service, or SaaS, delivery model that reduces total cost of ownership for our clients; and</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Seamless data integration with our extensive partner ecosystem that saves time and expense and reduces the risk of errors.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market and sell our products primarily through our direct sales force. We generate sales leads through a variety of focused marketing initiatives and from our extensive referral network of 401(k) advisors, benefits administrators, insurance brokers, third-party administrators and HR consultants. We derive revenue from a client based on the solutions purchased by the client, the number of client employees and the amount, type and timing of services provided with respect to those client employees. Our annual revenue retention rate was greater than 92% in each of the fiscal years 2015, 2016 and 2017. Our total revenues increased from $152.7 million in fiscal 2015 to $230.7 million in fiscal 2016, representing a 51% year-over-year increase and to $300.0 million in fiscal 2017, representing a 30% year-over-year increase. Our recurring revenues increased from $144.1 million in fiscal 2015 to $220.1 million in fiscal 2016, representing a 53% year-over-year increase, and to $288.4 million in fiscal 2017, representing a 31% year-over-year increase. Although we do not have long-term contracts with our clients and our agreements with clients are generally terminable on 60 days’ or less notice, our recurring revenue model provides significant visibility into our future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Effective management of human capital is a core function for all organizations and requires a significant commitment of resources. Identifying, acquiring and retaining talent is a priority at all levels of an organization. In today’s increasingly complex business and regulatory environment, organizations are being pressured to manage critical payroll and HCM functions more effectively, automate manual processes and decrease their operating costs.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Complex and Dynamic Tax and Regulatory Environment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tax and regulatory environment in the United States is complex and dynamic. Organizations are subject to a myriad of tax, benefit, workers compensation, healthcare and other rules, regulations and reporting obligations. In addition to U.S. federal taxing and regulatory authorities, there are more than 10,000 state and local tax codes in the United States. Further, federal, state and local government agencies continually enact and amend the rules, regulations and reporting requirements with which organizations must comply.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Growing Demand for Mobility and Enhanced User Experience</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Connectivity and mobility are enabling employees to spend less time in traditional office environments and more time working remotely. This trend increases the demand for advanced and intuitive solutions that improve collaboration and foster employee engagement, such as remote self-service access to payroll and timesheet reporting, HR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and benefits portals and other talent management applications. Given the prominence of consumer-oriented Internet applications, employees expect the user experience and accessibility of internal systems to be similar to those of the latest Internet applications, such as LinkedIn, Amazon and Facebook.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Medium-Sized Organizations Face Unique Challenges</w:t>
      </w:r>
    </w:p>
    <w:p>
      <w:pPr>
        <w:spacing w:after="0" w:line="225"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Medium-sized organizations functioning without the infrastructure, expertise or personnel of larger enterprises are uniquely pressured in the current complex and dynamic environment. Employees in these medium-sized organizations often perform multiple job functions, and many medium-sized organizations have limited financial, technical and other resources needed to effectively manage their critical business requirements and to build and maintain the systems required to do so.</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Large Market Opportunity for Payroll and HCM Solutions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According to market analyses published by International Data Corporation, or IDC, titled Worldwide and U.S. Human Capital Management Applications 2015-2019 Forecast (June 2015) and U.S. Payroll Outsourcing Services Forecast, 2015-2019 (November 2015), the U.S. market for HCM applications and payroll outsourcing services is estimated to be $26 billion in 2017. The market opportunity is driven by the importance of payroll and HCM solutions to the successful management of organizations.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To estimate our addressable market, we focus our analysis on the number of U.S. medium-sized organizations and the number of their employees. According to the U.S. Census Bureau, there were over 610,000 firms with 20 to 999 employees in the U.S. in 2014, employing over 43 million persons. We estimate that if clients were to buy our entire suite of existing solutions at list prices, they would spend approximately $285 per employee annually. Based on this analysis, we believe our current target addressable market is approximately $12 billion. Our existing clients do not typically buy our entire suite of solutions, and as we continue to expand our product offerings, we believe that we have an opportunity to increase the amount clients spend on payroll and HCM solutions per employee and to expand our addressable market.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Organizations Are Increasingly Transitioning to SaaS Solutions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SaaS solutions are easier and more affordable to implement and operate than those offered by traditional software providers. SaaS solutions also enable software updates with greater frequency and without new hardware investments, enabling organizations to better react to changes in their environments. Many organizations are transitioning to SaaS solutions for front-office business applications such as salesforce management. Similarly, we believe organizations are adopting back-office SaaS applications, such as payroll and HCM, with increasing frequency. According to a market analysis published by IDC, titled Worldwide SaaS and Cloud Software 2015-2019 Forecast and 2014 Vendor Shares (August 2015), the U.S. SaaS market is estimated to be $54 billion in 2017 and is projected to grow at a 17% compound annual growth rate from 2014 to 2019.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of Existing Solutions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believe that existing payroll and HCM solutions have limitations that cause them to underserve the unique needs of medium-sized organizations. Existing payroll and HCM solutions include:</w:t>
      </w:r>
    </w:p>
    <w:p>
      <w:pPr>
        <w:spacing w:after="0" w:line="170" w:lineRule="exact"/>
        <w:rPr>
          <w:sz w:val="20"/>
          <w:szCs w:val="20"/>
          <w:color w:val="auto"/>
        </w:rPr>
      </w:pPr>
    </w:p>
    <w:p>
      <w:pPr>
        <w:ind w:left="980" w:right="20" w:hanging="329"/>
        <w:spacing w:after="0" w:line="293"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Traditional Payroll Service Providers</w:t>
      </w:r>
      <w:r>
        <w:rPr>
          <w:rFonts w:ascii="Arial" w:cs="Arial" w:eastAsia="Arial" w:hAnsi="Arial"/>
          <w:sz w:val="16"/>
          <w:szCs w:val="16"/>
          <w:color w:val="auto"/>
        </w:rPr>
        <w:t>. Traditional payroll service providers are primarily focused on delivery of</w:t>
      </w:r>
      <w:r>
        <w:rPr>
          <w:rFonts w:ascii="Arial" w:cs="Arial" w:eastAsia="Arial" w:hAnsi="Arial"/>
          <w:sz w:val="16"/>
          <w:szCs w:val="16"/>
          <w:i w:val="1"/>
          <w:iCs w:val="1"/>
          <w:color w:val="auto"/>
        </w:rPr>
        <w:t xml:space="preserve"> </w:t>
      </w:r>
      <w:r>
        <w:rPr>
          <w:rFonts w:ascii="Arial" w:cs="Arial" w:eastAsia="Arial" w:hAnsi="Arial"/>
          <w:sz w:val="16"/>
          <w:szCs w:val="16"/>
          <w:color w:val="auto"/>
        </w:rPr>
        <w:t>a variety of payroll processing services, insurance products and HR business process outsourcing solutions. Many of these solutions offer limited capabilities and integration beyond traditional payroll processing. The lack of a unified and configurable payroll and HCM suite can diminish the effectiveness of a system, detract from user experience and limit integration with other solutions. In addition, we believe that certain traditional payroll service providers often do not provide a high-quality client service experience.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00" w:hanging="329"/>
        <w:spacing w:after="0" w:line="31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Enterprise-Focused Payroll and HCM Software Vendors</w:t>
      </w:r>
      <w:r>
        <w:rPr>
          <w:rFonts w:ascii="Arial" w:cs="Arial" w:eastAsia="Arial" w:hAnsi="Arial"/>
          <w:sz w:val="16"/>
          <w:szCs w:val="16"/>
          <w:color w:val="auto"/>
        </w:rPr>
        <w:t>. Enterprise-focused software vendors offer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that are designed for the complex needs and structures of large enterprises. As a result, their solutions can be expensive, complex and time-consuming to implement, operate and maintain.</w:t>
      </w:r>
    </w:p>
    <w:p>
      <w:pPr>
        <w:spacing w:after="0" w:line="146" w:lineRule="exact"/>
        <w:rPr>
          <w:rFonts w:ascii="Arial" w:cs="Arial" w:eastAsia="Arial" w:hAnsi="Arial"/>
          <w:sz w:val="16"/>
          <w:szCs w:val="16"/>
          <w:color w:val="auto"/>
        </w:rPr>
      </w:pPr>
    </w:p>
    <w:p>
      <w:pPr>
        <w:ind w:left="980" w:right="120" w:hanging="329"/>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HCM Point Solution Providers</w:t>
      </w:r>
      <w:r>
        <w:rPr>
          <w:rFonts w:ascii="Arial" w:cs="Arial" w:eastAsia="Arial" w:hAnsi="Arial"/>
          <w:sz w:val="18"/>
          <w:szCs w:val="18"/>
          <w:color w:val="auto"/>
        </w:rPr>
        <w:t>. Many HCM point solutions lack integrated payroll functionality.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and management of multiple point solutions and the reliance on multiple service organizations can be challenging and expensive for medium-sized organizations.</w:t>
      </w:r>
    </w:p>
    <w:p>
      <w:pPr>
        <w:spacing w:after="0" w:line="181" w:lineRule="exact"/>
        <w:rPr>
          <w:rFonts w:ascii="Arial" w:cs="Arial" w:eastAsia="Arial" w:hAnsi="Arial"/>
          <w:sz w:val="18"/>
          <w:szCs w:val="18"/>
          <w:color w:val="auto"/>
        </w:rPr>
      </w:pPr>
    </w:p>
    <w:p>
      <w:pPr>
        <w:ind w:left="980" w:right="40" w:hanging="329"/>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Manual Processes for Payroll and HCM Functions</w:t>
      </w:r>
      <w:r>
        <w:rPr>
          <w:rFonts w:ascii="Arial" w:cs="Arial" w:eastAsia="Arial" w:hAnsi="Arial"/>
          <w:sz w:val="18"/>
          <w:szCs w:val="18"/>
          <w:color w:val="auto"/>
        </w:rPr>
        <w:t>. Manual payroll and HCM processes require increased HR,</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and finance personnel involvement, resulting in higher costs, slower processing and greater risks of data entry errors.</w:t>
      </w:r>
    </w:p>
    <w:p>
      <w:pPr>
        <w:spacing w:after="0" w:line="18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Given the challenges medium-sized organizations face operating in complex and dynamic environments and the limited ability of traditional offerings to address these challenges, we believe there is a significant market opportunity for a comprehensive, unified SaaS solution designed to serve the payroll and HCM needs of medium-sized organizations.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chief operating decision maker reviews our financial results in total when evaluating financial performance and for purposes of allocating resources. We have thus determined that we operate in a single cloud-based software solution reporting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are a cloud-based provider of payroll and HCM software solutions for medium-sized organizations. Our solutions enable medium-sized organizations to more efficiently manage payroll and human capital in their complex and dynamic operating environments. As of June 30, 2017, we served approximately 14,550 clients across the U.S., which on average had over 100 employees.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benefits of our solution include the following:</w:t>
      </w:r>
    </w:p>
    <w:p>
      <w:pPr>
        <w:spacing w:after="0" w:line="225" w:lineRule="exact"/>
        <w:rPr>
          <w:sz w:val="20"/>
          <w:szCs w:val="20"/>
          <w:color w:val="auto"/>
        </w:rPr>
      </w:pPr>
    </w:p>
    <w:p>
      <w:pPr>
        <w:ind w:left="980" w:right="60" w:hanging="329"/>
        <w:spacing w:after="0" w:line="297"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Comprehensive Platform Optimized for Medium-Sized Organizations. </w:t>
      </w:r>
      <w:r>
        <w:rPr>
          <w:rFonts w:ascii="Arial" w:cs="Arial" w:eastAsia="Arial" w:hAnsi="Arial"/>
          <w:sz w:val="16"/>
          <w:szCs w:val="16"/>
          <w:color w:val="auto"/>
        </w:rPr>
        <w:t>Our solutions empower finance and HR</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professionals in medium-sized organizations to drive strategic human capital decisions by providing enterprise-grade payroll and HCM applications, including robust reporting and analytics. Our unified platform fully automates payroll and HCM processes, enabling our clients to focus on core business activities. Our solutions help our clients attract, retain and manage their employees within a single, comprehensive system.</w:t>
      </w:r>
    </w:p>
    <w:p>
      <w:pPr>
        <w:spacing w:after="0" w:line="158" w:lineRule="exact"/>
        <w:rPr>
          <w:rFonts w:ascii="Arial" w:cs="Arial" w:eastAsia="Arial" w:hAnsi="Arial"/>
          <w:sz w:val="16"/>
          <w:szCs w:val="16"/>
          <w:color w:val="auto"/>
        </w:rPr>
      </w:pPr>
    </w:p>
    <w:p>
      <w:pPr>
        <w:ind w:left="980" w:right="20" w:hanging="329"/>
        <w:spacing w:after="0" w:line="273"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Modern, Intuitive User Experience. </w:t>
      </w:r>
      <w:r>
        <w:rPr>
          <w:rFonts w:ascii="Arial" w:cs="Arial" w:eastAsia="Arial" w:hAnsi="Arial"/>
          <w:sz w:val="17"/>
          <w:szCs w:val="17"/>
          <w:color w:val="auto"/>
        </w:rPr>
        <w:t>Our intuitive, easy-to-use interface is based on current technology and</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automatically adapts to users’ devices, including mobile platforms, thereby significantly increasing accessibility of our solutions and decreasing the need for training. Our platform’s self-service functionality and performance management applications provide employees with an engaging experience. Our performance management applications include peer-to-peer employee recognition and social employee profiles that create a reward and recognition environment resulting in greater employee engagement.</w:t>
      </w:r>
    </w:p>
    <w:p>
      <w:pPr>
        <w:spacing w:after="0" w:line="178" w:lineRule="exact"/>
        <w:rPr>
          <w:rFonts w:ascii="Arial" w:cs="Arial" w:eastAsia="Arial" w:hAnsi="Arial"/>
          <w:sz w:val="17"/>
          <w:szCs w:val="17"/>
          <w:color w:val="auto"/>
        </w:rPr>
      </w:pPr>
    </w:p>
    <w:p>
      <w:pPr>
        <w:ind w:left="980" w:right="220" w:hanging="329"/>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Flexible and Configurable Platform. </w:t>
      </w:r>
      <w:r>
        <w:rPr>
          <w:rFonts w:ascii="Arial" w:cs="Arial" w:eastAsia="Arial" w:hAnsi="Arial"/>
          <w:sz w:val="18"/>
          <w:szCs w:val="18"/>
          <w:color w:val="auto"/>
        </w:rPr>
        <w:t>We design our solutions to be flexible and configurable, allowing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to match their use of our software with their specific business processes and workflows. Our platform has been organically developed from a common code base, data structure and user interface, providing a consistent user experience with powerful features that are easily adaptable to our clients’ needs. Our systems centralize payroll and HCM data, minimizing inconsistent and incomplete information that can be produced when using multiple databases.</w:t>
      </w:r>
    </w:p>
    <w:p>
      <w:pPr>
        <w:spacing w:after="0" w:line="193" w:lineRule="exact"/>
        <w:rPr>
          <w:rFonts w:ascii="Arial" w:cs="Arial" w:eastAsia="Arial" w:hAnsi="Arial"/>
          <w:sz w:val="18"/>
          <w:szCs w:val="18"/>
          <w:color w:val="auto"/>
        </w:rPr>
      </w:pPr>
    </w:p>
    <w:p>
      <w:pPr>
        <w:ind w:left="980" w:hanging="329"/>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Highly-Attractive SaaS Solution for Medium-Sized Organizations</w:t>
      </w:r>
      <w:r>
        <w:rPr>
          <w:rFonts w:ascii="Arial" w:cs="Arial" w:eastAsia="Arial" w:hAnsi="Arial"/>
          <w:sz w:val="17"/>
          <w:szCs w:val="17"/>
          <w:color w:val="auto"/>
        </w:rPr>
        <w:t>. Our solutions are cloud-based and offered on</w:t>
      </w:r>
      <w:r>
        <w:rPr>
          <w:rFonts w:ascii="Arial" w:cs="Arial" w:eastAsia="Arial" w:hAnsi="Arial"/>
          <w:sz w:val="17"/>
          <w:szCs w:val="17"/>
          <w:i w:val="1"/>
          <w:iCs w:val="1"/>
          <w:color w:val="auto"/>
        </w:rPr>
        <w:t xml:space="preserve"> </w:t>
      </w:r>
      <w:r>
        <w:rPr>
          <w:rFonts w:ascii="Arial" w:cs="Arial" w:eastAsia="Arial" w:hAnsi="Arial"/>
          <w:sz w:val="17"/>
          <w:szCs w:val="17"/>
          <w:color w:val="auto"/>
        </w:rPr>
        <w:t>a subscription basis, making them easier and more affordable to implement, operate and update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spacing w:after="0" w:line="293" w:lineRule="auto"/>
        <w:rPr>
          <w:sz w:val="20"/>
          <w:szCs w:val="20"/>
          <w:color w:val="auto"/>
        </w:rPr>
      </w:pPr>
      <w:r>
        <w:rPr>
          <w:rFonts w:ascii="Arial" w:cs="Arial" w:eastAsia="Arial" w:hAnsi="Arial"/>
          <w:sz w:val="16"/>
          <w:szCs w:val="16"/>
          <w:color w:val="auto"/>
        </w:rPr>
        <w:t>and enabling our clients to focus less on their IT infrastructure and more on their core businesses. Our cloud-based software can be operated by a single administrator without the support of an in-house information technology department. Our multi-tenant and modern architecture allows for frequent software enhancements thereby enabling our clients to react to a rapidly changing and complex operating environment. Our cloud-based platform enables our clients to scale their businesses without having to acquire additional hardware or to resolve the integration challenges that often result from traditional outsourcing solutions.</w:t>
      </w:r>
    </w:p>
    <w:p>
      <w:pPr>
        <w:spacing w:after="0" w:line="165" w:lineRule="exact"/>
        <w:rPr>
          <w:sz w:val="20"/>
          <w:szCs w:val="20"/>
          <w:color w:val="auto"/>
        </w:rPr>
      </w:pPr>
    </w:p>
    <w:p>
      <w:pPr>
        <w:ind w:left="980" w:right="60" w:hanging="329"/>
        <w:spacing w:after="0" w:line="290"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Seamless Integration with Extensive Ecosystem of Partners</w:t>
      </w:r>
      <w:r>
        <w:rPr>
          <w:rFonts w:ascii="Arial" w:cs="Arial" w:eastAsia="Arial" w:hAnsi="Arial"/>
          <w:sz w:val="16"/>
          <w:szCs w:val="16"/>
          <w:color w:val="auto"/>
        </w:rPr>
        <w:t>. Our platform offers our clients automated data</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integration with over 200 related third-party partner systems, such as 401(k), benefits and insurance provider systems. This integration reduces the complexity and risk of error of manual data transfers and saves time for our clients and their employees. We integrate data with these related systems through a secure connection, which significantly decreases the risk of unauthorized third-party access and other security breaches. Our direct and automated data transmission improves the accuracy of data and facilitates data collection in our partners’ systems. We believe having automated data integration with a payroll and HCM provider like us differentiates our partners’ product offerings, strengthening their competitive positioning in their own markets.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intend to strengthen and extend our position as a provider of cloud-based payroll and HCM software solutions to medium-sized organizations. Key elements of our strategy include:</w:t>
      </w:r>
    </w:p>
    <w:p>
      <w:pPr>
        <w:spacing w:after="0" w:line="170" w:lineRule="exact"/>
        <w:rPr>
          <w:sz w:val="20"/>
          <w:szCs w:val="20"/>
          <w:color w:val="auto"/>
        </w:rPr>
      </w:pPr>
    </w:p>
    <w:p>
      <w:pPr>
        <w:ind w:left="980" w:right="60" w:hanging="329"/>
        <w:spacing w:after="0" w:line="297"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Grow Our Client Base</w:t>
      </w:r>
      <w:r>
        <w:rPr>
          <w:rFonts w:ascii="Arial" w:cs="Arial" w:eastAsia="Arial" w:hAnsi="Arial"/>
          <w:sz w:val="16"/>
          <w:szCs w:val="16"/>
          <w:color w:val="auto"/>
        </w:rPr>
        <w:t>. We believe that our current client base represents only a small portion of the medium-sized organizations that could benefit from our solutions. While we served approximately 14,550 clients across the U.S. as of June 30, 2017, there were over 610,000 firms with 20 to 999 employees in the U.S., employing more than 43 million persons, according to the U.S. Census Bureau in 2014. In order to acquire new clients, we plan to continue to grow our sales organization aggressively across all U.S. geographies.</w:t>
      </w:r>
    </w:p>
    <w:p>
      <w:pPr>
        <w:spacing w:after="0" w:line="158" w:lineRule="exact"/>
        <w:rPr>
          <w:rFonts w:ascii="Arial" w:cs="Arial" w:eastAsia="Arial" w:hAnsi="Arial"/>
          <w:sz w:val="16"/>
          <w:szCs w:val="16"/>
          <w:color w:val="auto"/>
        </w:rPr>
      </w:pPr>
    </w:p>
    <w:p>
      <w:pPr>
        <w:ind w:left="980" w:right="280" w:hanging="329"/>
        <w:spacing w:after="0" w:line="27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Expand Our Product Offerings</w:t>
      </w:r>
      <w:r>
        <w:rPr>
          <w:rFonts w:ascii="Arial" w:cs="Arial" w:eastAsia="Arial" w:hAnsi="Arial"/>
          <w:sz w:val="17"/>
          <w:szCs w:val="17"/>
          <w:color w:val="auto"/>
        </w:rPr>
        <w:t>. We believe that our leadership position is in significant part the result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and innovation in our product offerings designed for medium-sized organizations. Therefore, we plan to increase investment in software development to continue to advance our platform and expand our product offerings. For example, in fiscal 2017, we released Web Expense and Paylocity Recruiting, which simplify and automate employee expense management and recruitment tasks.</w:t>
      </w:r>
    </w:p>
    <w:p>
      <w:pPr>
        <w:spacing w:after="0" w:line="172" w:lineRule="exact"/>
        <w:rPr>
          <w:rFonts w:ascii="Arial" w:cs="Arial" w:eastAsia="Arial" w:hAnsi="Arial"/>
          <w:sz w:val="17"/>
          <w:szCs w:val="17"/>
          <w:color w:val="auto"/>
        </w:rPr>
      </w:pPr>
    </w:p>
    <w:p>
      <w:pPr>
        <w:ind w:left="980" w:right="60" w:hanging="329"/>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Increase Average Revenue Per Client</w:t>
      </w:r>
      <w:r>
        <w:rPr>
          <w:rFonts w:ascii="Arial" w:cs="Arial" w:eastAsia="Arial" w:hAnsi="Arial"/>
          <w:sz w:val="18"/>
          <w:szCs w:val="18"/>
          <w:color w:val="auto"/>
        </w:rPr>
        <w:t>. Our average revenue per client has consistently increased in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last three years as we have broadened our product offerings. We plan to further grow average revenue per client by selling a broader selection of products to new and existing clients.</w:t>
      </w:r>
    </w:p>
    <w:p>
      <w:pPr>
        <w:spacing w:after="0" w:line="181" w:lineRule="exact"/>
        <w:rPr>
          <w:rFonts w:ascii="Arial" w:cs="Arial" w:eastAsia="Arial" w:hAnsi="Arial"/>
          <w:sz w:val="18"/>
          <w:szCs w:val="18"/>
          <w:color w:val="auto"/>
        </w:rPr>
      </w:pPr>
    </w:p>
    <w:p>
      <w:pPr>
        <w:ind w:left="980" w:right="40" w:hanging="329"/>
        <w:spacing w:after="0" w:line="27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Extend Technological Leadership</w:t>
      </w:r>
      <w:r>
        <w:rPr>
          <w:rFonts w:ascii="Arial" w:cs="Arial" w:eastAsia="Arial" w:hAnsi="Arial"/>
          <w:sz w:val="17"/>
          <w:szCs w:val="17"/>
          <w:color w:val="auto"/>
        </w:rPr>
        <w:t>. We believe that our organically developed cloud-based multi-tenant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combined with our unified database architecture, enhances the experience and usability of our products, providing what we believe to be a competitive advantage over alternative solutions. Our modern, intuitive user interface utilizes features found on many popular consumer Internet sites, enabling users to use our solutions with limited training. We plan to continue our technology innovation, as we have done with our mobile applications, social features and analytics capabilities.</w:t>
      </w:r>
    </w:p>
    <w:p>
      <w:pPr>
        <w:spacing w:after="0" w:line="178" w:lineRule="exact"/>
        <w:rPr>
          <w:rFonts w:ascii="Arial" w:cs="Arial" w:eastAsia="Arial" w:hAnsi="Arial"/>
          <w:sz w:val="17"/>
          <w:szCs w:val="17"/>
          <w:color w:val="auto"/>
        </w:rPr>
      </w:pPr>
    </w:p>
    <w:p>
      <w:pPr>
        <w:ind w:left="980" w:right="60" w:hanging="329"/>
        <w:spacing w:after="0" w:line="272"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Further Develop Our Referral Network</w:t>
      </w:r>
      <w:r>
        <w:rPr>
          <w:rFonts w:ascii="Arial" w:cs="Arial" w:eastAsia="Arial" w:hAnsi="Arial"/>
          <w:sz w:val="17"/>
          <w:szCs w:val="17"/>
          <w:color w:val="auto"/>
        </w:rPr>
        <w:t>. We have developed a strong network of referral participants,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401(k) advisors, benefits administrators, insurance brokers, third-party administrators and HR consultants that recommend our solutions and provide referrals. We believe that our platform’s automated data integration with over 200 related third-party partner systems is valuable to our referral participants, as they are able to access payroll and HR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Our cloud-based platform features a suite of unified payroll and HCM applications. Our solutions are highly configurable and easy to use, implement, update and maintain.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Payroll (Web Pay)</w:t>
      </w:r>
    </w:p>
    <w:p>
      <w:pPr>
        <w:spacing w:after="0" w:line="13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Paylocity Web Pay is designed to provide enterprise-grade payroll processing and administration from a convenient cloud-based platform. Key features of Web Pay include: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80" w:type="dxa"/>
            <w:vAlign w:val="bottom"/>
            <w:gridSpan w:val="2"/>
          </w:tcPr>
          <w:p>
            <w:pPr>
              <w:ind w:left="940"/>
              <w:spacing w:after="0"/>
              <w:rPr>
                <w:sz w:val="20"/>
                <w:szCs w:val="20"/>
                <w:color w:val="auto"/>
              </w:rPr>
            </w:pPr>
            <w:r>
              <w:rPr>
                <w:rFonts w:ascii="Arial" w:cs="Arial" w:eastAsia="Arial" w:hAnsi="Arial"/>
                <w:sz w:val="18"/>
                <w:szCs w:val="18"/>
                <w:b w:val="1"/>
                <w:bCs w:val="1"/>
                <w:color w:val="auto"/>
              </w:rPr>
              <w:t>Feature</w:t>
            </w:r>
          </w:p>
        </w:tc>
        <w:tc>
          <w:tcPr>
            <w:tcW w:w="6460" w:type="dxa"/>
            <w:vAlign w:val="bottom"/>
          </w:tcPr>
          <w:p>
            <w:pPr>
              <w:ind w:left="272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Configurable Templates</w:t>
            </w:r>
          </w:p>
        </w:tc>
        <w:tc>
          <w:tcPr>
            <w:tcW w:w="80" w:type="dxa"/>
            <w:vAlign w:val="bottom"/>
          </w:tcPr>
          <w:p>
            <w:pPr>
              <w:spacing w:after="0"/>
              <w:rPr>
                <w:sz w:val="16"/>
                <w:szCs w:val="16"/>
                <w:color w:val="auto"/>
              </w:rPr>
            </w:pPr>
          </w:p>
        </w:tc>
        <w:tc>
          <w:tcPr>
            <w:tcW w:w="64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w w:val="92"/>
              </w:rPr>
              <w:t>Combination of standard and modifiable templates powered by highly-flexible drag-</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and-drop technology</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w w:val="91"/>
              </w:rPr>
              <w:t>Standard templates such as new hire, job change, leave of absence and termination</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templates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660"/>
              <w:spacing w:after="0"/>
              <w:rPr>
                <w:sz w:val="20"/>
                <w:szCs w:val="20"/>
                <w:color w:val="auto"/>
              </w:rPr>
            </w:pPr>
            <w:r>
              <w:rPr>
                <w:rFonts w:ascii="Arial" w:cs="Arial" w:eastAsia="Arial" w:hAnsi="Arial"/>
                <w:sz w:val="18"/>
                <w:szCs w:val="18"/>
                <w:color w:val="auto"/>
              </w:rPr>
              <w:t>Enables users to configure user interface to efficiently align to</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organizations’ business processes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660"/>
              <w:spacing w:after="0"/>
              <w:rPr>
                <w:sz w:val="20"/>
                <w:szCs w:val="20"/>
                <w:color w:val="auto"/>
              </w:rPr>
            </w:pPr>
            <w:r>
              <w:rPr>
                <w:rFonts w:ascii="Arial" w:cs="Arial" w:eastAsia="Arial" w:hAnsi="Arial"/>
                <w:sz w:val="18"/>
                <w:szCs w:val="18"/>
                <w:color w:val="auto"/>
                <w:w w:val="97"/>
              </w:rPr>
              <w:t>Ability to require additional data, add default values and insert new custom</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fields increases accuracy and consistency of data across the platform</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rPr>
              <w:t>Custom Checklists</w:t>
            </w:r>
          </w:p>
        </w:tc>
        <w:tc>
          <w:tcPr>
            <w:tcW w:w="6460" w:type="dxa"/>
            <w:vAlign w:val="bottom"/>
          </w:tcPr>
          <w:p>
            <w:pPr>
              <w:ind w:left="660"/>
              <w:spacing w:after="0"/>
              <w:rPr>
                <w:sz w:val="20"/>
                <w:szCs w:val="20"/>
                <w:color w:val="auto"/>
              </w:rPr>
            </w:pPr>
            <w:r>
              <w:rPr>
                <w:rFonts w:ascii="Arial" w:cs="Arial" w:eastAsia="Arial" w:hAnsi="Arial"/>
                <w:sz w:val="18"/>
                <w:szCs w:val="18"/>
                <w:color w:val="auto"/>
              </w:rPr>
              <w:t>Allows users to track critical steps in hiring and other processes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760"/>
              <w:spacing w:after="0"/>
              <w:rPr>
                <w:sz w:val="20"/>
                <w:szCs w:val="20"/>
                <w:color w:val="auto"/>
              </w:rPr>
            </w:pPr>
            <w:r>
              <w:rPr>
                <w:rFonts w:ascii="Arial" w:cs="Arial" w:eastAsia="Arial" w:hAnsi="Arial"/>
                <w:sz w:val="18"/>
                <w:szCs w:val="18"/>
                <w:color w:val="auto"/>
                <w:w w:val="92"/>
              </w:rPr>
              <w:t>riggers reports and notification emails to track critical steps and informs users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when tasks are complete</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rPr>
              <w:t>Advanced Reporting</w:t>
            </w:r>
          </w:p>
        </w:tc>
        <w:tc>
          <w:tcPr>
            <w:tcW w:w="6460" w:type="dxa"/>
            <w:vAlign w:val="bottom"/>
          </w:tcPr>
          <w:p>
            <w:pPr>
              <w:ind w:left="660"/>
              <w:spacing w:after="0"/>
              <w:rPr>
                <w:sz w:val="20"/>
                <w:szCs w:val="20"/>
                <w:color w:val="auto"/>
              </w:rPr>
            </w:pPr>
            <w:r>
              <w:rPr>
                <w:rFonts w:ascii="Arial" w:cs="Arial" w:eastAsia="Arial" w:hAnsi="Arial"/>
                <w:sz w:val="18"/>
                <w:szCs w:val="18"/>
                <w:color w:val="auto"/>
                <w:w w:val="92"/>
              </w:rPr>
              <w:t>Easy-to-use, powerful reporting dashboard enables users to design and create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ad- hoc reports or rely on over 100 standard reports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660"/>
              <w:spacing w:after="0"/>
              <w:rPr>
                <w:sz w:val="20"/>
                <w:szCs w:val="20"/>
                <w:color w:val="auto"/>
              </w:rPr>
            </w:pPr>
            <w:r>
              <w:rPr>
                <w:rFonts w:ascii="Arial" w:cs="Arial" w:eastAsia="Arial" w:hAnsi="Arial"/>
                <w:sz w:val="18"/>
                <w:szCs w:val="18"/>
                <w:color w:val="auto"/>
                <w:w w:val="93"/>
              </w:rPr>
              <w:t>Ability to generate a variety of pre-process reports via report library and report</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80"/>
              <w:spacing w:after="0"/>
              <w:rPr>
                <w:sz w:val="20"/>
                <w:szCs w:val="20"/>
                <w:color w:val="auto"/>
              </w:rPr>
            </w:pPr>
            <w:r>
              <w:rPr>
                <w:rFonts w:ascii="Arial" w:cs="Arial" w:eastAsia="Arial" w:hAnsi="Arial"/>
                <w:sz w:val="18"/>
                <w:szCs w:val="18"/>
                <w:color w:val="auto"/>
              </w:rPr>
              <w:t>writer</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660"/>
              <w:spacing w:after="0"/>
              <w:rPr>
                <w:sz w:val="20"/>
                <w:szCs w:val="20"/>
                <w:color w:val="auto"/>
              </w:rPr>
            </w:pPr>
            <w:r>
              <w:rPr>
                <w:rFonts w:ascii="Arial" w:cs="Arial" w:eastAsia="Arial" w:hAnsi="Arial"/>
                <w:sz w:val="18"/>
                <w:szCs w:val="18"/>
                <w:color w:val="auto"/>
                <w:w w:val="98"/>
              </w:rPr>
              <w:t>Real-time report generation, including the ability to automatically schedule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reports to run on a user-defined frequency</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660"/>
              <w:spacing w:after="0"/>
              <w:rPr>
                <w:sz w:val="20"/>
                <w:szCs w:val="20"/>
                <w:color w:val="auto"/>
              </w:rPr>
            </w:pPr>
            <w:r>
              <w:rPr>
                <w:rFonts w:ascii="Arial" w:cs="Arial" w:eastAsia="Arial" w:hAnsi="Arial"/>
                <w:sz w:val="18"/>
                <w:szCs w:val="18"/>
                <w:color w:val="auto"/>
                <w:w w:val="95"/>
              </w:rPr>
              <w:t>Point-in-time reporting, including comparative analysis over multiple periods,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80"/>
              <w:spacing w:after="0"/>
              <w:rPr>
                <w:sz w:val="20"/>
                <w:szCs w:val="20"/>
                <w:color w:val="auto"/>
              </w:rPr>
            </w:pPr>
            <w:r>
              <w:rPr>
                <w:rFonts w:ascii="Arial" w:cs="Arial" w:eastAsia="Arial" w:hAnsi="Arial"/>
                <w:sz w:val="18"/>
                <w:szCs w:val="18"/>
                <w:color w:val="auto"/>
              </w:rPr>
              <w:t>allowing users to view data from any time in history</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rPr>
              <w:t>Data Integration</w:t>
            </w:r>
          </w:p>
        </w:tc>
        <w:tc>
          <w:tcPr>
            <w:tcW w:w="6460" w:type="dxa"/>
            <w:vAlign w:val="bottom"/>
          </w:tcPr>
          <w:p>
            <w:pPr>
              <w:ind w:left="660"/>
              <w:spacing w:after="0"/>
              <w:rPr>
                <w:sz w:val="20"/>
                <w:szCs w:val="20"/>
                <w:color w:val="auto"/>
              </w:rPr>
            </w:pPr>
            <w:r>
              <w:rPr>
                <w:rFonts w:ascii="Arial" w:cs="Arial" w:eastAsia="Arial" w:hAnsi="Arial"/>
                <w:sz w:val="18"/>
                <w:szCs w:val="18"/>
                <w:color w:val="auto"/>
                <w:w w:val="97"/>
              </w:rPr>
              <w:t>Ability to set up multiple data integrations with a wide array of benefits and</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retirement plan providers</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Core HR (Web HR)</w:t>
      </w:r>
    </w:p>
    <w:p>
      <w:pPr>
        <w:spacing w:after="0" w:line="131" w:lineRule="exact"/>
        <w:rPr>
          <w:sz w:val="20"/>
          <w:szCs w:val="20"/>
          <w:color w:val="auto"/>
        </w:rPr>
      </w:pPr>
    </w:p>
    <w:p>
      <w:pPr>
        <w:ind w:right="239" w:firstLine="648"/>
        <w:spacing w:after="0" w:line="342" w:lineRule="auto"/>
        <w:rPr>
          <w:sz w:val="20"/>
          <w:szCs w:val="20"/>
          <w:color w:val="auto"/>
        </w:rPr>
      </w:pPr>
      <w:r>
        <w:rPr>
          <w:rFonts w:ascii="Arial" w:cs="Arial" w:eastAsia="Arial" w:hAnsi="Arial"/>
          <w:sz w:val="16"/>
          <w:szCs w:val="16"/>
          <w:color w:val="auto"/>
        </w:rPr>
        <w:t>Paylocity Web HR provides a set of core HR capabilities designed to improve HR compliance, enhance reporting capabilities and reduce the amount of time necessary to manage employee information. Key features of Web HR include:</w:t>
      </w:r>
    </w:p>
    <w:p>
      <w:pPr>
        <w:spacing w:after="0" w:line="39" w:lineRule="exact"/>
        <w:rPr>
          <w:sz w:val="20"/>
          <w:szCs w:val="20"/>
          <w:color w:val="auto"/>
        </w:rPr>
      </w:pPr>
    </w:p>
    <w:p>
      <w:pPr>
        <w:ind w:left="960"/>
        <w:spacing w:after="0"/>
        <w:tabs>
          <w:tab w:leader="none" w:pos="5300" w:val="left"/>
        </w:tabs>
        <w:rPr>
          <w:sz w:val="20"/>
          <w:szCs w:val="20"/>
          <w:color w:val="auto"/>
        </w:rPr>
      </w:pPr>
      <w:r>
        <w:rPr>
          <w:rFonts w:ascii="Arial" w:cs="Arial" w:eastAsia="Arial" w:hAnsi="Arial"/>
          <w:sz w:val="18"/>
          <w:szCs w:val="18"/>
          <w:b w:val="1"/>
          <w:bCs w:val="1"/>
          <w:color w:val="auto"/>
        </w:rPr>
        <w:t>Feature</w:t>
      </w:r>
      <w:r>
        <w:rPr>
          <w:sz w:val="20"/>
          <w:szCs w:val="20"/>
          <w:color w:val="auto"/>
        </w:rPr>
        <w:tab/>
      </w:r>
      <w:r>
        <w:rPr>
          <w:rFonts w:ascii="Arial" w:cs="Arial" w:eastAsia="Arial" w:hAnsi="Arial"/>
          <w:sz w:val="18"/>
          <w:szCs w:val="18"/>
          <w:b w:val="1"/>
          <w:bCs w:val="1"/>
          <w:color w:val="auto"/>
        </w:rPr>
        <w:t>Functionality</w:t>
      </w:r>
    </w:p>
    <w:p>
      <w:pPr>
        <w:sectPr>
          <w:pgSz w:w="11900" w:h="16838" w:orient="portrait"/>
          <w:cols w:equalWidth="0" w:num="1">
            <w:col w:w="9039"/>
          </w:cols>
          <w:pgMar w:left="1420" w:top="125" w:right="1440"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Employee Record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16033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HR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HR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HR Insight and Analytics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Self-Service Portals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79" w:firstLine="10"/>
        <w:spacing w:after="0" w:line="235" w:lineRule="auto"/>
        <w:rPr>
          <w:sz w:val="20"/>
          <w:szCs w:val="20"/>
          <w:color w:val="auto"/>
        </w:rPr>
      </w:pPr>
      <w:r>
        <w:rPr>
          <w:rFonts w:ascii="Arial" w:cs="Arial" w:eastAsia="Arial" w:hAnsi="Arial"/>
          <w:sz w:val="18"/>
          <w:szCs w:val="18"/>
          <w:color w:val="auto"/>
        </w:rPr>
        <w:t>Manage payroll deductions for employee benefit plans such as health and 401(k) Automated employee time-off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-256540</wp:posOffset>
            </wp:positionV>
            <wp:extent cx="40906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ind w:right="1539" w:hanging="2"/>
        <w:spacing w:after="0" w:line="232" w:lineRule="auto"/>
        <w:rPr>
          <w:sz w:val="20"/>
          <w:szCs w:val="20"/>
          <w:color w:val="auto"/>
        </w:rPr>
      </w:pPr>
      <w:r>
        <w:rPr>
          <w:rFonts w:ascii="Arial" w:cs="Arial" w:eastAsia="Arial" w:hAnsi="Arial"/>
          <w:sz w:val="17"/>
          <w:szCs w:val="17"/>
          <w:color w:val="auto"/>
        </w:rPr>
        <w:t>Track employee skills, events, education and prior employment Store employee documentation electronically</w:t>
      </w:r>
    </w:p>
    <w:p>
      <w:pPr>
        <w:spacing w:after="0" w:line="219" w:lineRule="auto"/>
        <w:rPr>
          <w:sz w:val="20"/>
          <w:szCs w:val="20"/>
          <w:color w:val="auto"/>
        </w:rPr>
      </w:pPr>
      <w:r>
        <w:rPr>
          <w:rFonts w:ascii="Arial" w:cs="Arial" w:eastAsia="Arial" w:hAnsi="Arial"/>
          <w:sz w:val="18"/>
          <w:szCs w:val="18"/>
          <w:color w:val="auto"/>
        </w:rPr>
        <w:t>Record and track company property issued to employees</w:t>
      </w:r>
    </w:p>
    <w:p>
      <w:pPr>
        <w:ind w:right="559"/>
        <w:spacing w:after="0" w:line="263" w:lineRule="auto"/>
        <w:rPr>
          <w:sz w:val="20"/>
          <w:szCs w:val="20"/>
          <w:color w:val="auto"/>
        </w:rPr>
      </w:pPr>
      <w:r>
        <w:rPr>
          <w:rFonts w:ascii="Arial" w:cs="Arial" w:eastAsia="Arial" w:hAnsi="Arial"/>
          <w:sz w:val="16"/>
          <w:szCs w:val="16"/>
          <w:color w:val="auto"/>
        </w:rPr>
        <w:t>Ability to add custom fields to track additional employee related information Automate I-9 work authorization set-up, tracking and monitoring</w:t>
      </w:r>
    </w:p>
    <w:p>
      <w:pPr>
        <w:ind w:right="59" w:firstLine="9"/>
        <w:spacing w:after="0" w:line="258" w:lineRule="auto"/>
        <w:rPr>
          <w:sz w:val="20"/>
          <w:szCs w:val="20"/>
          <w:color w:val="auto"/>
        </w:rPr>
      </w:pPr>
      <w:r>
        <w:rPr>
          <w:rFonts w:ascii="Arial" w:cs="Arial" w:eastAsia="Arial" w:hAnsi="Arial"/>
          <w:sz w:val="18"/>
          <w:szCs w:val="18"/>
          <w:color w:val="auto"/>
        </w:rPr>
        <w:t>Proactively manage employee policy acknowledgement and signature collection for items such as employee handbooks</w:t>
      </w:r>
    </w:p>
    <w:p>
      <w:pPr>
        <w:spacing w:after="0" w:line="1" w:lineRule="exact"/>
        <w:rPr>
          <w:sz w:val="20"/>
          <w:szCs w:val="20"/>
          <w:color w:val="auto"/>
        </w:rPr>
      </w:pPr>
    </w:p>
    <w:p>
      <w:pPr>
        <w:ind w:right="219"/>
        <w:spacing w:after="0" w:line="258" w:lineRule="auto"/>
        <w:rPr>
          <w:sz w:val="20"/>
          <w:szCs w:val="20"/>
          <w:color w:val="auto"/>
        </w:rPr>
      </w:pPr>
      <w:r>
        <w:rPr>
          <w:rFonts w:ascii="Arial" w:cs="Arial" w:eastAsia="Arial" w:hAnsi="Arial"/>
          <w:sz w:val="17"/>
          <w:szCs w:val="17"/>
          <w:color w:val="auto"/>
        </w:rPr>
        <w:t>Assign and track interactive online courses for compliance and other policy needs including sexual harassment training and cybersecurity awareness</w:t>
      </w:r>
    </w:p>
    <w:p>
      <w:pPr>
        <w:spacing w:after="0"/>
        <w:rPr>
          <w:sz w:val="20"/>
          <w:szCs w:val="20"/>
          <w:color w:val="auto"/>
        </w:rPr>
      </w:pPr>
      <w:r>
        <w:rPr>
          <w:rFonts w:ascii="Arial" w:cs="Arial" w:eastAsia="Arial" w:hAnsi="Arial"/>
          <w:sz w:val="18"/>
          <w:szCs w:val="18"/>
          <w:color w:val="auto"/>
        </w:rPr>
        <w:t>Manage ACA Compliance activities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Facilitate Equal Employment Opportunity (EEO) assessment and filing</w:t>
      </w:r>
    </w:p>
    <w:p>
      <w:pPr>
        <w:spacing w:after="0" w:line="9" w:lineRule="exact"/>
        <w:rPr>
          <w:sz w:val="20"/>
          <w:szCs w:val="20"/>
          <w:color w:val="auto"/>
        </w:rPr>
      </w:pPr>
    </w:p>
    <w:p>
      <w:pPr>
        <w:ind w:right="219" w:firstLine="6"/>
        <w:spacing w:after="0" w:line="251" w:lineRule="auto"/>
        <w:rPr>
          <w:sz w:val="20"/>
          <w:szCs w:val="20"/>
          <w:color w:val="auto"/>
        </w:rPr>
      </w:pPr>
      <w:r>
        <w:rPr>
          <w:rFonts w:ascii="Arial" w:cs="Arial" w:eastAsia="Arial" w:hAnsi="Arial"/>
          <w:sz w:val="18"/>
          <w:szCs w:val="18"/>
          <w:color w:val="auto"/>
        </w:rPr>
        <w:t>View relevant industry and regulatory updates with a focus on helping employees understand the potential compliance impact to their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Interactive employee organizational chart</w:t>
      </w:r>
    </w:p>
    <w:p>
      <w:pPr>
        <w:spacing w:after="0" w:line="229" w:lineRule="auto"/>
        <w:rPr>
          <w:sz w:val="20"/>
          <w:szCs w:val="20"/>
          <w:color w:val="auto"/>
        </w:rPr>
      </w:pPr>
      <w:r>
        <w:rPr>
          <w:rFonts w:ascii="Arial" w:cs="Arial" w:eastAsia="Arial" w:hAnsi="Arial"/>
          <w:sz w:val="18"/>
          <w:szCs w:val="18"/>
          <w:color w:val="auto"/>
        </w:rPr>
        <w:t>Family Medical Leave Act (FMLA) tracking</w:t>
      </w:r>
    </w:p>
    <w:p>
      <w:pPr>
        <w:spacing w:after="0" w:line="220" w:lineRule="auto"/>
        <w:rPr>
          <w:sz w:val="20"/>
          <w:szCs w:val="20"/>
          <w:color w:val="auto"/>
        </w:rPr>
      </w:pPr>
      <w:r>
        <w:rPr>
          <w:rFonts w:ascii="Arial" w:cs="Arial" w:eastAsia="Arial" w:hAnsi="Arial"/>
          <w:sz w:val="18"/>
          <w:szCs w:val="18"/>
          <w:color w:val="auto"/>
        </w:rPr>
        <w:t>EEO reporting</w:t>
      </w:r>
    </w:p>
    <w:p>
      <w:pPr>
        <w:spacing w:after="0" w:line="219" w:lineRule="auto"/>
        <w:rPr>
          <w:sz w:val="20"/>
          <w:szCs w:val="20"/>
          <w:color w:val="auto"/>
        </w:rPr>
      </w:pPr>
      <w:r>
        <w:rPr>
          <w:rFonts w:ascii="Arial" w:cs="Arial" w:eastAsia="Arial" w:hAnsi="Arial"/>
          <w:sz w:val="18"/>
          <w:szCs w:val="18"/>
          <w:color w:val="auto"/>
        </w:rPr>
        <w:t>Occupational Safety &amp; Health Administration (OSHA) tracking</w:t>
      </w:r>
    </w:p>
    <w:p>
      <w:pPr>
        <w:spacing w:after="0" w:line="219" w:lineRule="auto"/>
        <w:rPr>
          <w:sz w:val="20"/>
          <w:szCs w:val="20"/>
          <w:color w:val="auto"/>
        </w:rPr>
      </w:pPr>
      <w:r>
        <w:rPr>
          <w:rFonts w:ascii="Arial" w:cs="Arial" w:eastAsia="Arial" w:hAnsi="Arial"/>
          <w:sz w:val="18"/>
          <w:szCs w:val="18"/>
          <w:color w:val="auto"/>
        </w:rPr>
        <w:t>Consolidated Omnibus Budget Reconciliation Act (COBRA) tracking</w:t>
      </w:r>
    </w:p>
    <w:p>
      <w:pPr>
        <w:spacing w:after="0" w:line="219" w:lineRule="auto"/>
        <w:rPr>
          <w:sz w:val="20"/>
          <w:szCs w:val="20"/>
          <w:color w:val="auto"/>
        </w:rPr>
      </w:pPr>
      <w:r>
        <w:rPr>
          <w:rFonts w:ascii="Arial" w:cs="Arial" w:eastAsia="Arial" w:hAnsi="Arial"/>
          <w:sz w:val="18"/>
          <w:szCs w:val="18"/>
          <w:color w:val="auto"/>
        </w:rPr>
        <w:t>VETS 100/100A reporting</w:t>
      </w:r>
    </w:p>
    <w:p>
      <w:pPr>
        <w:spacing w:after="0" w:line="219" w:lineRule="auto"/>
        <w:rPr>
          <w:sz w:val="20"/>
          <w:szCs w:val="20"/>
          <w:color w:val="auto"/>
        </w:rPr>
      </w:pPr>
      <w:r>
        <w:rPr>
          <w:rFonts w:ascii="Arial" w:cs="Arial" w:eastAsia="Arial" w:hAnsi="Arial"/>
          <w:sz w:val="18"/>
          <w:szCs w:val="18"/>
          <w:color w:val="auto"/>
        </w:rPr>
        <w:t>Workers’ compensation tracking and reporting</w:t>
      </w:r>
    </w:p>
    <w:p>
      <w:pPr>
        <w:spacing w:after="0" w:line="220" w:lineRule="auto"/>
        <w:rPr>
          <w:sz w:val="20"/>
          <w:szCs w:val="20"/>
          <w:color w:val="auto"/>
        </w:rPr>
      </w:pPr>
      <w:r>
        <w:rPr>
          <w:rFonts w:ascii="Arial" w:cs="Arial" w:eastAsia="Arial" w:hAnsi="Arial"/>
          <w:sz w:val="18"/>
          <w:szCs w:val="18"/>
          <w:color w:val="auto"/>
        </w:rPr>
        <w:t>I-9 verification</w:t>
      </w:r>
    </w:p>
    <w:p>
      <w:pPr>
        <w:spacing w:after="0" w:line="235" w:lineRule="auto"/>
        <w:rPr>
          <w:sz w:val="20"/>
          <w:szCs w:val="20"/>
          <w:color w:val="auto"/>
        </w:rPr>
      </w:pPr>
      <w:r>
        <w:rPr>
          <w:rFonts w:ascii="Arial" w:cs="Arial" w:eastAsia="Arial" w:hAnsi="Arial"/>
          <w:sz w:val="18"/>
          <w:szCs w:val="18"/>
          <w:color w:val="auto"/>
        </w:rPr>
        <w:t>Provides a year end dashboard to manage IRS deadlines</w:t>
      </w:r>
    </w:p>
    <w:p>
      <w:pPr>
        <w:ind w:right="1019" w:firstLine="9"/>
        <w:spacing w:after="0" w:line="249" w:lineRule="auto"/>
        <w:rPr>
          <w:sz w:val="20"/>
          <w:szCs w:val="20"/>
          <w:color w:val="auto"/>
        </w:rPr>
      </w:pPr>
      <w:r>
        <w:rPr>
          <w:rFonts w:ascii="Arial" w:cs="Arial" w:eastAsia="Arial" w:hAnsi="Arial"/>
          <w:sz w:val="18"/>
          <w:szCs w:val="18"/>
          <w:color w:val="auto"/>
        </w:rPr>
        <w:t>Provides a dashboard view into critical HR metrics such as headcount, employee turnover and potential at-risk employees</w:t>
      </w:r>
    </w:p>
    <w:p>
      <w:pPr>
        <w:spacing w:after="0" w:line="1" w:lineRule="exact"/>
        <w:rPr>
          <w:sz w:val="20"/>
          <w:szCs w:val="20"/>
          <w:color w:val="auto"/>
        </w:rPr>
      </w:pPr>
    </w:p>
    <w:p>
      <w:pPr>
        <w:ind w:right="939" w:firstLine="9"/>
        <w:spacing w:after="0" w:line="250" w:lineRule="auto"/>
        <w:rPr>
          <w:sz w:val="20"/>
          <w:szCs w:val="20"/>
          <w:color w:val="auto"/>
        </w:rPr>
      </w:pPr>
      <w:r>
        <w:rPr>
          <w:rFonts w:ascii="Arial" w:cs="Arial" w:eastAsia="Arial" w:hAnsi="Arial"/>
          <w:sz w:val="18"/>
          <w:szCs w:val="18"/>
          <w:color w:val="auto"/>
        </w:rPr>
        <w:t>Users can choose between different types of graphical display or export the information to spreadsheets or other documents</w:t>
      </w:r>
    </w:p>
    <w:p>
      <w:pPr>
        <w:spacing w:after="0" w:line="1" w:lineRule="exact"/>
        <w:rPr>
          <w:sz w:val="20"/>
          <w:szCs w:val="20"/>
          <w:color w:val="auto"/>
        </w:rPr>
      </w:pPr>
    </w:p>
    <w:p>
      <w:pPr>
        <w:ind w:right="279" w:firstLine="9"/>
        <w:spacing w:after="0" w:line="243" w:lineRule="auto"/>
        <w:rPr>
          <w:sz w:val="20"/>
          <w:szCs w:val="20"/>
          <w:color w:val="auto"/>
        </w:rPr>
      </w:pPr>
      <w:r>
        <w:rPr>
          <w:rFonts w:ascii="Arial" w:cs="Arial" w:eastAsia="Arial" w:hAnsi="Arial"/>
          <w:sz w:val="18"/>
          <w:szCs w:val="18"/>
          <w:color w:val="auto"/>
        </w:rPr>
        <w:t>Retention dashboard assists employers in identifying and taking action on at-risk employees to improve employee retention</w:t>
      </w:r>
    </w:p>
    <w:p>
      <w:pPr>
        <w:spacing w:after="0" w:line="236" w:lineRule="auto"/>
        <w:rPr>
          <w:sz w:val="20"/>
          <w:szCs w:val="20"/>
          <w:color w:val="auto"/>
        </w:rPr>
      </w:pPr>
      <w:r>
        <w:rPr>
          <w:rFonts w:ascii="Arial" w:cs="Arial" w:eastAsia="Arial" w:hAnsi="Arial"/>
          <w:sz w:val="18"/>
          <w:szCs w:val="18"/>
          <w:color w:val="auto"/>
        </w:rPr>
        <w:t>Compliance and reporting</w:t>
      </w:r>
    </w:p>
    <w:p>
      <w:pPr>
        <w:ind w:right="39" w:firstLine="9"/>
        <w:spacing w:after="0" w:line="249" w:lineRule="auto"/>
        <w:rPr>
          <w:sz w:val="20"/>
          <w:szCs w:val="20"/>
          <w:color w:val="auto"/>
        </w:rPr>
      </w:pPr>
      <w:r>
        <w:rPr>
          <w:rFonts w:ascii="Arial" w:cs="Arial" w:eastAsia="Arial" w:hAnsi="Arial"/>
          <w:sz w:val="18"/>
          <w:szCs w:val="18"/>
          <w:color w:val="auto"/>
        </w:rPr>
        <w:t>Full online and mobile access through virtually any device having Internet access to payroll, HR and benefits information</w:t>
      </w:r>
    </w:p>
    <w:p>
      <w:pPr>
        <w:spacing w:after="0" w:line="1" w:lineRule="exact"/>
        <w:rPr>
          <w:sz w:val="20"/>
          <w:szCs w:val="20"/>
          <w:color w:val="auto"/>
        </w:rPr>
      </w:pPr>
    </w:p>
    <w:p>
      <w:pPr>
        <w:ind w:right="479" w:firstLine="9"/>
        <w:spacing w:after="0" w:line="265" w:lineRule="auto"/>
        <w:rPr>
          <w:sz w:val="20"/>
          <w:szCs w:val="20"/>
          <w:color w:val="auto"/>
        </w:rPr>
      </w:pPr>
      <w:r>
        <w:rPr>
          <w:rFonts w:ascii="Arial" w:cs="Arial" w:eastAsia="Arial" w:hAnsi="Arial"/>
          <w:sz w:val="17"/>
          <w:szCs w:val="17"/>
          <w:color w:val="auto"/>
        </w:rPr>
        <w:t>Provides the ability for administrators to communicate company news and policy changes, such as handbook revisions, and to post documents and create custom web pages to communicate with employees</w:t>
      </w:r>
    </w:p>
    <w:p>
      <w:pPr>
        <w:spacing w:after="0" w:line="1" w:lineRule="exact"/>
        <w:rPr>
          <w:sz w:val="20"/>
          <w:szCs w:val="20"/>
          <w:color w:val="auto"/>
        </w:rPr>
      </w:pPr>
    </w:p>
    <w:p>
      <w:pPr>
        <w:ind w:right="39" w:firstLine="9"/>
        <w:spacing w:after="0" w:line="254" w:lineRule="auto"/>
        <w:rPr>
          <w:sz w:val="20"/>
          <w:szCs w:val="20"/>
          <w:color w:val="auto"/>
        </w:rPr>
      </w:pPr>
      <w:r>
        <w:rPr>
          <w:rFonts w:ascii="Arial" w:cs="Arial" w:eastAsia="Arial" w:hAnsi="Arial"/>
          <w:sz w:val="18"/>
          <w:szCs w:val="18"/>
          <w:color w:val="auto"/>
        </w:rPr>
        <w:t>Provides a single view for managers where they can approve employee changes and requests, manage outstanding tasks and easily access employee information Improves communication among managers and HR and payroll and finance departments</w:t>
      </w:r>
    </w:p>
    <w:p>
      <w:pPr>
        <w:spacing w:after="0" w:line="200" w:lineRule="exact"/>
        <w:rPr>
          <w:sz w:val="20"/>
          <w:szCs w:val="20"/>
          <w:color w:val="auto"/>
        </w:rPr>
      </w:pPr>
    </w:p>
    <w:p>
      <w:pPr>
        <w:sectPr>
          <w:pgSz w:w="11900" w:h="16838" w:orient="portrait"/>
          <w:cols w:equalWidth="0" w:num="2">
            <w:col w:w="2280" w:space="660"/>
            <w:col w:w="6099"/>
          </w:cols>
          <w:pgMar w:left="142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Talent Management</w:t>
      </w:r>
    </w:p>
    <w:p>
      <w:pPr>
        <w:spacing w:after="0" w:line="13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Paylocity’s Talent suite is designed to bring ease and convenience to the employee performance appraisal process and to give employees the opportunity to participate in their performance review and be more engaged in their professional development. Employee reviews and appraisals throughout the organization are stored and analyzed in a single system. Key features of Talent include: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0" w:type="dxa"/>
            <w:vAlign w:val="bottom"/>
            <w:gridSpan w:val="2"/>
          </w:tcPr>
          <w:p>
            <w:pPr>
              <w:ind w:left="940"/>
              <w:spacing w:after="0"/>
              <w:rPr>
                <w:sz w:val="20"/>
                <w:szCs w:val="20"/>
                <w:color w:val="auto"/>
              </w:rPr>
            </w:pPr>
            <w:r>
              <w:rPr>
                <w:rFonts w:ascii="Arial" w:cs="Arial" w:eastAsia="Arial" w:hAnsi="Arial"/>
                <w:sz w:val="18"/>
                <w:szCs w:val="18"/>
                <w:b w:val="1"/>
                <w:bCs w:val="1"/>
                <w:color w:val="auto"/>
              </w:rPr>
              <w:t>Feature</w:t>
            </w:r>
          </w:p>
        </w:tc>
        <w:tc>
          <w:tcPr>
            <w:tcW w:w="6440" w:type="dxa"/>
            <w:vAlign w:val="bottom"/>
          </w:tcPr>
          <w:p>
            <w:pPr>
              <w:ind w:left="260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Reviews</w:t>
            </w:r>
          </w:p>
        </w:tc>
        <w:tc>
          <w:tcPr>
            <w:tcW w:w="100" w:type="dxa"/>
            <w:vAlign w:val="bottom"/>
          </w:tcPr>
          <w:p>
            <w:pPr>
              <w:spacing w:after="0"/>
              <w:rPr>
                <w:sz w:val="16"/>
                <w:szCs w:val="16"/>
                <w:color w:val="auto"/>
              </w:rPr>
            </w:pPr>
          </w:p>
        </w:tc>
        <w:tc>
          <w:tcPr>
            <w:tcW w:w="64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w w:val="94"/>
              </w:rPr>
              <w:t>Provides the ability for employees and managers to complete online reviews, add</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comments and sign off on completed reviews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2"/>
              </w:rPr>
              <w:t>Includes automated workflow at each step of the review process with ability for HR</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administrators to review and provide feedback prior to final approval</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360° Feedback</w:t>
            </w:r>
          </w:p>
        </w:tc>
        <w:tc>
          <w:tcPr>
            <w:tcW w:w="6440" w:type="dxa"/>
            <w:vAlign w:val="bottom"/>
          </w:tcPr>
          <w:p>
            <w:pPr>
              <w:ind w:left="340"/>
              <w:spacing w:after="0"/>
              <w:rPr>
                <w:sz w:val="20"/>
                <w:szCs w:val="20"/>
                <w:color w:val="auto"/>
              </w:rPr>
            </w:pPr>
            <w:r>
              <w:rPr>
                <w:rFonts w:ascii="Arial" w:cs="Arial" w:eastAsia="Arial" w:hAnsi="Arial"/>
                <w:sz w:val="18"/>
                <w:szCs w:val="18"/>
                <w:color w:val="auto"/>
                <w:w w:val="92"/>
              </w:rPr>
              <w:t>Provides the ability to access feedback from employees across the organization to</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receive input on employee performance and accomplishments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Enables year-round or point-in-time 360° feedback</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Goals Management</w:t>
            </w:r>
          </w:p>
        </w:tc>
        <w:tc>
          <w:tcPr>
            <w:tcW w:w="6440" w:type="dxa"/>
            <w:vAlign w:val="bottom"/>
          </w:tcPr>
          <w:p>
            <w:pPr>
              <w:ind w:left="340"/>
              <w:spacing w:after="0"/>
              <w:rPr>
                <w:sz w:val="20"/>
                <w:szCs w:val="20"/>
                <w:color w:val="auto"/>
              </w:rPr>
            </w:pPr>
            <w:r>
              <w:rPr>
                <w:rFonts w:ascii="Arial" w:cs="Arial" w:eastAsia="Arial" w:hAnsi="Arial"/>
                <w:sz w:val="18"/>
                <w:szCs w:val="18"/>
                <w:color w:val="auto"/>
                <w:w w:val="89"/>
              </w:rPr>
              <w:t>Manages employee goals and appraisals in a single place to reduce the time required</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to navigate between screens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w w:val="98"/>
              </w:rPr>
              <w:t>Allows specific goals to be displayed on the performance review for increased</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employee focus and development</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Assigns goals specific to employees based on skill level and other factors</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Impressions</w:t>
            </w:r>
          </w:p>
        </w:tc>
        <w:tc>
          <w:tcPr>
            <w:tcW w:w="6440" w:type="dxa"/>
            <w:vAlign w:val="bottom"/>
          </w:tcPr>
          <w:p>
            <w:pPr>
              <w:ind w:left="340"/>
              <w:spacing w:after="0"/>
              <w:rPr>
                <w:sz w:val="20"/>
                <w:szCs w:val="20"/>
                <w:color w:val="auto"/>
              </w:rPr>
            </w:pPr>
            <w:r>
              <w:rPr>
                <w:rFonts w:ascii="Arial" w:cs="Arial" w:eastAsia="Arial" w:hAnsi="Arial"/>
                <w:sz w:val="18"/>
                <w:szCs w:val="18"/>
                <w:color w:val="auto"/>
              </w:rPr>
              <w:t>Provides employees the ability to recognize each other and provide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immediate feedback</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Impression leaderboard is visible to everyone in the organization providing</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recognition for top performers</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Recruiting</w:t>
            </w:r>
          </w:p>
        </w:tc>
        <w:tc>
          <w:tcPr>
            <w:tcW w:w="6440" w:type="dxa"/>
            <w:vAlign w:val="bottom"/>
          </w:tcPr>
          <w:p>
            <w:pPr>
              <w:ind w:left="340"/>
              <w:spacing w:after="0"/>
              <w:rPr>
                <w:sz w:val="20"/>
                <w:szCs w:val="20"/>
                <w:color w:val="auto"/>
              </w:rPr>
            </w:pPr>
            <w:r>
              <w:rPr>
                <w:rFonts w:ascii="Arial" w:cs="Arial" w:eastAsia="Arial" w:hAnsi="Arial"/>
                <w:sz w:val="18"/>
                <w:szCs w:val="18"/>
                <w:color w:val="auto"/>
                <w:w w:val="92"/>
              </w:rPr>
              <w:t>Auto-fill of resume information to save time and effort in the candidate’s application</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process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5"/>
              </w:rPr>
              <w:t>Tracking of applicants through the workflow in order to reduce time spent on the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w w:val="91"/>
              </w:rPr>
              <w:t>recruiting and talent acquisition process and so that users quickly know the status of</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any prospects at critical stages in the process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2"/>
              </w:rPr>
              <w:t>Repository of applicant information and feedback for future reference and sourcing</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Onboarding</w:t>
            </w:r>
          </w:p>
        </w:tc>
        <w:tc>
          <w:tcPr>
            <w:tcW w:w="6440" w:type="dxa"/>
            <w:vAlign w:val="bottom"/>
          </w:tcPr>
          <w:p>
            <w:pPr>
              <w:ind w:left="340"/>
              <w:spacing w:after="0"/>
              <w:rPr>
                <w:sz w:val="20"/>
                <w:szCs w:val="20"/>
                <w:color w:val="auto"/>
              </w:rPr>
            </w:pPr>
            <w:r>
              <w:rPr>
                <w:rFonts w:ascii="Arial" w:cs="Arial" w:eastAsia="Arial" w:hAnsi="Arial"/>
                <w:sz w:val="18"/>
                <w:szCs w:val="18"/>
                <w:color w:val="auto"/>
                <w:w w:val="94"/>
              </w:rPr>
              <w:t>Mobile responsive design and attractive, intuitive interface, engaging new hires in</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the process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2"/>
              </w:rPr>
              <w:t>Robust events management capabilities, empowering administrators to proactively</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manage the onboarding process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9"/>
              </w:rPr>
              <w:t>High level of customization, allowing administrators to tailor tasks and overall</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experience for new hires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8"/>
              </w:rPr>
              <w:t>Withholding forms wizard, simplifying the process of completing important tax-</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related paperwork</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w w:val="93"/>
              </w:rPr>
              <w:t>Ability to add customized content including welcome message, documents, videos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and other company specific information</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Journals</w:t>
            </w:r>
          </w:p>
        </w:tc>
        <w:tc>
          <w:tcPr>
            <w:tcW w:w="6440" w:type="dxa"/>
            <w:vAlign w:val="bottom"/>
          </w:tcPr>
          <w:p>
            <w:pPr>
              <w:ind w:left="340"/>
              <w:spacing w:after="0"/>
              <w:rPr>
                <w:sz w:val="20"/>
                <w:szCs w:val="20"/>
                <w:color w:val="auto"/>
              </w:rPr>
            </w:pPr>
            <w:r>
              <w:rPr>
                <w:rFonts w:ascii="Arial" w:cs="Arial" w:eastAsia="Arial" w:hAnsi="Arial"/>
                <w:sz w:val="18"/>
                <w:szCs w:val="18"/>
                <w:color w:val="auto"/>
                <w:w w:val="93"/>
              </w:rPr>
              <w:t>Captures and tracks ongoing discussions with employees to support performance</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appraisals</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Time &amp; Labor (Web Time and Web Expense)</w:t>
      </w:r>
    </w:p>
    <w:p>
      <w:pPr>
        <w:spacing w:after="0" w:line="13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Paylocity Web Time is a time and attendance solution designed to automate manual processes, improve productivity and help organizations control labor costs. Key features of Web Time include: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0" w:type="dxa"/>
            <w:vAlign w:val="bottom"/>
            <w:gridSpan w:val="2"/>
          </w:tcPr>
          <w:p>
            <w:pPr>
              <w:ind w:left="940"/>
              <w:spacing w:after="0"/>
              <w:rPr>
                <w:sz w:val="20"/>
                <w:szCs w:val="20"/>
                <w:color w:val="auto"/>
              </w:rPr>
            </w:pPr>
            <w:r>
              <w:rPr>
                <w:rFonts w:ascii="Arial" w:cs="Arial" w:eastAsia="Arial" w:hAnsi="Arial"/>
                <w:sz w:val="18"/>
                <w:szCs w:val="18"/>
                <w:b w:val="1"/>
                <w:bCs w:val="1"/>
                <w:color w:val="auto"/>
              </w:rPr>
              <w:t>Feature</w:t>
            </w:r>
          </w:p>
        </w:tc>
        <w:tc>
          <w:tcPr>
            <w:tcW w:w="6440" w:type="dxa"/>
            <w:vAlign w:val="bottom"/>
          </w:tcPr>
          <w:p>
            <w:pPr>
              <w:ind w:left="270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Task Management</w:t>
            </w:r>
          </w:p>
        </w:tc>
        <w:tc>
          <w:tcPr>
            <w:tcW w:w="100" w:type="dxa"/>
            <w:vAlign w:val="bottom"/>
          </w:tcPr>
          <w:p>
            <w:pPr>
              <w:spacing w:after="0"/>
              <w:rPr>
                <w:sz w:val="16"/>
                <w:szCs w:val="16"/>
                <w:color w:val="auto"/>
              </w:rPr>
            </w:pPr>
          </w:p>
        </w:tc>
        <w:tc>
          <w:tcPr>
            <w:tcW w:w="64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Scheduling management</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3"/>
              </w:rPr>
              <w:t>Time and attendance tracking, including overtime, rounding rules, payroll policies,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labor allocation and time-off accruals</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Tracks tardiness, absenteeism, and misuse of break or meal periods</w:t>
            </w:r>
          </w:p>
        </w:tc>
      </w:tr>
      <w:tr>
        <w:trPr>
          <w:trHeight w:val="229"/>
        </w:trPr>
        <w:tc>
          <w:tcPr>
            <w:tcW w:w="2620" w:type="dxa"/>
            <w:vAlign w:val="bottom"/>
            <w:gridSpan w:val="3"/>
          </w:tcPr>
          <w:p>
            <w:pPr>
              <w:spacing w:after="0"/>
              <w:rPr>
                <w:sz w:val="20"/>
                <w:szCs w:val="20"/>
                <w:color w:val="auto"/>
              </w:rPr>
            </w:pPr>
            <w:r>
              <w:rPr>
                <w:rFonts w:ascii="Arial" w:cs="Arial" w:eastAsia="Arial" w:hAnsi="Arial"/>
                <w:sz w:val="18"/>
                <w:szCs w:val="18"/>
                <w:color w:val="auto"/>
              </w:rPr>
              <w:t>Multiple Hardware Options</w:t>
            </w:r>
          </w:p>
        </w:tc>
        <w:tc>
          <w:tcPr>
            <w:tcW w:w="6440" w:type="dxa"/>
            <w:vAlign w:val="bottom"/>
          </w:tcPr>
          <w:p>
            <w:pPr>
              <w:ind w:left="660"/>
              <w:spacing w:after="0"/>
              <w:rPr>
                <w:sz w:val="20"/>
                <w:szCs w:val="20"/>
                <w:color w:val="auto"/>
              </w:rPr>
            </w:pPr>
            <w:r>
              <w:rPr>
                <w:rFonts w:ascii="Arial" w:cs="Arial" w:eastAsia="Arial" w:hAnsi="Arial"/>
                <w:sz w:val="18"/>
                <w:szCs w:val="18"/>
                <w:color w:val="auto"/>
                <w:w w:val="95"/>
              </w:rPr>
              <w:t>Functions with a wide variety of biometric and bar code hardware options to</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track employees’ time</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Mobile Functionality</w:t>
            </w:r>
          </w:p>
        </w:tc>
        <w:tc>
          <w:tcPr>
            <w:tcW w:w="6440" w:type="dxa"/>
            <w:vAlign w:val="bottom"/>
          </w:tcPr>
          <w:p>
            <w:pPr>
              <w:ind w:left="320"/>
              <w:spacing w:after="0"/>
              <w:rPr>
                <w:sz w:val="20"/>
                <w:szCs w:val="20"/>
                <w:color w:val="auto"/>
              </w:rPr>
            </w:pPr>
            <w:r>
              <w:rPr>
                <w:rFonts w:ascii="Arial" w:cs="Arial" w:eastAsia="Arial" w:hAnsi="Arial"/>
                <w:sz w:val="18"/>
                <w:szCs w:val="18"/>
                <w:color w:val="auto"/>
              </w:rPr>
              <w:t>Ability for employees to punch in and out from their mobile devices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Enables employees to view upcoming work schedules or request time-off</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from anywhere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Geo-fencing capabilities that allow managers to set parameters for where</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punches may occur</w:t>
            </w:r>
          </w:p>
        </w:tc>
      </w:tr>
    </w:tbl>
    <w:p>
      <w:pPr>
        <w:spacing w:after="0" w:line="18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Paylocity Web Expense is an expense management tool designed to streamline and automate the expense</w:t>
      </w:r>
    </w:p>
    <w:p>
      <w:pPr>
        <w:spacing w:after="0"/>
        <w:rPr>
          <w:sz w:val="20"/>
          <w:szCs w:val="20"/>
          <w:color w:val="auto"/>
        </w:rPr>
      </w:pPr>
      <w:r>
        <w:rPr>
          <w:rFonts w:ascii="Arial" w:cs="Arial" w:eastAsia="Arial" w:hAnsi="Arial"/>
          <w:sz w:val="16"/>
          <w:szCs w:val="16"/>
          <w:color w:val="auto"/>
        </w:rPr>
        <w:t>management process by eliminating manual steps involved in filing, approving, and reimbursing expenses. Key features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Web Expense include: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0" w:type="dxa"/>
            <w:vAlign w:val="bottom"/>
            <w:gridSpan w:val="2"/>
          </w:tcPr>
          <w:p>
            <w:pPr>
              <w:ind w:left="940"/>
              <w:spacing w:after="0"/>
              <w:rPr>
                <w:sz w:val="20"/>
                <w:szCs w:val="20"/>
                <w:color w:val="auto"/>
              </w:rPr>
            </w:pPr>
            <w:r>
              <w:rPr>
                <w:rFonts w:ascii="Arial" w:cs="Arial" w:eastAsia="Arial" w:hAnsi="Arial"/>
                <w:sz w:val="18"/>
                <w:szCs w:val="18"/>
                <w:b w:val="1"/>
                <w:bCs w:val="1"/>
                <w:color w:val="auto"/>
              </w:rPr>
              <w:t>Feature</w:t>
            </w:r>
          </w:p>
        </w:tc>
        <w:tc>
          <w:tcPr>
            <w:tcW w:w="6440" w:type="dxa"/>
            <w:vAlign w:val="bottom"/>
          </w:tcPr>
          <w:p>
            <w:pPr>
              <w:ind w:left="270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Simplified Workflow</w:t>
            </w:r>
          </w:p>
        </w:tc>
        <w:tc>
          <w:tcPr>
            <w:tcW w:w="100" w:type="dxa"/>
            <w:vAlign w:val="bottom"/>
          </w:tcPr>
          <w:p>
            <w:pPr>
              <w:spacing w:after="0"/>
              <w:rPr>
                <w:sz w:val="16"/>
                <w:szCs w:val="16"/>
                <w:color w:val="auto"/>
              </w:rPr>
            </w:pPr>
          </w:p>
        </w:tc>
        <w:tc>
          <w:tcPr>
            <w:tcW w:w="64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File and submit expenses in an intuitive and unified module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660"/>
              <w:spacing w:after="0"/>
              <w:rPr>
                <w:sz w:val="20"/>
                <w:szCs w:val="20"/>
                <w:color w:val="auto"/>
              </w:rPr>
            </w:pPr>
            <w:r>
              <w:rPr>
                <w:rFonts w:ascii="Arial" w:cs="Arial" w:eastAsia="Arial" w:hAnsi="Arial"/>
                <w:sz w:val="18"/>
                <w:szCs w:val="18"/>
                <w:color w:val="auto"/>
              </w:rPr>
              <w:t>Capture and submit receipts from a mobile device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Approve expense reports quickly and easily</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660"/>
              <w:spacing w:after="0"/>
              <w:rPr>
                <w:sz w:val="20"/>
                <w:szCs w:val="20"/>
                <w:color w:val="auto"/>
              </w:rPr>
            </w:pPr>
            <w:r>
              <w:rPr>
                <w:rFonts w:ascii="Arial" w:cs="Arial" w:eastAsia="Arial" w:hAnsi="Arial"/>
                <w:sz w:val="18"/>
                <w:szCs w:val="18"/>
                <w:color w:val="auto"/>
              </w:rPr>
              <w:t>Receive notifications throughout the entire reimbursement process</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Monitoring</w:t>
            </w:r>
          </w:p>
        </w:tc>
        <w:tc>
          <w:tcPr>
            <w:tcW w:w="6440" w:type="dxa"/>
            <w:vAlign w:val="bottom"/>
          </w:tcPr>
          <w:p>
            <w:pPr>
              <w:ind w:left="320"/>
              <w:spacing w:after="0"/>
              <w:rPr>
                <w:sz w:val="20"/>
                <w:szCs w:val="20"/>
                <w:color w:val="auto"/>
              </w:rPr>
            </w:pPr>
            <w:r>
              <w:rPr>
                <w:rFonts w:ascii="Arial" w:cs="Arial" w:eastAsia="Arial" w:hAnsi="Arial"/>
                <w:sz w:val="18"/>
                <w:szCs w:val="18"/>
                <w:color w:val="auto"/>
              </w:rPr>
              <w:t>Access expense history</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660"/>
              <w:spacing w:after="0"/>
              <w:rPr>
                <w:sz w:val="20"/>
                <w:szCs w:val="20"/>
                <w:color w:val="auto"/>
              </w:rPr>
            </w:pPr>
            <w:r>
              <w:rPr>
                <w:rFonts w:ascii="Arial" w:cs="Arial" w:eastAsia="Arial" w:hAnsi="Arial"/>
                <w:sz w:val="18"/>
                <w:szCs w:val="18"/>
                <w:color w:val="auto"/>
              </w:rPr>
              <w:t>Generate and analyze spend reports</w:t>
            </w:r>
          </w:p>
        </w:tc>
      </w:tr>
      <w:tr>
        <w:trPr>
          <w:trHeight w:val="230"/>
        </w:trPr>
        <w:tc>
          <w:tcPr>
            <w:tcW w:w="2620" w:type="dxa"/>
            <w:vAlign w:val="bottom"/>
            <w:gridSpan w:val="3"/>
          </w:tcPr>
          <w:p>
            <w:pPr>
              <w:spacing w:after="0"/>
              <w:rPr>
                <w:sz w:val="20"/>
                <w:szCs w:val="20"/>
                <w:color w:val="auto"/>
              </w:rPr>
            </w:pPr>
            <w:r>
              <w:rPr>
                <w:rFonts w:ascii="Arial" w:cs="Arial" w:eastAsia="Arial" w:hAnsi="Arial"/>
                <w:sz w:val="18"/>
                <w:szCs w:val="18"/>
                <w:color w:val="auto"/>
              </w:rPr>
              <w:t>Automated Reporting</w:t>
            </w:r>
          </w:p>
        </w:tc>
        <w:tc>
          <w:tcPr>
            <w:tcW w:w="6440" w:type="dxa"/>
            <w:vAlign w:val="bottom"/>
          </w:tcPr>
          <w:p>
            <w:pPr>
              <w:ind w:left="660"/>
              <w:spacing w:after="0"/>
              <w:rPr>
                <w:sz w:val="20"/>
                <w:szCs w:val="20"/>
                <w:color w:val="auto"/>
              </w:rPr>
            </w:pPr>
            <w:r>
              <w:rPr>
                <w:rFonts w:ascii="Arial" w:cs="Arial" w:eastAsia="Arial" w:hAnsi="Arial"/>
                <w:sz w:val="18"/>
                <w:szCs w:val="18"/>
                <w:color w:val="auto"/>
              </w:rPr>
              <w:t>Automatically create general ledger entries</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Benefits (Web Benefits)</w:t>
      </w:r>
    </w:p>
    <w:p>
      <w:pPr>
        <w:spacing w:after="0" w:line="13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Paylocity Web Benefits and Paylocity Enterprise Benefits, Powered by bswift are benefit management solutions that integrate with insurance carrier systems to provide automated administrative processes and allow users to choose benefit elections and make life event changes online, summarize benefit elections and perform other similar benefit-related tasks. These solutions also enable premium reconciliation, management of voluntary benefits and advanced reporting. Both Web Benefits and Paylocity Enterprise Benefits integrate seamlessly with Paylocity’s Web Pay. Key features of Web Benefits include: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gridSpan w:val="3"/>
          </w:tcPr>
          <w:p>
            <w:pPr>
              <w:ind w:left="940"/>
              <w:spacing w:after="0"/>
              <w:rPr>
                <w:sz w:val="20"/>
                <w:szCs w:val="20"/>
                <w:color w:val="auto"/>
              </w:rPr>
            </w:pPr>
            <w:r>
              <w:rPr>
                <w:rFonts w:ascii="Arial" w:cs="Arial" w:eastAsia="Arial" w:hAnsi="Arial"/>
                <w:sz w:val="18"/>
                <w:szCs w:val="18"/>
                <w:b w:val="1"/>
                <w:bCs w:val="1"/>
                <w:color w:val="auto"/>
              </w:rPr>
              <w:t>Feature</w:t>
            </w:r>
          </w:p>
        </w:tc>
        <w:tc>
          <w:tcPr>
            <w:tcW w:w="6220" w:type="dxa"/>
            <w:vAlign w:val="bottom"/>
          </w:tcPr>
          <w:p>
            <w:pPr>
              <w:ind w:left="2480"/>
              <w:spacing w:after="0"/>
              <w:rPr>
                <w:sz w:val="20"/>
                <w:szCs w:val="20"/>
                <w:color w:val="auto"/>
              </w:rPr>
            </w:pPr>
            <w:r>
              <w:rPr>
                <w:rFonts w:ascii="Arial" w:cs="Arial" w:eastAsia="Arial" w:hAnsi="Arial"/>
                <w:sz w:val="18"/>
                <w:szCs w:val="18"/>
                <w:b w:val="1"/>
                <w:bCs w:val="1"/>
                <w:color w:val="auto"/>
              </w:rPr>
              <w:t>Functionality</w:t>
            </w:r>
          </w:p>
        </w:tc>
      </w:tr>
      <w:tr>
        <w:trPr>
          <w:trHeight w:val="182"/>
        </w:trPr>
        <w:tc>
          <w:tcPr>
            <w:tcW w:w="20" w:type="dxa"/>
            <w:vAlign w:val="bottom"/>
          </w:tcPr>
          <w:p>
            <w:pPr>
              <w:spacing w:after="0"/>
              <w:rPr>
                <w:sz w:val="15"/>
                <w:szCs w:val="15"/>
                <w:color w:val="auto"/>
              </w:rPr>
            </w:pPr>
          </w:p>
        </w:tc>
        <w:tc>
          <w:tcPr>
            <w:tcW w:w="25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Annual Enrollment</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2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Easy to follow and customizable enrollment process for employees</w:t>
            </w: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20" w:type="dxa"/>
            <w:vAlign w:val="bottom"/>
          </w:tcPr>
          <w:p>
            <w:pPr>
              <w:ind w:left="100"/>
              <w:spacing w:after="0" w:line="202" w:lineRule="exact"/>
              <w:rPr>
                <w:sz w:val="20"/>
                <w:szCs w:val="20"/>
                <w:color w:val="auto"/>
              </w:rPr>
            </w:pPr>
            <w:r>
              <w:rPr>
                <w:rFonts w:ascii="Arial" w:cs="Arial" w:eastAsia="Arial" w:hAnsi="Arial"/>
                <w:sz w:val="18"/>
                <w:szCs w:val="18"/>
                <w:color w:val="auto"/>
              </w:rPr>
              <w:t>Allows modeling of payroll deductions and changes for life events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Arial" w:cs="Arial" w:eastAsia="Arial" w:hAnsi="Arial"/>
                <w:sz w:val="18"/>
                <w:szCs w:val="18"/>
                <w:color w:val="auto"/>
              </w:rPr>
              <w:t>Customizable enrollment portal content (text, links, documents, logos)</w:t>
            </w:r>
          </w:p>
        </w:tc>
      </w:tr>
      <w:tr>
        <w:trPr>
          <w:trHeight w:val="216"/>
        </w:trPr>
        <w:tc>
          <w:tcPr>
            <w:tcW w:w="2840" w:type="dxa"/>
            <w:vAlign w:val="bottom"/>
            <w:gridSpan w:val="4"/>
          </w:tcPr>
          <w:p>
            <w:pPr>
              <w:spacing w:after="0"/>
              <w:rPr>
                <w:sz w:val="20"/>
                <w:szCs w:val="20"/>
                <w:color w:val="auto"/>
              </w:rPr>
            </w:pPr>
            <w:r>
              <w:rPr>
                <w:rFonts w:ascii="Arial" w:cs="Arial" w:eastAsia="Arial" w:hAnsi="Arial"/>
                <w:sz w:val="18"/>
                <w:szCs w:val="18"/>
                <w:color w:val="auto"/>
              </w:rPr>
              <w:t>Administrative Efficiency</w:t>
            </w:r>
          </w:p>
        </w:tc>
        <w:tc>
          <w:tcPr>
            <w:tcW w:w="6220" w:type="dxa"/>
            <w:vAlign w:val="bottom"/>
          </w:tcPr>
          <w:p>
            <w:pPr>
              <w:ind w:left="100"/>
              <w:spacing w:after="0"/>
              <w:rPr>
                <w:sz w:val="20"/>
                <w:szCs w:val="20"/>
                <w:color w:val="auto"/>
              </w:rPr>
            </w:pPr>
            <w:r>
              <w:rPr>
                <w:rFonts w:ascii="Arial" w:cs="Arial" w:eastAsia="Arial" w:hAnsi="Arial"/>
                <w:sz w:val="18"/>
                <w:szCs w:val="18"/>
                <w:color w:val="auto"/>
                <w:w w:val="98"/>
              </w:rPr>
              <w:t>Can develop e</w:t>
            </w:r>
            <w:r>
              <w:rPr>
                <w:rFonts w:ascii="Arial" w:cs="Arial" w:eastAsia="Arial" w:hAnsi="Arial"/>
                <w:sz w:val="18"/>
                <w:szCs w:val="18"/>
                <w:color w:val="111111"/>
                <w:w w:val="98"/>
              </w:rPr>
              <w:t>nrollment reminders through announcements, enrollment rules,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Arial" w:cs="Arial" w:eastAsia="Arial" w:hAnsi="Arial"/>
                <w:sz w:val="18"/>
                <w:szCs w:val="18"/>
                <w:color w:val="111111"/>
              </w:rPr>
              <w:t>and eligibility groups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Arial" w:cs="Arial" w:eastAsia="Arial" w:hAnsi="Arial"/>
                <w:sz w:val="18"/>
                <w:szCs w:val="18"/>
                <w:color w:val="auto"/>
              </w:rPr>
              <w:t>Reporting on employee enrollment status and enrollment summary</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20" w:type="dxa"/>
            <w:vAlign w:val="bottom"/>
          </w:tcPr>
          <w:p>
            <w:pPr>
              <w:ind w:left="100"/>
              <w:spacing w:after="0"/>
              <w:rPr>
                <w:sz w:val="20"/>
                <w:szCs w:val="20"/>
                <w:color w:val="auto"/>
              </w:rPr>
            </w:pPr>
            <w:r>
              <w:rPr>
                <w:rFonts w:ascii="Arial" w:cs="Arial" w:eastAsia="Arial" w:hAnsi="Arial"/>
                <w:sz w:val="18"/>
                <w:szCs w:val="18"/>
                <w:color w:val="auto"/>
              </w:rPr>
              <w:t>Electronic Data Interchange (EDI) support for insurance carriers</w:t>
            </w:r>
          </w:p>
        </w:tc>
      </w:tr>
      <w:tr>
        <w:trPr>
          <w:trHeight w:val="500"/>
        </w:trPr>
        <w:tc>
          <w:tcPr>
            <w:tcW w:w="2840" w:type="dxa"/>
            <w:vAlign w:val="bottom"/>
            <w:gridSpan w:val="4"/>
          </w:tcPr>
          <w:p>
            <w:pPr>
              <w:spacing w:after="0"/>
              <w:rPr>
                <w:sz w:val="20"/>
                <w:szCs w:val="20"/>
                <w:color w:val="auto"/>
              </w:rPr>
            </w:pPr>
            <w:r>
              <w:rPr>
                <w:rFonts w:ascii="Arial" w:cs="Arial" w:eastAsia="Arial" w:hAnsi="Arial"/>
                <w:sz w:val="18"/>
                <w:szCs w:val="18"/>
                <w:b w:val="1"/>
                <w:bCs w:val="1"/>
                <w:color w:val="auto"/>
                <w:w w:val="92"/>
              </w:rPr>
              <w:t>Implementation and Client Services</w:t>
            </w:r>
          </w:p>
        </w:tc>
        <w:tc>
          <w:tcPr>
            <w:tcW w:w="6220" w:type="dxa"/>
            <w:vAlign w:val="bottom"/>
          </w:tcPr>
          <w:p>
            <w:pPr>
              <w:spacing w:after="0"/>
              <w:rPr>
                <w:sz w:val="24"/>
                <w:szCs w:val="24"/>
                <w:color w:val="auto"/>
              </w:rPr>
            </w:pPr>
          </w:p>
        </w:tc>
      </w:tr>
    </w:tbl>
    <w:p>
      <w:pPr>
        <w:spacing w:after="0" w:line="20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Delivering our clients a positive experience is an essential element of our ability to sell our solutions and retain our clients. We provide our clients with a single point of contact supplemented by teams with deep technical and subject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matter expertise. The single point of contact allows our account managers to better understand our clients’ needs, which we believe strengthens our client relationships.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Implementation and Training Services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clients are medium-sized organizations that are typically migrating to our platform from a competitive solution or are adopting an online payroll and HCM solution for the first time. These organizations often have limited internal resources and generally rely on us to implement our solutions.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typically implement our Paylocity Web Pay product within only three to four weeks and any additional products thereafter, as requested by the client. Each client is guided through the implementation process by knowledgeable consultants for all implementation matters. We believe our ability to rapidly implement our solutions is principally due to the combination of our emphasis on engagement with the client, our standardized methodology, our cloud-based architecture and our highly-configurable, easy-to-use products.</w:t>
      </w:r>
    </w:p>
    <w:p>
      <w:pPr>
        <w:spacing w:after="0" w:line="18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offer our clients the opportunity to participate in formal training designed to increase their ability to further utilize the functionality of our products within their organizations. Our training courses are designed to enable selected employees of our clients to develop expertise in our solutions and act as a first-level support resource for their colleagues.</w:t>
      </w:r>
    </w:p>
    <w:p>
      <w:pPr>
        <w:spacing w:after="0" w:line="14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 order to ensure client satisfaction, a team of client service representatives conducts a comprehensive audit of a client’s account after the client has completed the implementation process. Thereafter, the client is transitioned to our client service team.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Client Service</w:t>
      </w:r>
    </w:p>
    <w:p>
      <w:pPr>
        <w:spacing w:after="0" w:line="225"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Our client service model is designed to serve the needs of medium-sized organizations and to build loyalty by developing strong relationships with our clients. We strive to achieve high revenue retention, in part, by delivering high-quality service. Our revenue retention was greater than 92% in each of fiscal 2015, 2016 and 2017.</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Each client is assigned an account management team that serves as the central point of contact for any questions or support needs. We believe this approach enhances our client service by providing each client with a single person who understands the client’s business, responds quickly and is accountable for the client experience. Our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and Regulatory Services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software contains a rules engine designed to make accurate tax calculations that is continually updated to support all pertinent legislative changes across all U.S. jurisdictions. Our tax filing service provides a variety of solutions to our clients including processing payroll tax deposits, preparing and filing quarterly and annual tax returns and amendments and resolving client tax notices.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June 30, 2017, we provided our solutions to approximately 14,550 clients in all U.S states. 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clients include for-profit and non-profit organizations across industries including business services, financial services, healthcare, manufacturing, restaurants, retail, technology and others. For each of the three years ended June 30, 2015, 2016 and 2017, no client accounted for more than 1% of our revenues.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market and sell our products and services primarily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sales cycle begins with a sales lead generated by the sales representative through our third-party referral network, a client referral, our telemarketing team, our external website, e-mail marketing or territory- based activities. Through one or more on-site visits, phone-based sales calls, or web demonstrations, sales representatives perform in-depth analysis of prospective clients’ needs and demonstrate our solutions. We employ sophisticated software to track, classify and manage our sales representatives’ pipeline of potential clients. We support our sales force with a marketing program that includes seminars and webinars, email marketing, social media marketing, broker events and web marketing.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Referral Network</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a core element of our business strategy, we have developed a referral network of third-party service providers, including 401(k) advisors, benefits administrators, insurance brokers, third-party administrators and HR consultants, that recommend our solutions and provide referrals. Our referral network has become an increasingly important component of our sales process, and in fiscal 2017, approximately 30% of our new client revenue originated by referrals from participants in our referral network.</w:t>
      </w:r>
    </w:p>
    <w:p>
      <w:pPr>
        <w:spacing w:after="0" w:line="18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believe participants in our referral network refer potential clients to us because we do not provide services that compete with their own and because we offer third parties the ability to integrate their systems with our platform. Unlike other payroll and HCM solution providers who also provide retirement plans, health insurance and other products and services competitive with the offerings of the participants in our referral network, we focus only on our core business of providing cloud-based payroll and HCM solutions. In some cases, we have formalized relationships in which we are a recommended vendor of these participants. In other cases, our relationships are informal. We typically do not compensate these participants for referrals.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Ecosystem</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have developed a partner ecosystem of third-party systems, such as 401(k), benefits and insurance provider systems, with whom we provide automated data integration for our clients. These third-party providers require certain financial information from their clients in order to efficiently provide their respective services. After securing authorization from the client, we exchange payroll data with these providers. In turn, these third-party providers supply data to us, which allows us to deliver comprehensive benefit management services to our clients. We believe our ability to integrate our systems with those of these partners adds value to our mutual clients and to our partners.</w:t>
      </w:r>
    </w:p>
    <w:p>
      <w:pPr>
        <w:spacing w:after="0" w:line="16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have also developed our solutions to integrate with a variety of other systems used by our clients, such as accounting, point of sale, banking, expense management, recruiting, background screening and skills assessment solutions. We believe our clients benefit from an integrated and seamless solution.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offer our solutions on a cloud-based platform that leverages a unified database architecture and a common code base that we organically developed. Clients do not need to install our software in their data centers and can access our solutions through any mobile device or web browser with Internet access.</w:t>
      </w:r>
    </w:p>
    <w:p>
      <w:pPr>
        <w:spacing w:after="0" w:line="181" w:lineRule="exact"/>
        <w:rPr>
          <w:sz w:val="20"/>
          <w:szCs w:val="20"/>
          <w:color w:val="auto"/>
        </w:rPr>
      </w:pPr>
    </w:p>
    <w:p>
      <w:pPr>
        <w:ind w:left="980" w:right="140" w:hanging="329"/>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Multi-Tenant Architecture. </w:t>
      </w:r>
      <w:r>
        <w:rPr>
          <w:rFonts w:ascii="Arial" w:cs="Arial" w:eastAsia="Arial" w:hAnsi="Arial"/>
          <w:sz w:val="18"/>
          <w:szCs w:val="18"/>
          <w:color w:val="auto"/>
        </w:rPr>
        <w:t>Our software solutions were designed with a multi-tenant architecture. This</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architecture gives us an advantage over many disparate traditional systems, which are less flexible and require longer and more costly development and upgrade cycles.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hanging="329"/>
        <w:spacing w:after="0" w:line="297"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Mobile Focused. </w:t>
      </w:r>
      <w:r>
        <w:rPr>
          <w:rFonts w:ascii="Arial" w:cs="Arial" w:eastAsia="Arial" w:hAnsi="Arial"/>
          <w:sz w:val="16"/>
          <w:szCs w:val="16"/>
          <w:color w:val="auto"/>
        </w:rPr>
        <w:t>We employ mobile-centric principles in our solution design and development.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increasing mobility of employees heightens the importance of access to our solutions through mobile devices, including smart phones and tablets. Our mobile experience provides our clients and their employees with access to our solutions through virtually any device having Internet access. We bring the flexibility of a secure, cloud-based solution to users without the need to access a traditional desktop or laptop computer.</w:t>
      </w:r>
    </w:p>
    <w:p>
      <w:pPr>
        <w:spacing w:after="0" w:line="158" w:lineRule="exact"/>
        <w:rPr>
          <w:rFonts w:ascii="Arial" w:cs="Arial" w:eastAsia="Arial" w:hAnsi="Arial"/>
          <w:sz w:val="16"/>
          <w:szCs w:val="16"/>
          <w:color w:val="auto"/>
        </w:rPr>
      </w:pPr>
    </w:p>
    <w:p>
      <w:pPr>
        <w:ind w:left="980" w:hanging="329"/>
        <w:spacing w:after="0" w:line="25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We maintain comprehensive security programs designed to ensure the security and integrity of client</w:t>
      </w:r>
      <w:r>
        <w:rPr>
          <w:rFonts w:ascii="Arial" w:cs="Arial" w:eastAsia="Arial" w:hAnsi="Arial"/>
          <w:sz w:val="18"/>
          <w:szCs w:val="18"/>
          <w:i w:val="1"/>
          <w:iCs w:val="1"/>
          <w:color w:val="auto"/>
        </w:rPr>
        <w:t xml:space="preserve"> </w:t>
      </w:r>
      <w:r>
        <w:rPr>
          <w:rFonts w:ascii="Arial" w:cs="Arial" w:eastAsia="Arial" w:hAnsi="Arial"/>
          <w:sz w:val="18"/>
          <w:szCs w:val="18"/>
          <w:color w:val="auto"/>
        </w:rPr>
        <w:t>and employee data, protect against security threats or data breaches and prevent unauthorized access. We regulate and limit all access to servers and networks at our data centers. Our systems are monitored for irregular or suspicious activity, and we have dedicated internal staff perform security assessments for each release. Our systems undergo regular penetration testing and source code reviews by an independent third-party security firm.</w:t>
      </w:r>
    </w:p>
    <w:p>
      <w:pPr>
        <w:spacing w:after="0" w:line="193"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We host our solutions at a third-party facility in Franklin Park, Illinois and utilize another third-party facility in Kenosha, Wisconsin for backup and disaster recovery. We supply the hardware infrastructure and are responsible for the ongoing maintenance of our equipment at all data center locations.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providers, such as Cornerstone OnDemand, Inc.</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principal competitive factors on which we compete in our market include the following:</w:t>
      </w:r>
    </w:p>
    <w:p>
      <w:pPr>
        <w:spacing w:after="0" w:line="225" w:lineRule="exact"/>
        <w:rPr>
          <w:sz w:val="20"/>
          <w:szCs w:val="20"/>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 on medium-sized organizations;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Breadth and depth of product functionality;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Configurability and ease of use of our solutions;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Modern, intuitive user experience;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Benefits of a cloud-based technology platform;</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innovate and respond to client needs rapidly;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Domain expertise in payroll and HCM;</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implementation and client service;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implementation;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Real-time web-based payroll processing;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Integration with a wide variety of third-party applications and systems.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believe that we compete favorably on these factors within the medium-sized organization market. We believe our ability to remain competitive will largely depend on the success of our continued investment in sales and marketing, research and development and implementation and client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invest heavily in research and development to continuously introduce new applications, technologies, features and functionality. We are organized in small product-centric teams that utilize an agile development methodology. We focus our efforts on developing new applications and core technologies and on further enhancing the usability, functionality, reliability, performance and flexibility of existing applications.</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Research and development costs, including research and development costs that were capitalized, were $24.7 million, $36.3 million and $44.5 million for the years ended June 30, 2015, 2016 and 2017, respectively. Our research and development personnel are principally located at our headquarters, although we seek to hire highly experienced personnel wherever they are located.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applications are more essential to establishing and maintaining our technology leadership position.</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Despite our efforts to protect our proprietary technology and our intellectual property rights, unauthorized parties may attempt to misappropriate our rights or to copy or obtain and use our proprietary technology to develop applications with the same functionality as our applications. Policing unauthorized use of our technology and intellectual property rights is very difficult.</w:t>
      </w:r>
    </w:p>
    <w:p>
      <w:pPr>
        <w:spacing w:after="0" w:line="187"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We expect that providers of payroll and HCM solutions such as ours may be subject to third-party infringement claims as the market and the number of competitors grows, and the functionality of applications in different industry segments overlaps. Any of these or other third parties might make a claim of infringement against us at any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As of June 30, 2017, we had approximately 2,115 full-time employees, of which 725 were in client services and operations, 480 were in client implementation, 450 were in sales and marketing, 300 were in research and development and 160 were in general and administrative. None of our employees is represented by a union or is party to a collective bargaining agreement, and we have not experienced any work stoppages. We believe we have good relations with our employees and that our employee-focused culture benefits our clients and supports our growth. Our management team is committed to maintaining and improving our culture even as we grow rapidly.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Internet address is www.paylocity.com and our investor relations website is located at http://investors.paylocity.com.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Room at 100 F Street, NE, Washington, DC 20549. The public may obtain information on the operation of the Public Reference Room by calling the SEC at 1-800-SEC-0330. In addition, the SEC maintains an Internet site, www.sec.gov, that includes filings of and information about issuers that file electronically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losses in the past, and we may not be able to sustain profitability for the foreseeable future.</w:t>
      </w:r>
    </w:p>
    <w:p>
      <w:pPr>
        <w:spacing w:after="0" w:line="23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incurred net losses from time to time. We incurred net losses of $7,110,000, $13,972,000 and $3,851,000 in fiscal 2014, fiscal 2015 and fiscal 2016, respectively. While we have generated net income in fiscal 2017, it does not ensure that we will earn continued net income in future periods.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as a public company, we have incurred significant legal, accounting and other expenses. These increased expenditures have made it harder for us to achieve and maintain profitability. We also may incur losses in the future for a number of other unforeseen reasons. Accordingly, we may incur losses in the foreseeable future.</w:t>
      </w:r>
    </w:p>
    <w:p>
      <w:pPr>
        <w:spacing w:after="0" w:line="1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causing the value of our common stock to decline substantially.</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640" w:hanging="325"/>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repeal of or changes to the laws and regulations related to the products and services which we offer;</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jc w:val="both"/>
        <w:ind w:right="760" w:firstLine="648"/>
        <w:spacing w:after="0" w:line="286" w:lineRule="auto"/>
        <w:rPr>
          <w:sz w:val="20"/>
          <w:szCs w:val="20"/>
          <w:color w:val="auto"/>
        </w:rPr>
      </w:pPr>
      <w:r>
        <w:rPr>
          <w:rFonts w:ascii="Arial" w:cs="Arial" w:eastAsia="Arial" w:hAnsi="Arial"/>
          <w:sz w:val="17"/>
          <w:szCs w:val="17"/>
          <w:color w:val="auto"/>
        </w:rPr>
        <w:t>We do not have long-term agreements with clients, and our standard agreements with clients are generally terminable by our clients upon 60 or fewer days’ notice. If a significant number of clients elected to terminate their agreements with us, our operating results and our business would be adversely affected.</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such as Cornerstone OnDemand, Inc.</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may be adversely impacted if the Patient Protection and Affordable Care Act (the “ACA”) is repealed in its entirety or certain aspects of the ACA are repealed or changed.</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ACA remains subject to legislative efforts to repeal, modify or delay the implementation of all or certain aspects of the law. Generally, if the ACA is repealed or modified in whole or in part, or if implementation of certain aspects of the ACA is delayed, such repeal, modification or delay could adversely impact our existing and future business and operating results. For example, any such repeal, modification or delay could negatively impact the revenue we currently generate from our ACA Compliance solution, overall gross margins, and require us to write-down capitalized internal-use software development costs related to ACA products. While we expect continued challenges to the ACA, at this time we are unable to more precisely predict the full impact of any repeal, modification or delay in the implementation of the ACA.</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54"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and system passwords.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6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9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approximately 30% of our new sales in fiscal 2017 were referred to us from our referral network participants. In most cases, our relationships with referral network participants are informal, although in some cases, we have formalized relationships where we are a recommended vendor for their client.</w:t>
      </w:r>
    </w:p>
    <w:p>
      <w:pPr>
        <w:spacing w:after="0" w:line="15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54"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reduced or cease entirely. If we are not successful, we may lose sales opportunities and our revenues and profitability could suffer.</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2017 we processed over $92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changes in economic or political conditions could adversely affect our operating results and our business.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7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Trade, monetary and fiscal policies, and political and economic conditions may substantially change, and credit markets may experience periods of constriction and volatility. For example, United Kingdom’s decision to leave the European Union has created global economic uncertainty, which, in turn, could depress the demand for our services. When there is a slowdown in the economy, employment levels and interest rates may decrease with a corresponding impact on our businesses. Clients may react to worsening conditions by reducing their spending on payroll and other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147" w:lineRule="exact"/>
        <w:rPr>
          <w:sz w:val="20"/>
          <w:szCs w:val="20"/>
          <w:color w:val="auto"/>
        </w:rPr>
      </w:pPr>
    </w:p>
    <w:p>
      <w:pPr>
        <w:ind w:right="200" w:firstLine="648"/>
        <w:spacing w:after="0" w:line="285" w:lineRule="auto"/>
        <w:rPr>
          <w:sz w:val="20"/>
          <w:szCs w:val="20"/>
          <w:color w:val="auto"/>
        </w:rPr>
      </w:pPr>
      <w:r>
        <w:rPr>
          <w:rFonts w:ascii="Arial" w:cs="Arial" w:eastAsia="Arial" w:hAnsi="Arial"/>
          <w:sz w:val="16"/>
          <w:szCs w:val="16"/>
          <w:color w:val="auto"/>
        </w:rPr>
        <w:t>Our success depends largely upon the continued services of our key executive officers, including Steven R. Beauchamp, our President and Chief Executive Officer and acting Chief Financial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certain of our executive officers, including</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9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12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reduce the effectiveness of our applications and adversely affect our business.</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we do not effectively implement our solutions or our clients are not satisfied with our implementation services.</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ability to deliver our payroll and HCM solutions depends on our ability to effectively implement and to transition to, and train our clients on, our solutions. We do not recognize revenue from new clients until they process their first payroll. Further,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business could be affected if we are unable to accommodate increased demand for our implementation services resulting from growth in our business.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client services may adversely affect our relationships with our clients and our financial results.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Once our applications are deployed, our clients depend on our client service organization to resolve issues relating to our solutions.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18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7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300" w:hanging="325"/>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Damage from fire, power loss, natural disasters and other force majeure events outside our control;</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3"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Furthermore, our payroll application is essential to our clients’ timely payment of wages to their employees. Any interruption in our service may affect the availability, accuracy or timeliness of these programs and could damage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reputation, cause our clients to terminate their use of our application, require us to indemnify our clients against certain losses due to our own errors and prevent us from gaining additional business from current or future clients.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in the operation of our data centers could adversely affect our business.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host our solutions at a third-party facility in Franklin Park, Illinois and utilize another third-party facility in Kenosha, Wisconsin for backup and disaster recovery. We also may decide to employ additional offsite data centers in the future to accommodate growth.</w:t>
      </w:r>
    </w:p>
    <w:p>
      <w:pPr>
        <w:spacing w:after="0" w:line="181"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w:t>
      </w:r>
    </w:p>
    <w:p>
      <w:pPr>
        <w:ind w:right="40"/>
        <w:spacing w:after="0" w:line="288" w:lineRule="auto"/>
        <w:rPr>
          <w:sz w:val="20"/>
          <w:szCs w:val="20"/>
          <w:color w:val="auto"/>
        </w:rPr>
      </w:pPr>
      <w:r>
        <w:rPr>
          <w:rFonts w:ascii="Arial" w:cs="Arial" w:eastAsia="Arial" w:hAnsi="Arial"/>
          <w:sz w:val="16"/>
          <w:szCs w:val="16"/>
          <w:color w:val="auto"/>
        </w:rPr>
        <w:t>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6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invest funds held for our clients in liquid, investment-grade marketable securities, money market securities, and other cash equivalents.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these funds are held in consolidated trust accounts,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78"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9" w:firstLine="648"/>
        <w:spacing w:after="0" w:line="270"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59" w:firstLine="648"/>
        <w:spacing w:after="0" w:line="271"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79" w:lineRule="exact"/>
        <w:rPr>
          <w:sz w:val="20"/>
          <w:szCs w:val="20"/>
          <w:color w:val="auto"/>
        </w:rPr>
      </w:pPr>
    </w:p>
    <w:p>
      <w:pPr>
        <w:ind w:right="23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right="19" w:firstLine="648"/>
        <w:spacing w:after="0" w:line="253"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97" w:lineRule="exact"/>
        <w:rPr>
          <w:sz w:val="20"/>
          <w:szCs w:val="20"/>
          <w:color w:val="auto"/>
        </w:rPr>
      </w:pPr>
    </w:p>
    <w:p>
      <w:pPr>
        <w:ind w:right="239"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2" w:lineRule="exact"/>
        <w:rPr>
          <w:sz w:val="20"/>
          <w:szCs w:val="20"/>
          <w:color w:val="auto"/>
        </w:rPr>
      </w:pPr>
    </w:p>
    <w:p>
      <w:pPr>
        <w:ind w:right="39" w:firstLine="648"/>
        <w:spacing w:after="0" w:line="271"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99"/>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right="79" w:firstLine="648"/>
        <w:spacing w:after="0" w:line="270" w:lineRule="auto"/>
        <w:rPr>
          <w:sz w:val="20"/>
          <w:szCs w:val="20"/>
          <w:color w:val="auto"/>
        </w:rPr>
      </w:pPr>
      <w:r>
        <w:rPr>
          <w:rFonts w:ascii="Arial" w:cs="Arial" w:eastAsia="Arial" w:hAnsi="Arial"/>
          <w:sz w:val="17"/>
          <w:szCs w:val="17"/>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2"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70" w:lineRule="exact"/>
        <w:rPr>
          <w:sz w:val="20"/>
          <w:szCs w:val="20"/>
          <w:color w:val="auto"/>
        </w:rPr>
      </w:pPr>
    </w:p>
    <w:p>
      <w:pPr>
        <w:ind w:right="99" w:firstLine="648"/>
        <w:spacing w:after="0" w:line="291"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67" w:lineRule="exact"/>
        <w:rPr>
          <w:sz w:val="20"/>
          <w:szCs w:val="20"/>
          <w:color w:val="auto"/>
        </w:rPr>
      </w:pPr>
    </w:p>
    <w:p>
      <w:pPr>
        <w:ind w:right="19" w:firstLine="648"/>
        <w:spacing w:after="0" w:line="273"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78" w:lineRule="exact"/>
        <w:rPr>
          <w:sz w:val="20"/>
          <w:szCs w:val="20"/>
          <w:color w:val="auto"/>
        </w:rPr>
      </w:pPr>
    </w:p>
    <w:p>
      <w:pPr>
        <w:ind w:right="39" w:firstLine="648"/>
        <w:spacing w:after="0" w:line="272" w:lineRule="auto"/>
        <w:rPr>
          <w:sz w:val="20"/>
          <w:szCs w:val="20"/>
          <w:color w:val="auto"/>
        </w:rPr>
      </w:pPr>
      <w:r>
        <w:rPr>
          <w:rFonts w:ascii="Arial" w:cs="Arial" w:eastAsia="Arial" w:hAnsi="Arial"/>
          <w:sz w:val="17"/>
          <w:szCs w:val="17"/>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78" w:lineRule="exact"/>
        <w:rPr>
          <w:sz w:val="20"/>
          <w:szCs w:val="20"/>
          <w:color w:val="auto"/>
        </w:rPr>
      </w:pPr>
    </w:p>
    <w:p>
      <w:pPr>
        <w:ind w:right="279"/>
        <w:spacing w:after="0" w:line="381" w:lineRule="auto"/>
        <w:rPr>
          <w:sz w:val="20"/>
          <w:szCs w:val="20"/>
          <w:color w:val="auto"/>
        </w:rPr>
      </w:pPr>
      <w:r>
        <w:rPr>
          <w:rFonts w:ascii="Arial" w:cs="Arial" w:eastAsia="Arial" w:hAnsi="Arial"/>
          <w:sz w:val="15"/>
          <w:szCs w:val="15"/>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101" w:lineRule="exact"/>
        <w:rPr>
          <w:sz w:val="20"/>
          <w:szCs w:val="20"/>
          <w:color w:val="auto"/>
        </w:rPr>
      </w:pPr>
    </w:p>
    <w:p>
      <w:pPr>
        <w:ind w:right="39" w:firstLine="648"/>
        <w:spacing w:after="0" w:line="255" w:lineRule="auto"/>
        <w:rPr>
          <w:sz w:val="20"/>
          <w:szCs w:val="20"/>
          <w:color w:val="auto"/>
        </w:rPr>
      </w:pPr>
      <w:r>
        <w:rPr>
          <w:rFonts w:ascii="Arial" w:cs="Arial" w:eastAsia="Arial" w:hAnsi="Arial"/>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jc w:val="both"/>
        <w:ind w:right="300" w:firstLine="648"/>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ind w:right="260"/>
        <w:spacing w:after="0" w:line="261" w:lineRule="auto"/>
        <w:rPr>
          <w:sz w:val="20"/>
          <w:szCs w:val="20"/>
          <w:color w:val="auto"/>
        </w:rPr>
      </w:pPr>
      <w:r>
        <w:rPr>
          <w:rFonts w:ascii="Arial" w:cs="Arial" w:eastAsia="Arial" w:hAnsi="Arial"/>
          <w:sz w:val="18"/>
          <w:szCs w:val="18"/>
          <w:color w:val="auto"/>
        </w:rPr>
        <w:t>Accordingly, we might need to engage in equity or debt financings to secure additional funds. In addition, we will need to expand our ACH capacity as we grow our business.</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1300" w:right="14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1300" w:right="420" w:hanging="325"/>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300" w:right="24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580" w:firstLine="648"/>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of August 4, 2017, our directors, executive officers and holders of more than 5% of our common stock, together with their respective affiliates, beneficially owned, in the aggregate, approximately 48.6%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trading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181" w:lineRule="exact"/>
        <w:rPr>
          <w:sz w:val="20"/>
          <w:szCs w:val="20"/>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business plans or commercial relationships;</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00" w:right="340" w:hanging="325"/>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Threatened or actual litigation; and</w:t>
      </w:r>
    </w:p>
    <w:p>
      <w:pPr>
        <w:spacing w:after="0" w:line="225" w:lineRule="exact"/>
        <w:rPr>
          <w:rFonts w:ascii="Arial" w:cs="Arial" w:eastAsia="Arial" w:hAnsi="Arial"/>
          <w:sz w:val="18"/>
          <w:szCs w:val="18"/>
          <w:color w:val="auto"/>
        </w:rPr>
      </w:pPr>
    </w:p>
    <w:p>
      <w:pPr>
        <w:ind w:left="1300" w:right="80" w:hanging="325"/>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those resulting from the United Kingdom’s decision to exit from the European Union, acts of God, war, incidents of terrorism, or other destabilizing events and the resulting responses to them).</w:t>
      </w:r>
    </w:p>
    <w:p>
      <w:pPr>
        <w:spacing w:after="0" w:line="187"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of our common stock by existing stockholders could depress the market price of our common stock.</w:t>
      </w:r>
    </w:p>
    <w:p>
      <w:pPr>
        <w:spacing w:after="0" w:line="26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of August 4, 2017, we had an aggregate of 51,750,086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5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addition, we have registered 15,092,927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30" w:lineRule="exact"/>
        <w:rPr>
          <w:sz w:val="20"/>
          <w:szCs w:val="20"/>
          <w:color w:val="auto"/>
        </w:rPr>
      </w:pPr>
    </w:p>
    <w:p>
      <w:pPr>
        <w:ind w:left="1300" w:right="24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00" w:right="300" w:hanging="325"/>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6"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35" w:lineRule="exact"/>
        <w:rPr>
          <w:rFonts w:ascii="Arial" w:cs="Arial" w:eastAsia="Arial" w:hAnsi="Arial"/>
          <w:sz w:val="18"/>
          <w:szCs w:val="18"/>
          <w:color w:val="auto"/>
        </w:rPr>
      </w:pPr>
    </w:p>
    <w:p>
      <w:pPr>
        <w:ind w:left="1300" w:right="12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00" w:right="68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 provision, therefore, may dissuade or discourage claimants from initiating lawsuits or claims against us or our directors and officers in forums other than Delaware.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As of June 30, 2017, our corporate headquarters occupied approximately 135,000 square feet in Arlington Heights, Illinois under leases with final expiration in July 2022. As of June 30, 2017, we also leased facilities in Schaumburg, Illinois, New York, New York, Rochester, New York, Lake Mary, Florida, Nashua, New Hampshire, Springfield, New Jersey, Boise, Idaho and Oakland, California.</w:t>
      </w:r>
    </w:p>
    <w:p>
      <w:pPr>
        <w:spacing w:after="0" w:line="17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June 2016, we entered into a lease for approximately 309,559 rentable square feet of office space located in Schaumburg, Illinois. We intend to use the leased premises as our headquarters upon the expiration of the lease of our current headquarters. The lease provides for phased delivery and commencement dates, with commencement expected to occur on the following approximate dates: Phase I (June 1, 2017), Phase II (November 1, 2017), Phase III (July 1, 2018), and Phase IV (July 1, 2019). The actual commencement dates are subject to timely delivery of the premises by the landlord. The lease provides for a term beginning on the Phase I commencement date and ending 180 full calendar months after the landlord delivers the Phase II premises, which is expected to be on or about November 1, 2017, with two subsequent five-year renewal options.</w:t>
      </w:r>
    </w:p>
    <w:p>
      <w:pPr>
        <w:spacing w:after="0" w:line="19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February 2017, we entered into a lease for approximately 62,000 rentable square feet of office space located in Meridian, Idaho. We intend to use the leased premises to accommodate the continued expansion of our employee base in the western region of the United States. The lease provides for phased delivery and commencement dates with commencement expected to occur on the following approximate dates: Phase I (July 1, 2018) and Phase II (February 1, 2020). The actual commencement dates are subject to timely delivery of the premises by the landlord. The lease provides for a term beginning on the Phase I commencement date and ending after 120 full calendar months with four subsequent five-year renewal options.</w:t>
      </w:r>
    </w:p>
    <w:p>
      <w:pPr>
        <w:spacing w:after="0" w:line="176"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For additional information regarding obligations under operating leases, see Note 10 of the Notes to the Consolidated Financial Statements included in Part II, Item 8: “Financial Statements and Supplementary Data” of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64" w:lineRule="exact"/>
        <w:rPr>
          <w:sz w:val="20"/>
          <w:szCs w:val="20"/>
          <w:color w:val="auto"/>
        </w:rPr>
      </w:pPr>
    </w:p>
    <w:p>
      <w:pPr>
        <w:jc w:val="center"/>
        <w:ind w:right="6600"/>
        <w:spacing w:after="0"/>
        <w:rPr>
          <w:sz w:val="20"/>
          <w:szCs w:val="20"/>
          <w:color w:val="auto"/>
        </w:rPr>
      </w:pPr>
      <w:r>
        <w:rPr>
          <w:rFonts w:ascii="Arial" w:cs="Arial" w:eastAsia="Arial" w:hAnsi="Arial"/>
          <w:sz w:val="16"/>
          <w:szCs w:val="16"/>
          <w:b w:val="1"/>
          <w:bCs w:val="1"/>
          <w:color w:val="auto"/>
        </w:rPr>
        <w:t>Item 4. 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60" w:right="54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Our common stock is listed on the NASDAQ Global Select Market under the symbol “PCTY”. The following table sets forth for the periods indicated the high and low intra-day sale prices per share of our common stock as reported on the NASDAQ Global Select Market: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June 30, 2016</w:t>
            </w:r>
          </w:p>
        </w:tc>
        <w:tc>
          <w:tcPr>
            <w:tcW w:w="2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First Quarter</w:t>
            </w:r>
          </w:p>
        </w:tc>
        <w:tc>
          <w:tcPr>
            <w:tcW w:w="2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37.49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Third Quarter</w:t>
            </w:r>
          </w:p>
        </w:tc>
        <w:tc>
          <w:tcPr>
            <w:tcW w:w="2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38.56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Year ended June 30, 2017</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Second Quarter</w:t>
            </w:r>
          </w:p>
        </w:tc>
        <w:tc>
          <w:tcPr>
            <w:tcW w:w="2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46.02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30.01</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80" w:type="dxa"/>
            <w:vAlign w:val="bottom"/>
            <w:shd w:val="clear" w:color="auto" w:fill="CCEEFF"/>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Fourth Quarter</w:t>
            </w:r>
          </w:p>
        </w:tc>
        <w:tc>
          <w:tcPr>
            <w:tcW w:w="2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49.16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37.93</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August 4, 2017, the last reported sale price of our common stock on the NASDAQ Global Select Market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$43.98 per share, and there were 17 holders of record of our common stock. The actual number of holders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greater than these numbers of record holders and includes stockholders who are beneficial owners, but whose shares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held in street name by brokers and nominees. The number of holders of record also does not include stockholders whose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may be held in trust by other entities.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We sold 5,366,667 of such shares and existing shareholders sold an aggregate of 2,735,083 of such shares. The offer and sale of all of the shares in the IPO were registered under the Securities Act pursuant to a registration statement on Form S-1 (File No. 333-193661), which was declared effective by the SEC on March 18, 2014.</w:t>
      </w:r>
    </w:p>
    <w:p>
      <w:pPr>
        <w:spacing w:after="0" w:line="188"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Proceeds from Follow-On Offering of Common Stock</w:t>
      </w:r>
    </w:p>
    <w:p>
      <w:pPr>
        <w:spacing w:after="0" w:line="225"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On December 17, 2014, we completed a follow-on offering of 4,960,000 shares of common stock at a price of $26.25 per share, before underwriting discounts and commissions. We sold 750,000 of such shares and existing shareholders sold an aggregate of 4,210,000 of such shares.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as described in the final prospectus filed with the SEC pursuant to Rule 424(b) on December 12, 2014.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Proceeds from Secondary Offering of Common Stock</w:t>
      </w:r>
    </w:p>
    <w:p>
      <w:pPr>
        <w:spacing w:after="0" w:line="225"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have not declared or paid dividends on our common stock since our IPO. Neither Delaware law nor our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Information regarding the securities authorized for issuance under our equity compensation plans will be included in our Proxy Statement relating to our 2018 annual meeting of stockholders to be filed with the SEC within 120 days after the end of our fiscal year ended June 30, 2017, and is incorporated herein by reference.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47"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The following graph compares the total cumulative stockholder return on our common stock with the total cumulative return of the S&amp;P 500 Index and the S&amp;P 1500 Application Software Index during the period commencing on March 19, 2014, the initial trading day of our common stock, and ending on June 30, 2017. The graph assumes that $100 was invested at the beginning of the period in our common stock and in each of the comparative indices, and the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reinvestment of any dividends. Historical stock price performance should not be relied upon as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117475</wp:posOffset>
            </wp:positionV>
            <wp:extent cx="5257165" cy="2881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5716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Selected Financial Data</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related notes included elsewhere in this Annual Report on Form 10-K and the information under the section titled “Management’s Discussion and Analysis of Financial Condition and Results of Operations.” Our fiscal year ends on June 30. The statements of operations data presented below have been derived from our audited consolidated financial statements. Historical results are not necessarily indicative of future results.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ind w:right="531"/>
              <w:spacing w:after="0"/>
              <w:rPr>
                <w:sz w:val="20"/>
                <w:szCs w:val="20"/>
                <w:color w:val="auto"/>
              </w:rPr>
            </w:pPr>
            <w:r>
              <w:rPr>
                <w:rFonts w:ascii="Arial" w:cs="Arial" w:eastAsia="Arial" w:hAnsi="Arial"/>
                <w:sz w:val="14"/>
                <w:szCs w:val="14"/>
                <w:b w:val="1"/>
                <w:bCs w:val="1"/>
                <w:color w:val="auto"/>
              </w:rPr>
              <w:t>Year Ended June 30,</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4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8"/>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(in thousands, except per share data)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Revenues: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71,309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100,362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142,168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217,416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284,817</w:t>
            </w:r>
          </w:p>
        </w:tc>
      </w:tr>
      <w:tr>
        <w:trPr>
          <w:trHeight w:val="216"/>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r>
      <w:tr>
        <w:trPr>
          <w:trHeight w:val="210"/>
        </w:trPr>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72,768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101,944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144,069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288,448</w:t>
            </w:r>
          </w:p>
        </w:tc>
      </w:tr>
      <w:tr>
        <w:trPr>
          <w:trHeight w:val="216"/>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11,562</w:t>
            </w: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77,294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108,687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152,698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230,701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300,010</w:t>
            </w:r>
          </w:p>
        </w:tc>
      </w:tr>
      <w:tr>
        <w:trPr>
          <w:trHeight w:val="210"/>
        </w:trPr>
        <w:tc>
          <w:tcPr>
            <w:tcW w:w="4680" w:type="dxa"/>
            <w:vAlign w:val="bottom"/>
          </w:tcPr>
          <w:p>
            <w:pPr>
              <w:spacing w:after="0"/>
              <w:rPr>
                <w:sz w:val="20"/>
                <w:szCs w:val="20"/>
                <w:color w:val="auto"/>
              </w:rPr>
            </w:pPr>
            <w:r>
              <w:rPr>
                <w:rFonts w:ascii="Arial" w:cs="Arial" w:eastAsia="Arial" w:hAnsi="Arial"/>
                <w:sz w:val="18"/>
                <w:szCs w:val="18"/>
                <w:color w:val="auto"/>
              </w:rPr>
              <w:t>Cost of revenues: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85,399</w:t>
            </w:r>
          </w:p>
        </w:tc>
      </w:tr>
      <w:tr>
        <w:trPr>
          <w:trHeight w:val="216"/>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10,803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38,588</w:t>
            </w: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39,666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123,987</w:t>
            </w:r>
          </w:p>
        </w:tc>
      </w:tr>
      <w:tr>
        <w:trPr>
          <w:trHeight w:val="210"/>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37,628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132,616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176,023</w:t>
            </w: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18,693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61,832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77,506</w:t>
            </w: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29,098</w:t>
            </w:r>
          </w:p>
        </w:tc>
      </w:tr>
      <w:tr>
        <w:trPr>
          <w:trHeight w:val="216"/>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12,079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62,123</w:t>
            </w: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37,597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95,723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136,166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168,727</w:t>
            </w:r>
          </w:p>
        </w:tc>
      </w:tr>
      <w:tr>
        <w:trPr>
          <w:trHeight w:val="210"/>
        </w:trPr>
        <w:tc>
          <w:tcPr>
            <w:tcW w:w="4680" w:type="dxa"/>
            <w:vAlign w:val="bottom"/>
          </w:tcPr>
          <w:p>
            <w:pPr>
              <w:ind w:left="320"/>
              <w:spacing w:after="0"/>
              <w:rPr>
                <w:sz w:val="20"/>
                <w:szCs w:val="20"/>
                <w:color w:val="auto"/>
              </w:rPr>
            </w:pPr>
            <w:r>
              <w:rPr>
                <w:rFonts w:ascii="Arial" w:cs="Arial" w:eastAsia="Arial" w:hAnsi="Arial"/>
                <w:sz w:val="18"/>
                <w:szCs w:val="18"/>
                <w:color w:val="auto"/>
              </w:rPr>
              <w:t>Operating income (loss)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(13,921)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7,296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0"/>
        </w:trPr>
        <w:tc>
          <w:tcPr>
            <w:tcW w:w="468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(13,867)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7,369</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17"/>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(13,972)</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6,718</w:t>
            </w:r>
          </w:p>
        </w:tc>
      </w:tr>
      <w:tr>
        <w:trPr>
          <w:trHeight w:val="236"/>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(2,291)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(13,972)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r>
      <w:tr>
        <w:trPr>
          <w:trHeight w:val="175"/>
        </w:trPr>
        <w:tc>
          <w:tcPr>
            <w:tcW w:w="4680" w:type="dxa"/>
            <w:vAlign w:val="bottom"/>
          </w:tcPr>
          <w:p>
            <w:pPr>
              <w:spacing w:after="0" w:line="176" w:lineRule="exact"/>
              <w:rPr>
                <w:sz w:val="20"/>
                <w:szCs w:val="20"/>
                <w:color w:val="auto"/>
              </w:rPr>
            </w:pPr>
            <w:r>
              <w:rPr>
                <w:rFonts w:ascii="Arial" w:cs="Arial" w:eastAsia="Arial" w:hAnsi="Arial"/>
                <w:sz w:val="18"/>
                <w:szCs w:val="18"/>
                <w:color w:val="auto"/>
              </w:rPr>
              <w:t>Net income (loss) per share attributable to common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stockholders: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6"/>
        </w:trPr>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r>
      <w:tr>
        <w:trPr>
          <w:trHeight w:val="210"/>
        </w:trPr>
        <w:tc>
          <w:tcPr>
            <w:tcW w:w="468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Diluted</w:t>
            </w:r>
          </w:p>
        </w:tc>
        <w:tc>
          <w:tcPr>
            <w:tcW w:w="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1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28)</w:t>
            </w:r>
          </w:p>
        </w:tc>
        <w:tc>
          <w:tcPr>
            <w:tcW w:w="1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08)</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12</w:t>
            </w:r>
          </w:p>
        </w:tc>
      </w:tr>
      <w:tr>
        <w:trPr>
          <w:trHeight w:val="188"/>
        </w:trPr>
        <w:tc>
          <w:tcPr>
            <w:tcW w:w="4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Weighted average shares used in computing net income (loss)</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per share attributable to common stockholders: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23"/>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Basic</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31,988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50,127</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51,415</w:t>
            </w:r>
          </w:p>
        </w:tc>
      </w:tr>
      <w:tr>
        <w:trPr>
          <w:trHeight w:val="236"/>
        </w:trPr>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31,988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36,707</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50,913</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54,057</w:t>
            </w:r>
          </w:p>
        </w:tc>
      </w:tr>
      <w:tr>
        <w:trPr>
          <w:trHeight w:val="203"/>
        </w:trPr>
        <w:tc>
          <w:tcPr>
            <w:tcW w:w="4680" w:type="dxa"/>
            <w:vAlign w:val="bottom"/>
          </w:tcPr>
          <w:p>
            <w:pPr>
              <w:spacing w:after="0" w:line="203" w:lineRule="exact"/>
              <w:rPr>
                <w:sz w:val="20"/>
                <w:szCs w:val="20"/>
                <w:color w:val="auto"/>
              </w:rPr>
            </w:pPr>
            <w:r>
              <w:rPr>
                <w:rFonts w:ascii="Arial" w:cs="Arial" w:eastAsia="Arial" w:hAnsi="Arial"/>
                <w:sz w:val="18"/>
                <w:szCs w:val="18"/>
                <w:b w:val="1"/>
                <w:bCs w:val="1"/>
                <w:color w:val="auto"/>
              </w:rPr>
              <w:t>Other Financial Data:</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40,695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141,029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189,272</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Adjusted Recurring Gross Profit(1)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46,972</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67,458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101,876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161,184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214,825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56,190</w:t>
            </w:r>
          </w:p>
        </w:tc>
      </w:tr>
      <w:tr>
        <w:trPr>
          <w:trHeight w:val="864"/>
        </w:trPr>
        <w:tc>
          <w:tcPr>
            <w:tcW w:w="4680" w:type="dxa"/>
            <w:vAlign w:val="bottom"/>
          </w:tcPr>
          <w:p>
            <w:pPr>
              <w:ind w:left="444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29"/>
        </w:trPr>
        <w:tc>
          <w:tcPr>
            <w:tcW w:w="4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4"/>
              </w:rPr>
              <w:t>As of June 30,</w:t>
            </w:r>
          </w:p>
        </w:tc>
        <w:tc>
          <w:tcPr>
            <w:tcW w:w="7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3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60" w:type="dxa"/>
            <w:vAlign w:val="bottom"/>
            <w:gridSpan w:val="2"/>
          </w:tcPr>
          <w:p>
            <w:pPr>
              <w:jc w:val="right"/>
              <w:ind w:right="68"/>
              <w:spacing w:after="0"/>
              <w:rPr>
                <w:sz w:val="20"/>
                <w:szCs w:val="20"/>
                <w:color w:val="auto"/>
              </w:rPr>
            </w:pPr>
            <w:r>
              <w:rPr>
                <w:rFonts w:ascii="Arial" w:cs="Arial" w:eastAsia="Arial" w:hAnsi="Arial"/>
                <w:sz w:val="16"/>
                <w:szCs w:val="16"/>
                <w:color w:val="auto"/>
              </w:rPr>
              <w:t>$  7,594</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$ 78,848</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$ 81,258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86,496</w:t>
            </w:r>
          </w:p>
        </w:tc>
        <w:tc>
          <w:tcPr>
            <w:tcW w:w="900" w:type="dxa"/>
            <w:vAlign w:val="bottom"/>
          </w:tcPr>
          <w:p>
            <w:pPr>
              <w:jc w:val="right"/>
              <w:spacing w:after="0"/>
              <w:rPr>
                <w:sz w:val="20"/>
                <w:szCs w:val="20"/>
                <w:color w:val="auto"/>
              </w:rPr>
            </w:pPr>
            <w:r>
              <w:rPr>
                <w:rFonts w:ascii="Arial" w:cs="Arial" w:eastAsia="Arial" w:hAnsi="Arial"/>
                <w:sz w:val="16"/>
                <w:szCs w:val="16"/>
                <w:color w:val="auto"/>
              </w:rPr>
              <w:t>$  103,468</w:t>
            </w: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capital(2)</w:t>
            </w:r>
          </w:p>
        </w:tc>
        <w:tc>
          <w:tcPr>
            <w:tcW w:w="186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2,305</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67,137</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69,296</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68,986</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88,040</w:t>
            </w: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Funds held for clients</w:t>
            </w:r>
          </w:p>
        </w:tc>
        <w:tc>
          <w:tcPr>
            <w:tcW w:w="1860" w:type="dxa"/>
            <w:vAlign w:val="bottom"/>
            <w:gridSpan w:val="2"/>
          </w:tcPr>
          <w:p>
            <w:pPr>
              <w:jc w:val="right"/>
              <w:ind w:right="68"/>
              <w:spacing w:after="0"/>
              <w:rPr>
                <w:sz w:val="20"/>
                <w:szCs w:val="20"/>
                <w:color w:val="auto"/>
              </w:rPr>
            </w:pPr>
            <w:r>
              <w:rPr>
                <w:rFonts w:ascii="Arial" w:cs="Arial" w:eastAsia="Arial" w:hAnsi="Arial"/>
                <w:sz w:val="16"/>
                <w:szCs w:val="16"/>
                <w:color w:val="auto"/>
              </w:rPr>
              <w:t>355,905</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417,261</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591,219</w:t>
            </w:r>
          </w:p>
        </w:tc>
        <w:tc>
          <w:tcPr>
            <w:tcW w:w="20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w w:val="89"/>
              </w:rPr>
              <w:t>1,239,622</w:t>
            </w:r>
          </w:p>
        </w:tc>
        <w:tc>
          <w:tcPr>
            <w:tcW w:w="900" w:type="dxa"/>
            <w:vAlign w:val="bottom"/>
          </w:tcPr>
          <w:p>
            <w:pPr>
              <w:jc w:val="right"/>
              <w:spacing w:after="0"/>
              <w:rPr>
                <w:sz w:val="20"/>
                <w:szCs w:val="20"/>
                <w:color w:val="auto"/>
              </w:rPr>
            </w:pPr>
            <w:r>
              <w:rPr>
                <w:rFonts w:ascii="Arial" w:cs="Arial" w:eastAsia="Arial" w:hAnsi="Arial"/>
                <w:sz w:val="16"/>
                <w:szCs w:val="16"/>
                <w:color w:val="auto"/>
              </w:rPr>
              <w:t>942,459</w:t>
            </w: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86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377,916</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528,151</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720,548</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1,390,689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1,137,441</w:t>
            </w: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Debt, current portion</w:t>
            </w:r>
          </w:p>
        </w:tc>
        <w:tc>
          <w:tcPr>
            <w:tcW w:w="1860" w:type="dxa"/>
            <w:vAlign w:val="bottom"/>
            <w:gridSpan w:val="2"/>
          </w:tcPr>
          <w:p>
            <w:pPr>
              <w:jc w:val="right"/>
              <w:ind w:right="68"/>
              <w:spacing w:after="0"/>
              <w:rPr>
                <w:sz w:val="20"/>
                <w:szCs w:val="20"/>
                <w:color w:val="auto"/>
              </w:rPr>
            </w:pPr>
            <w:r>
              <w:rPr>
                <w:rFonts w:ascii="Arial" w:cs="Arial" w:eastAsia="Arial" w:hAnsi="Arial"/>
                <w:sz w:val="16"/>
                <w:szCs w:val="16"/>
                <w:color w:val="auto"/>
              </w:rPr>
              <w:t>625</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Client fund obligations</w:t>
            </w:r>
          </w:p>
        </w:tc>
        <w:tc>
          <w:tcPr>
            <w:tcW w:w="186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355,905</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417,261</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591,219</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1,239,622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942,459</w:t>
            </w: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Long-term debt, net of current portion</w:t>
            </w:r>
          </w:p>
        </w:tc>
        <w:tc>
          <w:tcPr>
            <w:tcW w:w="1860" w:type="dxa"/>
            <w:vAlign w:val="bottom"/>
            <w:gridSpan w:val="2"/>
          </w:tcPr>
          <w:p>
            <w:pPr>
              <w:jc w:val="right"/>
              <w:ind w:right="68"/>
              <w:spacing w:after="0"/>
              <w:rPr>
                <w:sz w:val="20"/>
                <w:szCs w:val="20"/>
                <w:color w:val="auto"/>
              </w:rPr>
            </w:pPr>
            <w:r>
              <w:rPr>
                <w:rFonts w:ascii="Arial" w:cs="Arial" w:eastAsia="Arial" w:hAnsi="Arial"/>
                <w:sz w:val="16"/>
                <w:szCs w:val="16"/>
                <w:color w:val="auto"/>
              </w:rPr>
              <w:t>938</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186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36,573</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70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1860" w:type="dxa"/>
            <w:vAlign w:val="bottom"/>
            <w:gridSpan w:val="2"/>
          </w:tcPr>
          <w:p>
            <w:pPr>
              <w:jc w:val="right"/>
              <w:ind w:right="8"/>
              <w:spacing w:after="0"/>
              <w:rPr>
                <w:sz w:val="20"/>
                <w:szCs w:val="20"/>
                <w:color w:val="auto"/>
              </w:rPr>
            </w:pPr>
            <w:r>
              <w:rPr>
                <w:rFonts w:ascii="Arial" w:cs="Arial" w:eastAsia="Arial" w:hAnsi="Arial"/>
                <w:sz w:val="16"/>
                <w:szCs w:val="16"/>
                <w:color w:val="auto"/>
              </w:rPr>
              <w:t>(26,592)</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91,134</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107,580</w:t>
            </w:r>
          </w:p>
        </w:tc>
        <w:tc>
          <w:tcPr>
            <w:tcW w:w="20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119,572</w:t>
            </w:r>
          </w:p>
        </w:tc>
        <w:tc>
          <w:tcPr>
            <w:tcW w:w="900" w:type="dxa"/>
            <w:vAlign w:val="bottom"/>
          </w:tcPr>
          <w:p>
            <w:pPr>
              <w:jc w:val="right"/>
              <w:spacing w:after="0"/>
              <w:rPr>
                <w:sz w:val="20"/>
                <w:szCs w:val="20"/>
                <w:color w:val="auto"/>
              </w:rPr>
            </w:pPr>
            <w:r>
              <w:rPr>
                <w:rFonts w:ascii="Arial" w:cs="Arial" w:eastAsia="Arial" w:hAnsi="Arial"/>
                <w:sz w:val="16"/>
                <w:szCs w:val="16"/>
                <w:color w:val="auto"/>
              </w:rPr>
              <w:t>147,613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14408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1" w:lineRule="exact"/>
        <w:rPr>
          <w:sz w:val="20"/>
          <w:szCs w:val="20"/>
          <w:color w:val="auto"/>
        </w:rPr>
      </w:pPr>
    </w:p>
    <w:p>
      <w:pPr>
        <w:ind w:left="320" w:right="20" w:hanging="317"/>
        <w:spacing w:after="0" w:line="255"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use Adjusted Gross Profit, Adjusted Recurring Gross Profit, and Adjusted EBITDA to evaluate our operating results. We prepare Adjusted Gross Profit, Adjusted Recurring Gross Profit and Adjusted EBITDA to eliminate the impact of items we do not consider indicative of our ongoing operating performance. However, Adjusted Gross Profit, Adjusted Recurring Gross Profit and Adjusted EBITDA are not measurements of financial performance under generally accepted accounting principles in the United States, or GAAP, and these metrics may not be comparable to similarly-titled measures of other companies.</w:t>
      </w:r>
    </w:p>
    <w:p>
      <w:pPr>
        <w:spacing w:after="0" w:line="193" w:lineRule="exact"/>
        <w:rPr>
          <w:rFonts w:ascii="Arial" w:cs="Arial" w:eastAsia="Arial" w:hAnsi="Arial"/>
          <w:sz w:val="18"/>
          <w:szCs w:val="18"/>
          <w:color w:val="auto"/>
        </w:rPr>
      </w:pPr>
    </w:p>
    <w:p>
      <w:pPr>
        <w:ind w:left="320"/>
        <w:spacing w:after="0" w:line="290" w:lineRule="auto"/>
        <w:rPr>
          <w:rFonts w:ascii="Arial" w:cs="Arial" w:eastAsia="Arial" w:hAnsi="Arial"/>
          <w:sz w:val="18"/>
          <w:szCs w:val="18"/>
          <w:color w:val="auto"/>
        </w:rPr>
      </w:pPr>
      <w:r>
        <w:rPr>
          <w:rFonts w:ascii="Arial" w:cs="Arial" w:eastAsia="Arial" w:hAnsi="Arial"/>
          <w:sz w:val="16"/>
          <w:szCs w:val="16"/>
          <w:color w:val="auto"/>
        </w:rPr>
        <w:t>We define Adjusted Gross Profit as gross profit before amortization of capitalized internal-use software costs, stock-based compensation expense and employer payroll taxes related to stock releases and option exercises and one-time founder funded bonus pay-outs, if any. We define Adjusted Recurring Gross Profit as total recurring revenues after cost of recurring revenues and before amortization of capitalized internal-use software costs, stock-based compensation expense and employer payroll taxes related to stock releases and option exercises and one-time founder funded bonus pay-outs, if any. We define Adjusted EBITDA as net income (loss) before interest expense, income tax expense (benefit), depreciation and amortization expense, stock-based compensation expense and employer payroll taxes related to stock releases and option exercises and one-time founder funded bonus pay-outs, if any.</w:t>
      </w:r>
    </w:p>
    <w:p>
      <w:pPr>
        <w:spacing w:after="0" w:line="166" w:lineRule="exact"/>
        <w:rPr>
          <w:rFonts w:ascii="Arial" w:cs="Arial" w:eastAsia="Arial" w:hAnsi="Arial"/>
          <w:sz w:val="18"/>
          <w:szCs w:val="18"/>
          <w:color w:val="auto"/>
        </w:rPr>
      </w:pPr>
    </w:p>
    <w:p>
      <w:pPr>
        <w:ind w:left="320"/>
        <w:spacing w:after="0" w:line="297" w:lineRule="auto"/>
        <w:rPr>
          <w:rFonts w:ascii="Arial" w:cs="Arial" w:eastAsia="Arial" w:hAnsi="Arial"/>
          <w:sz w:val="18"/>
          <w:szCs w:val="18"/>
          <w:color w:val="auto"/>
        </w:rPr>
      </w:pPr>
      <w:r>
        <w:rPr>
          <w:rFonts w:ascii="Arial" w:cs="Arial" w:eastAsia="Arial" w:hAnsi="Arial"/>
          <w:sz w:val="16"/>
          <w:szCs w:val="16"/>
          <w:color w:val="auto"/>
        </w:rPr>
        <w:t>We disclose Adjusted Gross Profit, Adjusted Recurring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158" w:lineRule="exact"/>
        <w:rPr>
          <w:rFonts w:ascii="Arial" w:cs="Arial" w:eastAsia="Arial" w:hAnsi="Arial"/>
          <w:sz w:val="18"/>
          <w:szCs w:val="18"/>
          <w:color w:val="auto"/>
        </w:rPr>
      </w:pPr>
    </w:p>
    <w:p>
      <w:pPr>
        <w:ind w:left="320"/>
        <w:spacing w:after="0" w:line="277" w:lineRule="auto"/>
        <w:rPr>
          <w:rFonts w:ascii="Arial" w:cs="Arial" w:eastAsia="Arial" w:hAnsi="Arial"/>
          <w:sz w:val="18"/>
          <w:szCs w:val="18"/>
          <w:color w:val="auto"/>
        </w:rPr>
      </w:pPr>
      <w:r>
        <w:rPr>
          <w:rFonts w:ascii="Arial" w:cs="Arial" w:eastAsia="Arial" w:hAnsi="Arial"/>
          <w:sz w:val="18"/>
          <w:szCs w:val="18"/>
          <w:color w:val="auto"/>
        </w:rPr>
        <w:t>Adjusted Gross Profit, Adjusted Recurring Gross Profit and Adjusted EBITDA have limitations as analytical tools. Some of these limitations are:</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Adjusted EBITDA does not reflect our ongoing or future requirements for capital expenditures;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Adjusted EBITDA does not reflect our income tax expense or the cash requirement to pay our taxes;</w:t>
      </w:r>
    </w:p>
    <w:p>
      <w:pPr>
        <w:spacing w:after="0" w:line="225" w:lineRule="exact"/>
        <w:rPr>
          <w:rFonts w:ascii="Arial" w:cs="Arial" w:eastAsia="Arial" w:hAnsi="Arial"/>
          <w:sz w:val="18"/>
          <w:szCs w:val="18"/>
          <w:color w:val="auto"/>
        </w:rPr>
      </w:pPr>
    </w:p>
    <w:p>
      <w:pPr>
        <w:ind w:left="660" w:right="80" w:hanging="333"/>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181" w:lineRule="exact"/>
        <w:rPr>
          <w:rFonts w:ascii="Arial" w:cs="Arial" w:eastAsia="Arial" w:hAnsi="Arial"/>
          <w:sz w:val="18"/>
          <w:szCs w:val="18"/>
          <w:color w:val="auto"/>
        </w:rPr>
      </w:pPr>
    </w:p>
    <w:p>
      <w:pPr>
        <w:ind w:left="660" w:hanging="333"/>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Gross Profit, Adjusted Recurring Gross Profit and Adjusted EBITDA differently than we do, limiting their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right="160"/>
        <w:spacing w:after="0" w:line="264" w:lineRule="auto"/>
        <w:rPr>
          <w:sz w:val="20"/>
          <w:szCs w:val="20"/>
          <w:color w:val="auto"/>
        </w:rPr>
      </w:pPr>
      <w:r>
        <w:rPr>
          <w:rFonts w:ascii="Arial" w:cs="Arial" w:eastAsia="Arial" w:hAnsi="Arial"/>
          <w:sz w:val="18"/>
          <w:szCs w:val="18"/>
          <w:color w:val="auto"/>
        </w:rPr>
        <w:t>Additionally, stock-based compensation will continue to be an element of our overall compensation strategy, although we exclude it from Adjusted Gross Profit, Adjusted Recurring Gross Profit and Adjusted EBITDA as an expense when evaluating our ongoing operating performance for a particular period.</w:t>
      </w:r>
    </w:p>
    <w:p>
      <w:pPr>
        <w:spacing w:after="0" w:line="181" w:lineRule="exact"/>
        <w:rPr>
          <w:sz w:val="20"/>
          <w:szCs w:val="20"/>
          <w:color w:val="auto"/>
        </w:rPr>
      </w:pPr>
    </w:p>
    <w:p>
      <w:pPr>
        <w:ind w:left="320" w:right="40"/>
        <w:spacing w:after="0" w:line="276" w:lineRule="auto"/>
        <w:rPr>
          <w:sz w:val="20"/>
          <w:szCs w:val="20"/>
          <w:color w:val="auto"/>
        </w:rPr>
      </w:pPr>
      <w:r>
        <w:rPr>
          <w:rFonts w:ascii="Arial" w:cs="Arial" w:eastAsia="Arial" w:hAnsi="Arial"/>
          <w:sz w:val="17"/>
          <w:szCs w:val="17"/>
          <w:color w:val="auto"/>
        </w:rPr>
        <w:t>Because of these limitations, you should not consider Adjusted Gross Profit as an alternative to gross profit, Adjusted Recurring Gross Profit as an alternative to total recurring revenues, or Adjusted EBITDA as an alternative to net income (loss) or net cash provided by operating activities, in each case as determined in accordance with GAAP. We compensate for these limitations by relying primarily on our GAAP results, and we use Adjusted Gross Profit, Adjusted Recurring Gross Profit and Adjusted EBITDA only as supplemental information.</w:t>
      </w:r>
    </w:p>
    <w:p>
      <w:pPr>
        <w:spacing w:after="0" w:line="173" w:lineRule="exact"/>
        <w:rPr>
          <w:sz w:val="20"/>
          <w:szCs w:val="20"/>
          <w:color w:val="auto"/>
        </w:rPr>
      </w:pPr>
    </w:p>
    <w:p>
      <w:pPr>
        <w:ind w:left="320" w:right="80"/>
        <w:spacing w:after="0" w:line="264" w:lineRule="auto"/>
        <w:rPr>
          <w:sz w:val="20"/>
          <w:szCs w:val="20"/>
          <w:color w:val="auto"/>
        </w:rPr>
      </w:pPr>
      <w:r>
        <w:rPr>
          <w:rFonts w:ascii="Arial" w:cs="Arial" w:eastAsia="Arial" w:hAnsi="Arial"/>
          <w:sz w:val="18"/>
          <w:szCs w:val="18"/>
          <w:color w:val="auto"/>
        </w:rPr>
        <w:t>Directly comparable GAAP measures to Adjusted Gross Profit, Adjusted Recurring Gross Profit and Adjusted EBITDA are gross profit, total recurring revenues and net income (loss), respectively. We reconcile Adjusted Gross Profit, Adjusted Recurring Gross Profit and Adjusted EBITDA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13"/>
          </w:tcPr>
          <w:p>
            <w:pPr>
              <w:jc w:val="center"/>
              <w:ind w:right="580"/>
              <w:spacing w:after="0"/>
              <w:rPr>
                <w:sz w:val="20"/>
                <w:szCs w:val="20"/>
                <w:color w:val="auto"/>
              </w:rPr>
            </w:pPr>
            <w:r>
              <w:rPr>
                <w:rFonts w:ascii="Arial" w:cs="Arial" w:eastAsia="Arial" w:hAnsi="Arial"/>
                <w:sz w:val="14"/>
                <w:szCs w:val="14"/>
                <w:b w:val="1"/>
                <w:bCs w:val="1"/>
                <w:color w:val="auto"/>
                <w:w w:val="93"/>
              </w:rPr>
              <w:t>Year Ended June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6"/>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Reconciliation from Gross Profit to Adjusted Gross Profit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$37,628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9"/>
              </w:rPr>
              <w:t>$53,593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2"/>
              </w:rPr>
              <w:t>$81,802</w:t>
            </w:r>
          </w:p>
        </w:tc>
        <w:tc>
          <w:tcPr>
            <w:tcW w:w="14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90"/>
              </w:rPr>
              <w:t>$132,616</w:t>
            </w: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8"/>
              </w:rPr>
              <w:t>$176,023</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9,447</w:t>
            </w: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related to stock releases and option exercises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920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2,967</w:t>
            </w:r>
          </w:p>
        </w:tc>
        <w:tc>
          <w:tcPr>
            <w:tcW w:w="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3,802</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One-time founder funded bonus pay-outs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Adjusted Gross Profit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40,695</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57,029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87,226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141,029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189,272</w:t>
            </w:r>
          </w:p>
        </w:tc>
      </w:tr>
      <w:tr>
        <w:trPr>
          <w:trHeight w:val="378"/>
        </w:trPr>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4"/>
          </w:tcPr>
          <w:p>
            <w:pPr>
              <w:jc w:val="center"/>
              <w:ind w:right="420"/>
              <w:spacing w:after="0"/>
              <w:rPr>
                <w:sz w:val="20"/>
                <w:szCs w:val="20"/>
                <w:color w:val="auto"/>
              </w:rPr>
            </w:pPr>
            <w:r>
              <w:rPr>
                <w:rFonts w:ascii="Arial" w:cs="Arial" w:eastAsia="Arial" w:hAnsi="Arial"/>
                <w:sz w:val="14"/>
                <w:szCs w:val="14"/>
                <w:b w:val="1"/>
                <w:bCs w:val="1"/>
                <w:color w:val="auto"/>
                <w:w w:val="91"/>
              </w:rPr>
              <w:t>Year Ended June 30,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42"/>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gridSpan w:val="3"/>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56"/>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6"/>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98"/>
        </w:trPr>
        <w:tc>
          <w:tcPr>
            <w:tcW w:w="47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Reconciliation from Total Recurring Revenues to Adjusted</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4"/>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Recurring Gross Profit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Total recurring revenues</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9"/>
              </w:rPr>
              <w:t>$ 72,768</w:t>
            </w:r>
          </w:p>
        </w:tc>
        <w:tc>
          <w:tcPr>
            <w:tcW w:w="2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$101,944</w:t>
            </w:r>
          </w:p>
        </w:tc>
        <w:tc>
          <w:tcPr>
            <w:tcW w:w="8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95"/>
              </w:rPr>
              <w:t>$144,069</w:t>
            </w:r>
          </w:p>
        </w:tc>
        <w:tc>
          <w:tcPr>
            <w:tcW w:w="14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90"/>
              </w:rPr>
              <w:t>$220,104</w:t>
            </w: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8"/>
              </w:rPr>
              <w:t>$288,448</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(28,863)</w:t>
            </w:r>
          </w:p>
        </w:tc>
        <w:tc>
          <w:tcPr>
            <w:tcW w:w="2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
              <w:spacing w:after="0"/>
              <w:rPr>
                <w:sz w:val="20"/>
                <w:szCs w:val="20"/>
                <w:color w:val="auto"/>
              </w:rPr>
            </w:pPr>
            <w:r>
              <w:rPr>
                <w:rFonts w:ascii="Arial" w:cs="Arial" w:eastAsia="Arial" w:hAnsi="Arial"/>
                <w:sz w:val="18"/>
                <w:szCs w:val="18"/>
                <w:color w:val="auto"/>
              </w:rPr>
              <w:t>(37,319)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(46,366)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(66,131)</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(85,399)</w:t>
            </w:r>
          </w:p>
        </w:tc>
      </w:tr>
      <w:tr>
        <w:trPr>
          <w:trHeight w:val="210"/>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Recurring gross profit</w:t>
            </w:r>
          </w:p>
        </w:tc>
        <w:tc>
          <w:tcPr>
            <w:tcW w:w="60" w:type="dxa"/>
            <w:vAlign w:val="bottom"/>
          </w:tcPr>
          <w:p>
            <w:pPr>
              <w:spacing w:after="0"/>
              <w:rPr>
                <w:sz w:val="18"/>
                <w:szCs w:val="18"/>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43,905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64,625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97,703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153,973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203,049</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9,447</w:t>
            </w: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related to stock releases and option exercises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1,567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1,765</w:t>
            </w:r>
          </w:p>
        </w:tc>
        <w:tc>
          <w:tcPr>
            <w:tcW w:w="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2,329</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One-time founder funded bonus pay-outs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Adjusted Recurring Gross Profit</w:t>
            </w:r>
          </w:p>
        </w:tc>
        <w:tc>
          <w:tcPr>
            <w:tcW w:w="60" w:type="dxa"/>
            <w:vAlign w:val="bottom"/>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$ 46,972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67,458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101,876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161,184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214,825</w:t>
            </w:r>
          </w:p>
        </w:tc>
      </w:tr>
      <w:tr>
        <w:trPr>
          <w:trHeight w:val="378"/>
        </w:trPr>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2"/>
          </w:tcPr>
          <w:p>
            <w:pPr>
              <w:jc w:val="right"/>
              <w:ind w:right="480"/>
              <w:spacing w:after="0"/>
              <w:rPr>
                <w:sz w:val="20"/>
                <w:szCs w:val="20"/>
                <w:color w:val="auto"/>
              </w:rPr>
            </w:pPr>
            <w:r>
              <w:rPr>
                <w:rFonts w:ascii="Arial" w:cs="Arial" w:eastAsia="Arial" w:hAnsi="Arial"/>
                <w:sz w:val="14"/>
                <w:szCs w:val="14"/>
                <w:b w:val="1"/>
                <w:bCs w:val="1"/>
                <w:color w:val="auto"/>
                <w:w w:val="93"/>
              </w:rPr>
              <w:t>Year Ended June 30,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42"/>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40" w:type="dxa"/>
            <w:vAlign w:val="bottom"/>
            <w:gridSpan w:val="3"/>
          </w:tcPr>
          <w:p>
            <w:pPr>
              <w:spacing w:after="0"/>
              <w:rPr>
                <w:sz w:val="12"/>
                <w:szCs w:val="12"/>
                <w:color w:val="auto"/>
              </w:rPr>
            </w:pPr>
          </w:p>
        </w:tc>
        <w:tc>
          <w:tcPr>
            <w:tcW w:w="580" w:type="dxa"/>
            <w:vAlign w:val="bottom"/>
            <w:tcBorders>
              <w:bottom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9"/>
          </w:tcPr>
          <w:p>
            <w:pPr>
              <w:jc w:val="right"/>
              <w:ind w:right="6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Reconciliation from Net Income (Loss) to Adjusted EBITDA</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4"/>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617</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$(7,110)</w:t>
            </w:r>
          </w:p>
        </w:tc>
        <w:tc>
          <w:tcPr>
            <w:tcW w:w="920" w:type="dxa"/>
            <w:vAlign w:val="bottom"/>
            <w:gridSpan w:val="7"/>
          </w:tcPr>
          <w:p>
            <w:pPr>
              <w:jc w:val="right"/>
              <w:ind w:right="40"/>
              <w:spacing w:after="0"/>
              <w:rPr>
                <w:sz w:val="20"/>
                <w:szCs w:val="20"/>
                <w:color w:val="auto"/>
              </w:rPr>
            </w:pPr>
            <w:r>
              <w:rPr>
                <w:rFonts w:ascii="Arial" w:cs="Arial" w:eastAsia="Arial" w:hAnsi="Arial"/>
                <w:sz w:val="18"/>
                <w:szCs w:val="18"/>
                <w:color w:val="auto"/>
              </w:rPr>
              <w:t>$(13,972)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9"/>
              </w:rPr>
              <w:t>$ (3,851)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$ 6,718</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192</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120" w:type="dxa"/>
            <w:vAlign w:val="bottom"/>
            <w:gridSpan w:val="8"/>
          </w:tcPr>
          <w:p>
            <w:pPr>
              <w:jc w:val="right"/>
              <w:spacing w:after="0"/>
              <w:rPr>
                <w:sz w:val="20"/>
                <w:szCs w:val="20"/>
                <w:color w:val="auto"/>
              </w:rPr>
            </w:pPr>
            <w:r>
              <w:rPr>
                <w:rFonts w:ascii="Arial" w:cs="Arial" w:eastAsia="Arial" w:hAnsi="Arial"/>
                <w:sz w:val="18"/>
                <w:szCs w:val="18"/>
                <w:color w:val="auto"/>
              </w:rPr>
              <w:t>(602)</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255</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177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12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5,571</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13,873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21,027</w:t>
            </w:r>
          </w:p>
        </w:tc>
      </w:tr>
      <w:tr>
        <w:trPr>
          <w:trHeight w:val="210"/>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EBITDA</w:t>
            </w:r>
          </w:p>
        </w:tc>
        <w:tc>
          <w:tcPr>
            <w:tcW w:w="540" w:type="dxa"/>
            <w:vAlign w:val="bottom"/>
            <w:gridSpan w:val="3"/>
          </w:tcPr>
          <w:p>
            <w:pPr>
              <w:spacing w:after="0"/>
              <w:rPr>
                <w:sz w:val="18"/>
                <w:szCs w:val="18"/>
                <w:color w:val="auto"/>
              </w:rPr>
            </w:pPr>
          </w:p>
        </w:tc>
        <w:tc>
          <w:tcPr>
            <w:tcW w:w="580" w:type="dxa"/>
            <w:vAlign w:val="bottom"/>
            <w:tcBorders>
              <w:top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5,778</w:t>
            </w:r>
          </w:p>
        </w:tc>
        <w:tc>
          <w:tcPr>
            <w:tcW w:w="140" w:type="dxa"/>
            <w:vAlign w:val="bottom"/>
          </w:tcPr>
          <w:p>
            <w:pPr>
              <w:spacing w:after="0"/>
              <w:rPr>
                <w:sz w:val="18"/>
                <w:szCs w:val="18"/>
                <w:color w:val="auto"/>
              </w:rPr>
            </w:pPr>
          </w:p>
        </w:tc>
        <w:tc>
          <w:tcPr>
            <w:tcW w:w="6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(452)</w:t>
            </w:r>
          </w:p>
        </w:tc>
        <w:tc>
          <w:tcPr>
            <w:tcW w:w="160" w:type="dxa"/>
            <w:vAlign w:val="bottom"/>
            <w:gridSpan w:val="2"/>
          </w:tcPr>
          <w:p>
            <w:pPr>
              <w:spacing w:after="0"/>
              <w:rPr>
                <w:sz w:val="18"/>
                <w:szCs w:val="18"/>
                <w:color w:val="auto"/>
              </w:rPr>
            </w:pPr>
          </w:p>
        </w:tc>
        <w:tc>
          <w:tcPr>
            <w:tcW w:w="7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(5,258)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10,199</w:t>
            </w:r>
          </w:p>
        </w:tc>
        <w:tc>
          <w:tcPr>
            <w:tcW w:w="160" w:type="dxa"/>
            <w:vAlign w:val="bottom"/>
            <w:gridSpan w:val="2"/>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28,396</w:t>
            </w:r>
          </w:p>
        </w:tc>
      </w:tr>
      <w:tr>
        <w:trPr>
          <w:trHeight w:val="202"/>
        </w:trPr>
        <w:tc>
          <w:tcPr>
            <w:tcW w:w="552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w w:val="96"/>
              </w:rPr>
              <w:t>Stock-based compensation expense and employer payroll taxes related</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 stock releases and option exercises</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523</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13,496</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18,199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27,794</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One-time founder funded bonus pay-outs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971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7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54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3"/>
              </w:rPr>
              <w:t>$ 6,301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$ 5,448</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8,238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28,398</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56,190</w:t>
            </w:r>
          </w:p>
        </w:tc>
      </w:tr>
      <w:tr>
        <w:trPr>
          <w:trHeight w:val="108"/>
        </w:trPr>
        <w:tc>
          <w:tcPr>
            <w:tcW w:w="228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r>
    </w:tbl>
    <w:p>
      <w:pPr>
        <w:spacing w:after="0" w:line="94" w:lineRule="exact"/>
        <w:rPr>
          <w:sz w:val="20"/>
          <w:szCs w:val="20"/>
          <w:color w:val="auto"/>
        </w:rPr>
      </w:pPr>
    </w:p>
    <w:p>
      <w:pPr>
        <w:ind w:left="4440" w:right="3080" w:hanging="4437"/>
        <w:spacing w:after="0" w:line="778"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-224790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HR, payroll and finance capabilities of our clients.</w:t>
      </w:r>
    </w:p>
    <w:p>
      <w:pPr>
        <w:spacing w:after="0" w:line="1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6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4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2"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If general economic conditions were to deteriorate, including declines in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 Our interest income on funds held for clients continues to be adversely impacted by historically low interest rates.</w:t>
      </w:r>
    </w:p>
    <w:p>
      <w:pPr>
        <w:spacing w:after="0" w:line="15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operating subsidiary Paylocity Corporation was incorporated in July 1997 as an Illinois corporation. In November 2013, we formed Paylocity Holding Corporation, a Delaware corporation, of which Paylocity Corporation is a wholly owned subsidiary. Paylocity Holding Corporation had no operations prior to the restructuring. All of our business operations, excluding interest earned on certain cash holdings and expenses associated with certain secondary stock offerings, have historically been, and are currently, conducted by Paylocity Corporation, and the financial results presented herein are entirely attributable to the results of its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operating results and cash flow from operations. This visibility enables us to better manage and invest in our business.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Recurring revenue, which is comprised of recurring fees and interest income on funds held for clients, increased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$144.1 million in fiscal 2015 to $220.1 million in fiscal 2016, representing a 53% year-over-year increase. Recurring revenue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increased from $220.1 million in fiscal 2016 to $288.4 million in fiscal 2017, representing a 31% year-over-year increase.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Recurring revenue was positively impacted by the launch in fiscal 2016 of our Affordable Care Act (“ACA”) compliance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solution, which had significant penetration beginning in the second quarter of fiscal 2016. The impact on year-over-year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revenue growth of our ACA compliance solution was the highest in the first quarter of fiscal 2017. Recurring revenue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represented 94%, 95% and 96% of total revenue in fiscal 2015, 2016 and 2017, respectively.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Client Count Growth</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believe there is a significant opportunity to grow our business by increasing our number of clients. We have increased our number of clients from approximately 10,350 as of June 30, 2015 to approximately 14,550 as of June 30, 2017, representing a compound annual growth rate of approximately 19%. The table below sets forth our client count for the periods indicated, rounded to the nearest fifty.</w:t>
      </w:r>
    </w:p>
    <w:p>
      <w:pPr>
        <w:spacing w:after="0" w:line="192"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6350</wp:posOffset>
            </wp:positionV>
            <wp:extent cx="14579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6940"/>
        <w:spacing w:after="0"/>
        <w:tabs>
          <w:tab w:leader="none" w:pos="7780" w:val="left"/>
          <w:tab w:leader="none" w:pos="86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2017</w:t>
      </w:r>
    </w:p>
    <w:tbl>
      <w:tblPr>
        <w:tblLayout w:type="fixed"/>
        <w:tblInd w:w="0" w:type="dxa"/>
        <w:tblCellMar>
          <w:top w:w="0" w:type="dxa"/>
          <w:left w:w="0" w:type="dxa"/>
          <w:bottom w:w="0" w:type="dxa"/>
          <w:right w:w="0" w:type="dxa"/>
        </w:tblCellMar>
      </w:tblP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Count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12,500</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14,550</w:t>
            </w: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Revenue Retention Rate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Fees From New Clients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calculate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recurring fees from new clients was 45% for both fiscal 2015 and fiscal 2016 and 40% for fiscal 2017.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it to enhance investors’ understanding of our operating performance and cash flows.</w:t>
      </w:r>
    </w:p>
    <w:p>
      <w:pPr>
        <w:spacing w:after="0" w:line="17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(loss) or cash provided by (used in)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8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define Adjusted Gross Profit as gross profit before amortization of capitalized internal-use software costs, stock-based compensation expense and employer payroll taxes related to stock releases and option exercises. We define 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income (loss) before interest expense, income tax expense, depreciation and amortization expense, stock-based compensation expense and employer payroll taxes related to stock releases and option exercises. The table below sets forth our Adjusted Gross Profit, Adjusted Recurring Gross Profit and Adjusted EBITDA for the periods presented.</w:t>
      </w:r>
    </w:p>
    <w:p>
      <w:pPr>
        <w:spacing w:after="0" w:line="184"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6350</wp:posOffset>
            </wp:positionV>
            <wp:extent cx="17068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ind w:left="6640"/>
        <w:spacing w:after="0"/>
        <w:tabs>
          <w:tab w:leader="none" w:pos="7560" w:val="left"/>
          <w:tab w:leader="none" w:pos="85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-3175</wp:posOffset>
            </wp:positionV>
            <wp:extent cx="17068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ind w:left="728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87,226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141,029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189,272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101,876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161,184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214,825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56,190</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further discussion of Adjusted Gross Profit, Adjusted Recurring Gross Profit and Adjusted EBITDA, including a reconciliation of Adjusted Gross Profit, Adjusted Recurring Gross Profit and Adjusted EBITDA to GAAP, see Part II, Item 6: “Consolidated Selected Financial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fees attributable to our cloud-based payroll and HCM solutions accounted for approximately 93%, 94% and 95% of our total revenues during the years ended June 30, 2015, 2016 and 2017, respectively.</w:t>
      </w:r>
    </w:p>
    <w:p>
      <w:pPr>
        <w:spacing w:after="0" w:line="18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financial institutions with which we have automated clearing house, or ACH, arrangements.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Cost of recurring revenues is generally expensed as incurred and includes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third-party reseller costs, delivery costs, computing costs and amortization of capitalized internal-use software costs, as well as bank fees associated with client fund transfers. We expect to realize cost efficiencies over the long term as our business scales, resulting in improved operating leverage and increased margins.</w:t>
      </w:r>
    </w:p>
    <w:p>
      <w:pPr>
        <w:spacing w:after="0" w:line="16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capitalize a portion of our internal-use software costs, which are then all amortized as a cost of recurring revenues. We amortized $2.6 million, $5.4 million and $9.4 million of capitalized internal-use software costs in fiscal 2015, 2016 and 2017,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Cost of implementation services and other consists primarily of employee-related expenses, including wages, stock-based compensation, bonuses and benefits involved in the implementation of our payroll and other HCM solutions for new clients. Implementation costs are generally fixed in the short-term and exceed associated implementation revenue charged to each client. We intend to grow our business through acquisition of new clients, and doing so will require increased personnel to implement our solutions. Therefore, our cost of implementation services and other is expected to increase in absolute dollars for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and are typically paid within two months after the start of service. Bonuses paid to sales staff for attainment of certain performance criteria are accrued in the fiscal year in which they are earned and are subsequently paid annually in the first fiscal quarter of the following year.</w:t>
      </w:r>
    </w:p>
    <w:p>
      <w:pPr>
        <w:spacing w:after="0" w:line="193"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2015, 2016 and 2017.</w:t>
      </w:r>
    </w:p>
    <w:p>
      <w:pPr>
        <w:spacing w:after="0" w:line="152"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4229735</wp:posOffset>
            </wp:positionH>
            <wp:positionV relativeFrom="paragraph">
              <wp:posOffset>6350</wp:posOffset>
            </wp:positionV>
            <wp:extent cx="15265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ind w:left="6860"/>
        <w:spacing w:after="0"/>
        <w:tabs>
          <w:tab w:leader="none" w:pos="7700" w:val="left"/>
          <w:tab w:leader="none" w:pos="85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5437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102870"/>
                    </a:xfrm>
                    <a:prstGeom prst="rect">
                      <a:avLst/>
                    </a:prstGeom>
                    <a:noFill/>
                  </pic:spPr>
                </pic:pic>
              </a:graphicData>
            </a:graphic>
          </wp:anchor>
        </w:drawing>
      </w:r>
    </w:p>
    <w:p>
      <w:pPr>
        <w:ind w:left="7420"/>
        <w:spacing w:after="0" w:line="235" w:lineRule="auto"/>
        <w:rPr>
          <w:sz w:val="20"/>
          <w:szCs w:val="20"/>
          <w:color w:val="auto"/>
        </w:rPr>
      </w:pPr>
      <w:r>
        <w:rPr>
          <w:rFonts w:ascii="Arial" w:cs="Arial" w:eastAsia="Arial" w:hAnsi="Arial"/>
          <w:sz w:val="14"/>
          <w:szCs w:val="14"/>
          <w:b w:val="1"/>
          <w:bCs w:val="1"/>
          <w:color w:val="auto"/>
        </w:rPr>
        <w:t>(in thousands)</w:t>
      </w:r>
    </w:p>
    <w:tbl>
      <w:tblPr>
        <w:tblLayout w:type="fixed"/>
        <w:tblInd w:w="0" w:type="dxa"/>
        <w:tblCellMar>
          <w:top w:w="0" w:type="dxa"/>
          <w:left w:w="0" w:type="dxa"/>
          <w:bottom w:w="0" w:type="dxa"/>
          <w:right w:w="0" w:type="dxa"/>
        </w:tblCellMar>
      </w:tblPr>
      <w:tr>
        <w:trPr>
          <w:trHeight w:val="214"/>
        </w:trPr>
        <w:tc>
          <w:tcPr>
            <w:tcW w:w="5080" w:type="dxa"/>
            <w:vAlign w:val="bottom"/>
          </w:tcPr>
          <w:p>
            <w:pPr>
              <w:spacing w:after="0"/>
              <w:rPr>
                <w:sz w:val="20"/>
                <w:szCs w:val="20"/>
                <w:color w:val="auto"/>
              </w:rPr>
            </w:pPr>
            <w:r>
              <w:rPr>
                <w:rFonts w:ascii="Arial" w:cs="Arial" w:eastAsia="Arial" w:hAnsi="Arial"/>
                <w:sz w:val="18"/>
                <w:szCs w:val="18"/>
                <w:color w:val="auto"/>
              </w:rPr>
              <w:t>Capitalized portion of research and development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$ 15,414</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Expensed portion of research and development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19,864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26,736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29,098</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15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24,734</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36,252</w:t>
            </w:r>
          </w:p>
        </w:tc>
        <w:tc>
          <w:tcPr>
            <w:tcW w:w="1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$ 44,512</w:t>
            </w:r>
          </w:p>
        </w:tc>
      </w:tr>
    </w:tbl>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General and administrative expenses consist primarily of other employee-related costs, including wages, stock-based compensation, bonuses and benefits for our administrative, finance, accounting, and human resources departments. Additional expenses include consulting and professional fees, occupancy costs, insurance and other corporate expenses.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expect our general and administrative expenses to continue to increase in absolute dollars as a result of our operations as a public company. These expenses include costs associated with compliance with regulations governing public companies, costs of directors’ and officers’ liability insurance and professional services expenses.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Other income (expense) generally consists of interest income related to interest received on our cash and cash equivalents, net of losses on disposals of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660" w:type="dxa"/>
            <w:vAlign w:val="bottom"/>
            <w:tcBorders>
              <w:bottom w:val="single" w:sz="8" w:color="auto"/>
            </w:tcBorders>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3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Revenues: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142,168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217,416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284,817</w:t>
            </w: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r>
      <w:tr>
        <w:trPr>
          <w:trHeight w:val="210"/>
        </w:trPr>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144,069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220,104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288,448</w:t>
            </w: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11,562</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152,698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230,701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300,010</w:t>
            </w: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Cost of revenues: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85,399</w:t>
            </w: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31,954</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38,588</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123,987</w:t>
            </w:r>
          </w:p>
        </w:tc>
      </w:tr>
      <w:tr>
        <w:trPr>
          <w:trHeight w:val="21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132,616</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176,023</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77,506</w:t>
            </w: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29,098</w:t>
            </w: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62,123</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95,723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136,166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168,727</w:t>
            </w: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Operating income (loss)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(13,921)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7,296</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(13,867)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7,369</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Net income (loss)</w:t>
            </w:r>
          </w:p>
        </w:tc>
        <w:tc>
          <w:tcPr>
            <w:tcW w:w="2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(13,972)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r>
      <w:tr>
        <w:trPr>
          <w:trHeight w:val="864"/>
        </w:trPr>
        <w:tc>
          <w:tcPr>
            <w:tcW w:w="3960" w:type="dxa"/>
            <w:vAlign w:val="bottom"/>
          </w:tcPr>
          <w:p>
            <w:pPr>
              <w:spacing w:after="0"/>
              <w:rPr>
                <w:sz w:val="24"/>
                <w:szCs w:val="24"/>
                <w:color w:val="auto"/>
              </w:rPr>
            </w:pPr>
          </w:p>
        </w:tc>
        <w:tc>
          <w:tcPr>
            <w:tcW w:w="2420" w:type="dxa"/>
            <w:vAlign w:val="bottom"/>
          </w:tcPr>
          <w:p>
            <w:pPr>
              <w:jc w:val="right"/>
              <w:ind w:right="167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29"/>
        </w:trPr>
        <w:tc>
          <w:tcPr>
            <w:tcW w:w="396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 for each of the periods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4"/>
                <w:szCs w:val="14"/>
                <w:b w:val="1"/>
                <w:bCs w:val="1"/>
                <w:color w:val="auto"/>
                <w:w w:val="94"/>
              </w:rPr>
              <w:t>Year Ended June 30,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bottom w:val="single" w:sz="8" w:color="auto"/>
            </w:tcBorders>
            <w:gridSpan w:val="3"/>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w w:val="83"/>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Recurring fees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93 %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4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w w:val="91"/>
              </w:rPr>
              <w:t>Interest income on funds held for clients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6"/>
              </w:rPr>
              <w:t>1 %</w:t>
            </w:r>
          </w:p>
        </w:tc>
        <w:tc>
          <w:tcPr>
            <w:tcW w:w="1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recurring revenues</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94</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Implementation services and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6 %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6"/>
              </w:rPr>
              <w:t>5 %</w:t>
            </w:r>
          </w:p>
        </w:tc>
        <w:tc>
          <w:tcPr>
            <w:tcW w:w="1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Recurring 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30 %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4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Implementation services and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87"/>
              </w:rPr>
              <w:t>16 %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46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54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87"/>
              </w:rPr>
              <w:t>28 %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27 %</w:t>
            </w:r>
          </w:p>
        </w:tc>
        <w:tc>
          <w:tcPr>
            <w:tcW w:w="1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13 %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87"/>
              </w:rPr>
              <w:t>22 %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21 %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63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w w:val="90"/>
              </w:rPr>
              <w:t>(9)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0 %</w:t>
            </w:r>
          </w:p>
        </w:tc>
        <w:tc>
          <w:tcPr>
            <w:tcW w:w="14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0"/>
              </w:rPr>
              <w:t>(9)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0 %</w:t>
            </w:r>
          </w:p>
        </w:tc>
        <w:tc>
          <w:tcPr>
            <w:tcW w:w="14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80" w:type="dxa"/>
            <w:vAlign w:val="bottom"/>
            <w:gridSpan w:val="9"/>
          </w:tcPr>
          <w:p>
            <w:pPr>
              <w:spacing w:after="0"/>
              <w:rPr>
                <w:sz w:val="20"/>
                <w:szCs w:val="20"/>
                <w:color w:val="auto"/>
              </w:rPr>
            </w:pPr>
            <w:r>
              <w:rPr>
                <w:rFonts w:ascii="Arial" w:cs="Arial" w:eastAsia="Arial" w:hAnsi="Arial"/>
                <w:sz w:val="18"/>
                <w:szCs w:val="18"/>
                <w:b w:val="1"/>
                <w:bCs w:val="1"/>
                <w:color w:val="auto"/>
                <w:w w:val="95"/>
              </w:rPr>
              <w:t>Comparison of Fiscal Years Ended June 30, 2015, 2016 and 2017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w w:val="93"/>
              </w:rPr>
              <w:t>Year Ended June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4"/>
              </w:rPr>
              <w:t>Change from</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6"/>
              </w:rPr>
              <w:t>2015 to 2016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9"/>
          </w:tcPr>
          <w:p>
            <w:pPr>
              <w:jc w:val="right"/>
              <w:ind w:right="240"/>
              <w:spacing w:after="0"/>
              <w:rPr>
                <w:sz w:val="20"/>
                <w:szCs w:val="20"/>
                <w:color w:val="auto"/>
              </w:rPr>
            </w:pPr>
            <w:r>
              <w:rPr>
                <w:rFonts w:ascii="Arial" w:cs="Arial" w:eastAsia="Arial" w:hAnsi="Arial"/>
                <w:sz w:val="14"/>
                <w:szCs w:val="14"/>
                <w:b w:val="1"/>
                <w:bCs w:val="1"/>
                <w:color w:val="auto"/>
              </w:rPr>
              <w:t>2016 to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142,168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217,416</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284,817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$ 75,248</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53</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$ 67,401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18"/>
                <w:szCs w:val="18"/>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8"/>
                <w:szCs w:val="18"/>
                <w:color w:val="auto"/>
              </w:rPr>
              <w:t>93 %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7"/>
              </w:rPr>
              <w:t>Interest income on funds held for clients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6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18"/>
                <w:szCs w:val="18"/>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6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6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Recurring fees for the year ended June 30, 2017 increased by $67.4 million, or 31%, to $284.8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$217.4 million for the year ended June 30, 2016. Recurring fees increased primarily as a result of incremental revenues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and existing clients, including revenue related to our ACA compliance solution offered to new and existing clients,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we launched in fiscal 2016 and experienced significant penetration beginning in the second quarter of fiscal 2016.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client count at June 30, 2017 increased by 16% to approximately 14,550 from approximately 12,500 at June 30, 2016.</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Recurring fees for the year ended June 30, 2016 increased by $75.2 million, or 53%, to $217.4 million from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$142.2 million for the year ended June 30, 2015. Recurring fees increased primarily as a result of incremental revenues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and existing clients, including revenue related to our ACA compliance solution offered to new and existing clients,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which we launched in fiscal 2016. Our client count at June 30, 2016 increased by 21% to approximately 12,500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10,350 at June 30, 2015.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520" w:firstLine="648"/>
        <w:spacing w:after="0" w:line="286" w:lineRule="auto"/>
        <w:rPr>
          <w:sz w:val="20"/>
          <w:szCs w:val="20"/>
          <w:color w:val="auto"/>
        </w:rPr>
      </w:pPr>
      <w:r>
        <w:rPr>
          <w:rFonts w:ascii="Arial" w:cs="Arial" w:eastAsia="Arial" w:hAnsi="Arial"/>
          <w:sz w:val="17"/>
          <w:szCs w:val="17"/>
          <w:color w:val="auto"/>
        </w:rPr>
        <w:t>Interest income on funds held for clients for the year ended June 30, 2017 increased by $0.9 million, or 35%, to $3.6 million from $2.7 million for the year ended June 30, 2016. Interest income increased primarily as a result of an increased average daily balance of funds held due to the addition of new clients to our client base.</w:t>
      </w:r>
    </w:p>
    <w:p>
      <w:pPr>
        <w:spacing w:after="0" w:line="166" w:lineRule="exact"/>
        <w:rPr>
          <w:sz w:val="20"/>
          <w:szCs w:val="20"/>
          <w:color w:val="auto"/>
        </w:rPr>
      </w:pPr>
    </w:p>
    <w:p>
      <w:pPr>
        <w:ind w:right="520" w:firstLine="648"/>
        <w:spacing w:after="0" w:line="286" w:lineRule="auto"/>
        <w:rPr>
          <w:sz w:val="20"/>
          <w:szCs w:val="20"/>
          <w:color w:val="auto"/>
        </w:rPr>
      </w:pPr>
      <w:r>
        <w:rPr>
          <w:rFonts w:ascii="Arial" w:cs="Arial" w:eastAsia="Arial" w:hAnsi="Arial"/>
          <w:sz w:val="17"/>
          <w:szCs w:val="17"/>
          <w:color w:val="auto"/>
        </w:rPr>
        <w:t>Interest income on funds held for clients for the year ended June 30, 2016 increased by $0.8 million, or 41%, to $2.7 million from $1.9 million for the year ended June 30, 2015. Interest income increased primarily as a result of an increased average daily balance of funds held due to the addition of new clients to our client base.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6"/>
          <w:szCs w:val="16"/>
          <w:color w:val="auto"/>
        </w:rPr>
        <w:t>Implementation services and other revenue for the year ended June 30, 2017 increased by $1.0 million, or 9%, to $11.6 million from $10.6 million for the year ended June 30, 2016. Implementation services and other revenue increased primarily as a result of an increase in the number of new clients during fiscal 2017 as compared to fiscal 2016.</w:t>
      </w:r>
    </w:p>
    <w:p>
      <w:pPr>
        <w:spacing w:after="0" w:line="147"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Implementation services and other revenue for the year ended June 30, 2016 increased by $2.0 million, or 23%, to $10.6 million from $8.6 million for the year ended June 30, 2015. Implementation services and other revenue increased primarily as a result of an increase in the number of new clients during fiscal 2016 as compared to fiscal 2015.</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Year Ended June 30,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Change from</w:t>
            </w:r>
          </w:p>
        </w:tc>
        <w:tc>
          <w:tcPr>
            <w:tcW w:w="80" w:type="dxa"/>
            <w:vAlign w:val="bottom"/>
          </w:tcPr>
          <w:p>
            <w:pPr>
              <w:spacing w:after="0"/>
              <w:rPr>
                <w:sz w:val="14"/>
                <w:szCs w:val="14"/>
                <w:color w:val="auto"/>
              </w:rPr>
            </w:pPr>
          </w:p>
        </w:tc>
        <w:tc>
          <w:tcPr>
            <w:tcW w:w="130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2015 to 2016</w:t>
            </w:r>
          </w:p>
        </w:tc>
        <w:tc>
          <w:tcPr>
            <w:tcW w:w="80" w:type="dxa"/>
            <w:vAlign w:val="bottom"/>
          </w:tcPr>
          <w:p>
            <w:pPr>
              <w:spacing w:after="0"/>
              <w:rPr>
                <w:sz w:val="14"/>
                <w:szCs w:val="14"/>
                <w:color w:val="auto"/>
              </w:rPr>
            </w:pPr>
          </w:p>
        </w:tc>
        <w:tc>
          <w:tcPr>
            <w:tcW w:w="130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2016 to 2017</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$ 46,366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$ 66,131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$ 85,399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$ 19,765</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$ 19,268</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26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32 %</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30 %</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68 %</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70 %</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6"/>
              </w:rPr>
              <w:t>Cost of implementation services and other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$ 24,530</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$ 31,954</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$ 38,588</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7,424</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6,634</w:t>
            </w:r>
          </w:p>
        </w:tc>
        <w:tc>
          <w:tcPr>
            <w:tcW w:w="1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7"/>
              </w:rPr>
              <w:t>21 %</w:t>
            </w: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6"/>
              </w:rPr>
              <w:t>Percentage of implementation services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other</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284 %</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302 %</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334 %</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(184)%</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(202)%</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Cost of recurring revenues for the year ended June 30, 2017 increased by $19.3 million, or 29%, to $85.4 million from $66.1 million for the year ended June 30, 2016. Cost of recurring revenues increased primarily as a result of the continued growth of our business, in particular $8.8 million in additional employee-related costs resulting from additional personnel to provide services to new and existing clients, $5.9 million in delivery and other processing-related fees and $4.0 million in increased internal-use software amortization. Recurring gross margin was 70% in both fiscal 2016 and 2017.</w:t>
      </w:r>
    </w:p>
    <w:p>
      <w:pPr>
        <w:spacing w:after="0" w:line="158"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Cost of recurring revenues for the year ended June 30, 2016 increased by $19.8 million, or 43%, to $66.1 million from $46.4 million for the year ended June 30, 2015. Cost of recurring revenues increased primarily as a result of the continued growth of our business, in particular $10.8 million in additional employee-related costs resulting from additional personnel to provide services to new and existing clients, $8.3 million in delivery and other processing-related fees and $2.8 million in increased internal-use software amortization, partially offset by a $2.3 million decrease</w:t>
      </w:r>
    </w:p>
    <w:p>
      <w:pPr>
        <w:spacing w:after="0" w:line="38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00"/>
          </w:cols>
          <w:pgMar w:left="1420" w:top="125" w:right="127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in reseller expenses primarily due to our acquisition of our remaining reseller during fiscal 2015. Recurring gross margin increased by 2% from 68% in fiscal 2015 to 70% in fiscal 2016 primarily due to a 2% reduction in reseller expenses as a percentage of total recurring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Cost of implementation services and other for the year ended June 30, 2017 increased by $6.6 million, or 21%, to $38.6 million from $32.0 million for the year ended June 30, 2016. Cost of implementation services and other increased primarily due to an increase in new clients during fiscal 2017, and a corresponding increase of $5.6 million in employee-related costs to implement our solutions for new and existing clients.</w:t>
      </w:r>
    </w:p>
    <w:p>
      <w:pPr>
        <w:spacing w:after="0" w:line="18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Cost of implementation services and other for the year ended June 30, 2016 increased by $7.4 million, or 30%, to $32.0 million from $24.5 million for the year ended June 30, 2015. Cost of implementation services and other increased primarily due to an increase in new clients during fiscal 2016, and a corresponding increase of $7.5 million in employee-related costs to implement our solutions for new and existing clients.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Year Ended June 30,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ind w:left="160"/>
              <w:spacing w:after="0"/>
              <w:rPr>
                <w:sz w:val="20"/>
                <w:szCs w:val="20"/>
                <w:color w:val="auto"/>
              </w:rPr>
            </w:pPr>
            <w:r>
              <w:rPr>
                <w:rFonts w:ascii="Arial" w:cs="Arial" w:eastAsia="Arial" w:hAnsi="Arial"/>
                <w:sz w:val="14"/>
                <w:szCs w:val="14"/>
                <w:b w:val="1"/>
                <w:bCs w:val="1"/>
                <w:color w:val="auto"/>
              </w:rPr>
              <w:t>Change from</w:t>
            </w:r>
          </w:p>
        </w:tc>
        <w:tc>
          <w:tcPr>
            <w:tcW w:w="80" w:type="dxa"/>
            <w:vAlign w:val="bottom"/>
          </w:tcPr>
          <w:p>
            <w:pPr>
              <w:spacing w:after="0"/>
              <w:rPr>
                <w:sz w:val="14"/>
                <w:szCs w:val="14"/>
                <w:color w:val="auto"/>
              </w:rPr>
            </w:pPr>
          </w:p>
        </w:tc>
        <w:tc>
          <w:tcPr>
            <w:tcW w:w="1300" w:type="dxa"/>
            <w:vAlign w:val="bottom"/>
            <w:gridSpan w:val="4"/>
          </w:tcPr>
          <w:p>
            <w:pPr>
              <w:ind w:left="16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2015 to 2016</w:t>
            </w:r>
          </w:p>
        </w:tc>
        <w:tc>
          <w:tcPr>
            <w:tcW w:w="80" w:type="dxa"/>
            <w:vAlign w:val="bottom"/>
          </w:tcPr>
          <w:p>
            <w:pPr>
              <w:spacing w:after="0"/>
              <w:rPr>
                <w:sz w:val="14"/>
                <w:szCs w:val="14"/>
                <w:color w:val="auto"/>
              </w:rPr>
            </w:pPr>
          </w:p>
        </w:tc>
        <w:tc>
          <w:tcPr>
            <w:tcW w:w="1300" w:type="dxa"/>
            <w:vAlign w:val="bottom"/>
            <w:gridSpan w:val="4"/>
          </w:tcPr>
          <w:p>
            <w:pPr>
              <w:ind w:left="180"/>
              <w:spacing w:after="0"/>
              <w:rPr>
                <w:sz w:val="20"/>
                <w:szCs w:val="20"/>
                <w:color w:val="auto"/>
              </w:rPr>
            </w:pPr>
            <w:r>
              <w:rPr>
                <w:rFonts w:ascii="Arial" w:cs="Arial" w:eastAsia="Arial" w:hAnsi="Arial"/>
                <w:sz w:val="14"/>
                <w:szCs w:val="14"/>
                <w:b w:val="1"/>
                <w:bCs w:val="1"/>
                <w:color w:val="auto"/>
              </w:rPr>
              <w:t>2016 to 2017</w:t>
            </w: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$ 43,035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$ 61,832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$ 77,506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$ 18,797</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$ 15,674</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28 %</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27 %</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Sales and marketing expenses for the year ended June 30, 2017 increased by $15.7 million, or 25%, to $77.5 million from $61.8 million for the year ended June 30, 2016. The increase in sales and marketing expenses in fiscal 2017 was primarily the result of $12.0 million of additional employee-related costs from the expansion of our sales team by 81 personnel (including management, sales engineers, direct sales, sales administration and sales lead generation support). The increase was also attributable to $1.8 million of stock-based compensation associated with our equity incentive plan.</w:t>
      </w:r>
    </w:p>
    <w:p>
      <w:pPr>
        <w:spacing w:after="0" w:line="15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Sales and marketing expenses for the year ended June 30, 2016 increased by $18.8 million, or 44%, to $61.8 million from $43.0 million for the year ended June 30, 2015. The increase in sales and marketing expenses in fiscal 2016 was primarily the result of $15.6 million of additional employee-related costs from the expansion of our sales force by 75 personnel (including management, sales engineers, direct sales and sales administration), our sales lead generation group by 14 personnel and our marketing team by 3 personnel. The increase was also attributable to $1.2 million of stock-based compensation associated with our equity incentive plan.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8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Year Ended June 30,</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ind w:left="120"/>
              <w:spacing w:after="0"/>
              <w:rPr>
                <w:sz w:val="20"/>
                <w:szCs w:val="20"/>
                <w:color w:val="auto"/>
              </w:rPr>
            </w:pPr>
            <w:r>
              <w:rPr>
                <w:rFonts w:ascii="Arial" w:cs="Arial" w:eastAsia="Arial" w:hAnsi="Arial"/>
                <w:sz w:val="14"/>
                <w:szCs w:val="14"/>
                <w:b w:val="1"/>
                <w:bCs w:val="1"/>
                <w:color w:val="auto"/>
              </w:rPr>
              <w:t>Change from</w:t>
            </w:r>
          </w:p>
        </w:tc>
        <w:tc>
          <w:tcPr>
            <w:tcW w:w="60" w:type="dxa"/>
            <w:vAlign w:val="bottom"/>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ind w:left="140"/>
              <w:spacing w:after="0"/>
              <w:rPr>
                <w:sz w:val="20"/>
                <w:szCs w:val="20"/>
                <w:color w:val="auto"/>
              </w:rPr>
            </w:pPr>
            <w:r>
              <w:rPr>
                <w:rFonts w:ascii="Arial" w:cs="Arial" w:eastAsia="Arial" w:hAnsi="Arial"/>
                <w:sz w:val="14"/>
                <w:szCs w:val="14"/>
                <w:b w:val="1"/>
                <w:bCs w:val="1"/>
                <w:color w:val="auto"/>
              </w:rPr>
              <w:t>2015 to 2016</w:t>
            </w:r>
          </w:p>
        </w:tc>
        <w:tc>
          <w:tcPr>
            <w:tcW w:w="60" w:type="dxa"/>
            <w:vAlign w:val="bottom"/>
          </w:tcPr>
          <w:p>
            <w:pPr>
              <w:spacing w:after="0"/>
              <w:rPr>
                <w:sz w:val="14"/>
                <w:szCs w:val="14"/>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2016 to 2017</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$ 19,864</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$ 26,736</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$ 29,098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$ 6,872</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$ 2,362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13 %</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11 %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10 %</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Research and development for the year ended June 30, 2017 increased by $2.4 million, or 9%, to $29.1 million from $26.7 million for the year ended June 30, 2016. Research and development costs increased in fiscal 2017 primarily due to $7.2 million of additional employee-related expenses related to 49 additional development personnel and $1.0 million of additional stock-based compensation associated with our equity incentive plan, partially offset by higher year-over-year capitalized internal-use software costs of $6.1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80"/>
          </w:cols>
          <w:pgMar w:left="1420" w:top="125" w:right="129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Research and development for the year ended June 30, 2016 increased by $6.9 million, or 35%, to $26.7 million from $19.9 million for the year ended June 30, 2015. Research and development costs increased in fiscal 2016 primarily due to $9.9 million of additional employee-related expenses related to 54 additional development personnel, partially offset by higher year-over-year capitalized internal-use software costs of $4.2 million.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Year Ended June 30,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Change from</w:t>
            </w:r>
          </w:p>
        </w:tc>
        <w:tc>
          <w:tcPr>
            <w:tcW w:w="60" w:type="dxa"/>
            <w:vAlign w:val="bottom"/>
          </w:tcPr>
          <w:p>
            <w:pPr>
              <w:spacing w:after="0"/>
              <w:rPr>
                <w:sz w:val="14"/>
                <w:szCs w:val="14"/>
                <w:color w:val="auto"/>
              </w:rPr>
            </w:pPr>
          </w:p>
        </w:tc>
        <w:tc>
          <w:tcPr>
            <w:tcW w:w="130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ind w:left="180"/>
              <w:spacing w:after="0"/>
              <w:rPr>
                <w:sz w:val="20"/>
                <w:szCs w:val="20"/>
                <w:color w:val="auto"/>
              </w:rPr>
            </w:pPr>
            <w:r>
              <w:rPr>
                <w:rFonts w:ascii="Arial" w:cs="Arial" w:eastAsia="Arial" w:hAnsi="Arial"/>
                <w:sz w:val="14"/>
                <w:szCs w:val="14"/>
                <w:b w:val="1"/>
                <w:bCs w:val="1"/>
                <w:color w:val="auto"/>
              </w:rPr>
              <w:t>2015 to 2016</w:t>
            </w:r>
          </w:p>
        </w:tc>
        <w:tc>
          <w:tcPr>
            <w:tcW w:w="60" w:type="dxa"/>
            <w:vAlign w:val="bottom"/>
          </w:tcPr>
          <w:p>
            <w:pPr>
              <w:spacing w:after="0"/>
              <w:rPr>
                <w:sz w:val="14"/>
                <w:szCs w:val="14"/>
                <w:color w:val="auto"/>
              </w:rPr>
            </w:pPr>
          </w:p>
        </w:tc>
        <w:tc>
          <w:tcPr>
            <w:tcW w:w="130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2016 to 2017</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$ 32,824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$ 47,598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$ 62,123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$ 14,774</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$ 14,525</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22 %</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21 %</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for the year ended June 30, 2017 increased by $14.5 million, or 31%,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$62.1 million from $47.6 million for the year ended June 30, 2016. General and administrative expenses increased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$6.3 million of additional stock-based compensation costs, of which $2.9 million is related to modified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awards as explained in Note 13 of the Notes to the Consolidated Financial Statements included in Part II, Item 8: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and Supplementary Data”, $3.9 million of increased occupancy costs incurred as a result of our requirement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office space and $3.8 million of additional employee-related expenses including the addition of 14 personnel.</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for the year ended June 30, 2016 increased by $14.8 million, or 45%,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$47.6 million from $32.8 million for the year ended June 30, 2015. General and administrative expenses increased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$6.7 million of additional employee-related expenses relating to 36 additional personnel, $2.9 million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stock-based compensation costs, $1.5 million of increased occupancy costs incurred as a result of our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office space and $1.3 million of increased professional services fees.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 from</w:t>
            </w:r>
          </w:p>
        </w:tc>
        <w:tc>
          <w:tcPr>
            <w:tcW w:w="140" w:type="dxa"/>
            <w:vAlign w:val="bottom"/>
          </w:tcPr>
          <w:p>
            <w:pPr>
              <w:spacing w:after="0"/>
              <w:rPr>
                <w:sz w:val="14"/>
                <w:szCs w:val="14"/>
                <w:color w:val="auto"/>
              </w:rPr>
            </w:pPr>
          </w:p>
        </w:tc>
        <w:tc>
          <w:tcPr>
            <w:tcW w:w="1200" w:type="dxa"/>
            <w:vAlign w:val="bottom"/>
            <w:gridSpan w:val="4"/>
          </w:tcPr>
          <w:p>
            <w:pPr>
              <w:ind w:left="1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2015 to 2016</w:t>
            </w:r>
          </w:p>
        </w:tc>
        <w:tc>
          <w:tcPr>
            <w:tcW w:w="140" w:type="dxa"/>
            <w:vAlign w:val="bottom"/>
          </w:tcPr>
          <w:p>
            <w:pPr>
              <w:spacing w:after="0"/>
              <w:rPr>
                <w:sz w:val="14"/>
                <w:szCs w:val="14"/>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2016 to 2017</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(178)</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$ 197</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740" w:type="dxa"/>
            <w:vAlign w:val="bottom"/>
            <w:gridSpan w:val="3"/>
          </w:tcPr>
          <w:p>
            <w:pPr>
              <w:jc w:val="right"/>
              <w:ind w:right="80"/>
              <w:spacing w:after="0"/>
              <w:rPr>
                <w:sz w:val="20"/>
                <w:szCs w:val="20"/>
                <w:color w:val="auto"/>
              </w:rPr>
            </w:pPr>
            <w:r>
              <w:rPr>
                <w:rFonts w:ascii="Arial" w:cs="Arial" w:eastAsia="Arial" w:hAnsi="Arial"/>
                <w:sz w:val="18"/>
                <w:szCs w:val="18"/>
                <w:color w:val="auto"/>
              </w:rPr>
              <w:t>0 %</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Other income (expense) for the year ended June 30, 2017 increased by $0.2 million as compared to the year ended June 30, 2016. Other income (expense) for the year ended June 30, 2017 primarily consists of interest income earned on our cash and cash equivalents, partially offset by loss on the disposal of property and equipment.</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Other income (expense) for the year ended June 30, 2016 decreased by $0.2 million as compared to the year ended June 30, 2015. Other income (expense) for the year ended June 30, 2016 primarily consists of loss on the disposal of property and equipment, partially offset by interest income earned on our cash and cash equivalents.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20" w:type="dxa"/>
            <w:vAlign w:val="bottom"/>
            <w:gridSpan w:val="7"/>
            <w:vMerge w:val="restart"/>
          </w:tcPr>
          <w:p>
            <w:pPr>
              <w:ind w:left="420"/>
              <w:spacing w:after="0"/>
              <w:rPr>
                <w:sz w:val="20"/>
                <w:szCs w:val="20"/>
                <w:color w:val="auto"/>
              </w:rPr>
            </w:pPr>
            <w:r>
              <w:rPr>
                <w:rFonts w:ascii="Arial" w:cs="Arial" w:eastAsia="Arial" w:hAnsi="Arial"/>
                <w:sz w:val="14"/>
                <w:szCs w:val="14"/>
                <w:b w:val="1"/>
                <w:bCs w:val="1"/>
                <w:color w:val="auto"/>
                <w:w w:val="93"/>
              </w:rPr>
              <w:t>Year Ended 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Change from</w:t>
            </w:r>
          </w:p>
        </w:tc>
        <w:tc>
          <w:tcPr>
            <w:tcW w:w="40" w:type="dxa"/>
            <w:vAlign w:val="bottom"/>
          </w:tcPr>
          <w:p>
            <w:pPr>
              <w:spacing w:after="0"/>
              <w:rPr>
                <w:sz w:val="14"/>
                <w:szCs w:val="14"/>
                <w:color w:val="auto"/>
              </w:rPr>
            </w:pPr>
          </w:p>
        </w:tc>
        <w:tc>
          <w:tcPr>
            <w:tcW w:w="1300" w:type="dxa"/>
            <w:vAlign w:val="bottom"/>
            <w:gridSpan w:val="4"/>
          </w:tcPr>
          <w:p>
            <w:pPr>
              <w:ind w:left="14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2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2015 to 2016</w:t>
            </w:r>
          </w:p>
        </w:tc>
        <w:tc>
          <w:tcPr>
            <w:tcW w:w="40" w:type="dxa"/>
            <w:vAlign w:val="bottom"/>
          </w:tcPr>
          <w:p>
            <w:pPr>
              <w:spacing w:after="0"/>
              <w:rPr>
                <w:sz w:val="14"/>
                <w:szCs w:val="14"/>
                <w:color w:val="auto"/>
              </w:rPr>
            </w:pPr>
          </w:p>
        </w:tc>
        <w:tc>
          <w:tcPr>
            <w:tcW w:w="1300" w:type="dxa"/>
            <w:vAlign w:val="bottom"/>
            <w:gridSpan w:val="4"/>
          </w:tcPr>
          <w:p>
            <w:pPr>
              <w:ind w:left="160"/>
              <w:spacing w:after="0"/>
              <w:rPr>
                <w:sz w:val="20"/>
                <w:szCs w:val="20"/>
                <w:color w:val="auto"/>
              </w:rPr>
            </w:pPr>
            <w:r>
              <w:rPr>
                <w:rFonts w:ascii="Arial" w:cs="Arial" w:eastAsia="Arial" w:hAnsi="Arial"/>
                <w:sz w:val="14"/>
                <w:szCs w:val="14"/>
                <w:b w:val="1"/>
                <w:bCs w:val="1"/>
                <w:color w:val="auto"/>
              </w:rPr>
              <w:t>2016 to 2017</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8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Income tax expense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$ 105</w:t>
            </w: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$ 177</w:t>
            </w:r>
          </w:p>
        </w:tc>
        <w:tc>
          <w:tcPr>
            <w:tcW w:w="2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$ 651</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72</w:t>
            </w: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69 %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$ 474</w:t>
            </w: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8"/>
              </w:rPr>
              <w:t>Percentage of total revenues</w:t>
            </w:r>
          </w:p>
        </w:tc>
        <w:tc>
          <w:tcPr>
            <w:tcW w:w="2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0 %</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0 %</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Income tax expense for the year ended June 30, 2017 was higher due to the generation of net income for fiscal 2017 as compared to the year ended June 30, 2016.</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Income tax expense for the year ended June 30, 2016 was not materially different as compared to the year ended June 30, 2015.</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See Note 11 of the Notes to Consolidated Financial Statements included in Part II, Item 8: “Financial Statements and Supplementary Data” of this Annual Report on Form 10-K for further details on the valuation allowance and a reconciliation of the U.S. federal statutory rate to the effective tax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as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340" w:firstLine="648"/>
        <w:spacing w:after="0" w:line="279" w:lineRule="auto"/>
        <w:rPr>
          <w:sz w:val="20"/>
          <w:szCs w:val="20"/>
          <w:color w:val="auto"/>
        </w:rPr>
      </w:pPr>
      <w:r>
        <w:rPr>
          <w:rFonts w:ascii="Arial" w:cs="Arial" w:eastAsia="Arial" w:hAnsi="Arial"/>
          <w:sz w:val="17"/>
          <w:szCs w:val="17"/>
          <w:color w:val="auto"/>
        </w:rPr>
        <w:t>We derive revenues predominantly from recurring revenues associated with our cloud-based payroll and HCM software applications and one-time service fees for implementation of our solutions. Our agreements with clients do not include general rights of return and do not provide clients with the right to take possession of the software supporting the services being provided. As such, revenue is recognized as services are performed.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revenue when all of the following criteria are achieved:</w:t>
      </w:r>
    </w:p>
    <w:p>
      <w:pPr>
        <w:spacing w:after="0" w:line="225" w:lineRule="exact"/>
        <w:rPr>
          <w:sz w:val="20"/>
          <w:szCs w:val="20"/>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is persuasive evidence of an agreement;</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service has been provided to the client;</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fees to be paid by the client is fixed or determinable;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Collection of the fees is reasonably assured.</w:t>
      </w:r>
    </w:p>
    <w:p>
      <w:pPr>
        <w:spacing w:after="0" w:line="21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For arrangements with multiple-elements, we recognize revenues in accordance with Accounting Standards Update (ASU)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For each agreement, we evaluate whether the individual deliverables qualify as separate units of accounting. If one or more of the deliverables does not have standalone value upon delivery, the deliverables that do not have standalone value are generally combined and treated as a single unit of accounting. Revenue for arrangements treated as a single unit of accounting is generally recognized within the same month that the services are rendered given that the agreements are cancellable with 60 days’ or less notice.</w:t>
      </w:r>
    </w:p>
    <w:p>
      <w:pPr>
        <w:spacing w:after="0" w:line="165" w:lineRule="exact"/>
        <w:rPr>
          <w:sz w:val="20"/>
          <w:szCs w:val="20"/>
          <w:color w:val="auto"/>
        </w:rPr>
      </w:pPr>
    </w:p>
    <w:p>
      <w:pPr>
        <w:jc w:val="both"/>
        <w:ind w:right="360" w:firstLine="648"/>
        <w:spacing w:after="0" w:line="257" w:lineRule="auto"/>
        <w:rPr>
          <w:sz w:val="20"/>
          <w:szCs w:val="20"/>
          <w:color w:val="auto"/>
        </w:rPr>
      </w:pPr>
      <w:r>
        <w:rPr>
          <w:rFonts w:ascii="Arial" w:cs="Arial" w:eastAsia="Arial" w:hAnsi="Arial"/>
          <w:sz w:val="18"/>
          <w:szCs w:val="18"/>
          <w:color w:val="auto"/>
        </w:rPr>
        <w:t>In determining whether revenues from implementation services can be accounted for separately from recurring revenues, we consider the nature of the implementation services and the availability of the implementation services from other vendors. We established standalone value for implementation primarily due to the historical activity of third-party vendors that performed these services and as such, account for such implementation services separate from the recurring revenues.</w:t>
      </w:r>
    </w:p>
    <w:p>
      <w:pPr>
        <w:spacing w:after="0" w:line="188"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If we determine that the services have standalone value upon delivery, we account for each separately and revenues are recognized as the services are delivered with allocation of consideration based on the relative selling price method. That method requires the selling price of each element in a multiple deliverable arrangement to be based on, 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descending order: (i) vendor- specific objective evidence of fair value, or VSOE, (ii) third-party evidence of fair value, or TPE, or (iii) management’s best estimate of the selling price, or BESP.</w:t>
      </w:r>
    </w:p>
    <w:p>
      <w:pPr>
        <w:spacing w:after="0" w:line="170"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We are not able to demonstrate VSOE of selling price with respect to our recurring fees paid for our solutions because the deliverables are sold across an insufficiently narrow range of prices on a stand-alone basis. We are also not able to demonstrate TPE for subscription fees because no third-party offerings are reasonably comparable to our product offerings. We thus establish BESP by service offering, requiring the use of significant estimates and judgment. To determine BESP, we consider numerous factors, including the nature of the deliverables themselves, the geography for the sale, internal costs, and pricing and discounting practices utilized by our direct sales force. Arrangement consideration is allocated to each deliverable based on the established BESP and subject to the limitation that because the arrangements are cancellable with</w:t>
      </w:r>
    </w:p>
    <w:p>
      <w:pPr>
        <w:spacing w:after="0" w:line="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60 days’ or less notice, recurring revenue is not allocated to any deliverable until the consideration has been earned, typically with each payroll cycle or monthly, depending on the service.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 and Long-Lived Assets</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state property and equipment at cost. We calculate depreciation on property and equipment using a straight-line method over the estimated useful lives of the assets, generally three to seven years for most classes of assets, or over the term of the related lease for leasehold improvements. We recognized depreciation expense of $5.1 million, $6.9 million and $10.1 million during the years ended June 30, 2015, 2016, and 2017, respectively.</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review long-lived assets, such as property and equipment, for impairment whenever events or changes in circumstances indicate that the carrying amount of an asset may not be recoverable. If circumstances require a long-lived asset or asset group be tested for possible impairment, we first compare the undiscounted cash flows expected to be generated by that asset or asset group to its carrying amount. If the carrying amount of the long-lived asset or asset group is not recoverable on an undiscounted cash flow basis, we recognize impairment to the extent that the carrying amount exceeds its fair value. We determine fair value through various valuation techniques including discounted cash flow models, quoted market values and third-party independent appraisals, as considered necessary. There were no impairments of long-lived assets during the years ended June 30, 2015, 2016 or 2017.</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225"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 xml:space="preserve">We apply ASC 350-40, </w:t>
      </w: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 to the accounting for costs of internal-use software. Software development costs are capitalized when application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166"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Internal-use software is amortized on a straight-line basis, generally over a 24-month period. We evaluate the useful lives of these assets on an annual basis and test for impairments whenever events or changes in circumstances occur that could impact the recoverability of these assets. There were no impairments to capitalized internal-use software during the years ended June 30, 2015, 2016 or 2017. We capitalized $4.9 million, $9.5 million, and $15.4 million of internal-use software costs for the years ended June 30, 2015, 2016 and 2017, respectively, including stock-based compensation costs of $0.7 million, $1.1 million and $1.8 million in the years ended June 30, 2015, 2016 and 2017, respectively. We amortized $2.6 million, $5.4 million, and $9.4 million of capitalized internal-use software costs for the years ended June 30, 2015,</w:t>
      </w:r>
    </w:p>
    <w:p>
      <w:pPr>
        <w:spacing w:after="0" w:line="3" w:lineRule="exact"/>
        <w:rPr>
          <w:sz w:val="20"/>
          <w:szCs w:val="20"/>
          <w:color w:val="auto"/>
        </w:rPr>
      </w:pPr>
    </w:p>
    <w:p>
      <w:pPr>
        <w:jc w:val="both"/>
        <w:ind w:right="80" w:firstLine="45"/>
        <w:spacing w:after="0" w:line="255" w:lineRule="auto"/>
        <w:rPr>
          <w:sz w:val="20"/>
          <w:szCs w:val="20"/>
          <w:color w:val="auto"/>
        </w:rPr>
      </w:pPr>
      <w:r>
        <w:rPr>
          <w:rFonts w:ascii="Arial" w:cs="Arial" w:eastAsia="Arial" w:hAnsi="Arial"/>
          <w:sz w:val="18"/>
          <w:szCs w:val="18"/>
          <w:color w:val="auto"/>
        </w:rPr>
        <w:t>2016 and 2017, respectively. In fiscal 2015, fiscal 2016 and fiscal 2017, we developed significant additional functionality in several of our applications. This development resulted in an increase in capitalized internal-use software costs in fiscal 2017 as compared to fiscal 2016 and in fiscal 2016 as compared to fiscal 2015.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Goodwill is an asset representing the future economic benefits arising from other assets acquired in a business combination that are not individually identified and separately recognized. We have recorded goodwill in connection with the acquisitions of BFKMS, Inc. and Synergy Payroll LLC. Goodwill is not amortized, but instead is tested for impairment at least annually.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provides an entity the option to perform a qualitative assessment to determine whether it is more-likely-than-not that the fair value of a reporting unit is less than its carrying amount prior to performing the two-step impairment test. If the estimated fair value of a reporting unit, including goodwill, is less than its carrying amount, the two-step goodwill impairment test is required. Otherwise, no further analysis is required.</w:t>
      </w:r>
    </w:p>
    <w:p>
      <w:pPr>
        <w:spacing w:after="0" w:line="16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the two-step goodwill impairment test is required, the fair value of the reporting unit is compared with its carrying amount, including goodwill. If the fair value of the reporting unit is less than its carrying amount, an indication of goodwill impairment exists for the reporting unit. In the second step, an impairment loss is recognized for any excess of the carrying amount of the reporting unit’s goodwill over the implied fair value of the goodwill. The implied fair value of goodwill is determined by allocating the fair value of the reporting unit in a manner similar to a purchase price allocation and the residual fair value after this allocation is the implied fair value of the reporting unit goodwill. Fair value of the reporting unit is determined using a discounted cash flow analysis. In the event the fair value of the reporting unit exceeds its carrying amount, step two is not performed.</w:t>
      </w:r>
    </w:p>
    <w:p>
      <w:pPr>
        <w:spacing w:after="0" w:line="19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perform our annual impairment review of goodwill in our fiscal fourth quarter or when a triggering event occurs between annual impairment tests. Based on our qualitative assessments over our single reporting segment, we did not recognize any impairment for fiscal year 2015, 2016 or 2017.</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Intangible assets are comprised primarily of client list acquisitions and are reported net of accumulated amortization on the consolidated balance sheets. Client relationships use the straight-line method of amortization over an accelerated nine-year time frame, while the non-solicitation agreements uses the straight-line method of amortization over two to three year life of the agreements. Amortization expense associated with our intangible assets was $0.9 million during the year ended June 30, 2015 and $1.5 million during the years ended June 30, 2016 and 2017. We test intangible assets for potential impairment when events or changes in circumstances indicate that the carrying value of such assets may not be recoverable. There were no such events or changes in circumstances during the years ended June 30, 2015, 2016 or 2017.</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account for federal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Deferred tax assets may be reduced by a valuation allowance to the extent we determine it is more likely than not that some portion or all of the deferred tax assets will not be realized. The valuation of deferred tax assets requires judgment in assessing the likely future tax consequences of events that have been recognized in our financial statements or tax returns and future profitability. Our accounting for deferred tax consequences represents the best estimate of those future events. Changes in current estimates, due to unanticipated events or otherwise, could have an adverse impact on our financial condition and results of operations.</w:t>
      </w:r>
    </w:p>
    <w:p>
      <w:pPr>
        <w:spacing w:after="0" w:line="17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assessing the need for a valuation allowance, we consider both positive and negative evidence related to the likelihood of realization of the deferred tax assets. The weight given to positive and negative evidence is commensurate with the extent to which the evidence may be objectively verified. As such, it is generally difficult for positive evidence regarding projected future taxable income exclusive of reversing taxable temporary differences to outweigh objective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negative evidence of recent financial reporting losses. Cumulative losses in recent years are significant negative evidence that is difficult to overcome in determining that a valuation allowance is not needed against deferred tax assets.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recognize the effect of income tax positions only if those positions are more likely than not of being sustained.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Recognized income tax positions are measured at the largest amount that is greater than 50% likely of being realized.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recognition or measurement are reflected in the period in which the change in judgment occurs.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maintain a 2008 Equity Incentive Plan (the “2008 Plan”) and a 2014 Equity Incentive Plan (the “2014 Plan”) pursuant to which we have issued options to purchase shares of our common stock and grants of restricted stock awards to employees, officers, directors and consultants. The 2014 Plan serves as the successor to the 2008 Plan and permits the granting of options to purchase common stock and other equity incentives at the discretion of the compensation committee of our board of directors. We will not grant any additional awards under our 2008 Plan, though our 2008 Plan will continue to govern the terms and conditions of all outstanding equity awards granted under the 2008 Plan.</w:t>
      </w:r>
    </w:p>
    <w:p>
      <w:pPr>
        <w:spacing w:after="0" w:line="16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As of June 30, 2017, options to purchase 2.8 million shares of our common stock were outstanding, 1.5</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million restricted stock units were outstanding and 8.2 million shares of our common stock were reserved for future grant.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data related to stock options granted on the dates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Aug. 18,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 17,</w:t>
            </w:r>
          </w:p>
        </w:tc>
      </w:tr>
      <w:tr>
        <w:trPr>
          <w:trHeight w:val="171"/>
        </w:trPr>
        <w:tc>
          <w:tcPr>
            <w:tcW w:w="414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Fair value of stock</w:t>
            </w:r>
          </w:p>
        </w:tc>
        <w:tc>
          <w:tcPr>
            <w:tcW w:w="2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24.80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35.28</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60" w:type="dxa"/>
            <w:vAlign w:val="bottom"/>
            <w:shd w:val="clear" w:color="auto" w:fill="CCEEFF"/>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Fair value of option</w:t>
            </w:r>
          </w:p>
        </w:tc>
        <w:tc>
          <w:tcPr>
            <w:tcW w:w="2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12.92</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There were no options granted during fiscal 2017. Equity-classified awards are measured at the grant date fair value of the award and expense is recognized, net of assumed forfeitures, on a straight-line basis over the requisite service period for each separately vesting portion of the award. We estimate grant date fair value using the Black-Scholes Option-Pricing Model, or Black-Scholes, which requires the use of certain subjective assumptions. Below is a table of the key weighted-average assumptions used in the option valuation calculation for options issued on the dates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Aug. 18,</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Aug. 17,</w:t>
            </w:r>
          </w:p>
        </w:tc>
      </w:tr>
      <w:tr>
        <w:trPr>
          <w:trHeight w:val="171"/>
        </w:trPr>
        <w:tc>
          <w:tcPr>
            <w:tcW w:w="70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Weighted average expected dividend yield</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expected volatility</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43.9 %</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34.0 %</w:t>
            </w: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Weighted average expected term (years)</w:t>
            </w:r>
          </w:p>
        </w:tc>
        <w:tc>
          <w:tcPr>
            <w:tcW w:w="720" w:type="dxa"/>
            <w:vAlign w:val="bottom"/>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w:t>
            </w:r>
          </w:p>
        </w:tc>
        <w:tc>
          <w:tcPr>
            <w:tcW w:w="34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risk-free interest rate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1.91 %</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1.83 %</w:t>
            </w: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use a dividend yield assumption of zero, as we have never paid regular cash dividends on our common stock since our IPO and presently have no intention of paying any such cash dividends. Since our shares were not publicly traded prior to March 2014, expected volatility is estimated based on the average historical volatility of similar entities with publicly traded shares. The expected life represents the period of time the stock options are expected to be outstanding and is based on the simplified method. Under the simplified method, the expected life of an option is presumed to be the mid-point between the vesting date and the end of the contractual term. Given our limited history of trading as a public company, the Company utilizes the simplified method due to the lack of sufficient historical exercise data to provide a reasonable basis upon which to otherwise estimate the expected life of the stock options. The risk-free rate for the expected term of the option is based on the U.S. Treasury yield curve at the date of grant.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Stock-based compensation expense was $13.2 million, $17.6 million and $26.7 million for the years ended June 30, 2015, 2016 and 2017, respectively. If factors change and we employ different assumptions, stock-based compensation expense may differ from what we have recorded in the past. If there is a difference between the assumptions used in determining stock-based compensation expense and the actual factors, which become known over time, we may change the input factors used in determining stock-based compensation costs for future grants. These changes, if any, may adversely impact our results of operations in the period such changes are made. We expect to continue to grant equity awards in the future, and to the extent that we do, our actual stock-based compensation expense recognized in future periods will likely increase.</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Based on the closing stock price on June 30, 2017 of $45.18, the aggregate intrinsic value of outstanding options to purchase shares of our common stock as of June 30, 2017 was $92.6 million, of which $84.8 million related to vested options and $7.8 million to unvested options. The aggregate intrinsic value of outstanding restricted stock units as of June 30, 2017 was $65.8 million, of which all were unvested.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Offering</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2014, the Company completed a follow-on offering in which it issued and sold 0.8 million shares of common stock and existing shareholders sold 3.9 million shares of common stock at a public offering price of $26.25 per share. The Company did not receive any proceeds from the sale of common stock by the existing shareholders. The Company received net proceeds of $18.4 million after deducting underwriting discounts and commissions of $0.9 million and other offering expenses of $0.4 million.</w:t>
      </w:r>
    </w:p>
    <w:p>
      <w:pPr>
        <w:spacing w:after="0" w:line="18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In January 2015, the underwriters for the Company’s follow-on offering exercised their option to purchase 0.4 million additional shares from certain shareholders of the Company of the 0.7 million available as described in the final prospectus filed with the Securities and Exchange Commission (“SEC”) in December 2014. The Company did not receive any proceeds from the sale of common stock by the existing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September 2015, the Company completed a secondary offering in which its existing shareholders sold 3.7 million shares of common stock at a public offering price of $29.75 per share. The Company did not receive any proceeds from the sale of common stock by the existing shareholders.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October 2015, the underwriters for the Company’s secondary offering exercised their option to purchase 0.6 million additional shares from certain shareholders of the Company as described in the final prospectus filed with the SEC on September 25, 2015. The Company did not receive any proceeds from the sale of common stock by the existing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primary liquidity needs are related to the funding of general business requirements, including working capital requirements, research and development, and capital expenditures. As of June 30, 2017, our principal source of liquidity was $103.5 million of cash and cash equivalents.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application development, data centers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seek to establish borrowing capacity to satisfy those needs.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cash flows from investing and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with each payroll cycle. Funds held for clients are solely for the repayment of client fund obligations.</w:t>
      </w:r>
    </w:p>
    <w:p>
      <w:pPr>
        <w:spacing w:after="0" w:line="187"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We believe our current cash and cash equivalents and cash flow from operations will be sufficient to meet our working capital, capital expenditure and other investment requirements for at least the next 12 months.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Year Ended 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61,980</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internal-use software costs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(16,083)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(21,338)</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Lease allowances used for tenant improvements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320"/>
              <w:spacing w:after="0"/>
              <w:rPr>
                <w:sz w:val="20"/>
                <w:szCs w:val="20"/>
                <w:color w:val="auto"/>
              </w:rPr>
            </w:pPr>
            <w:r>
              <w:rPr>
                <w:rFonts w:ascii="Arial" w:cs="Arial" w:eastAsia="Arial" w:hAnsi="Arial"/>
                <w:sz w:val="18"/>
                <w:szCs w:val="18"/>
                <w:color w:val="auto"/>
              </w:rPr>
              <w:t>Payments for acquisitions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funds held for clients</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(173,958)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(648,403)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297,163</w:t>
            </w:r>
          </w:p>
        </w:tc>
        <w:tc>
          <w:tcPr>
            <w:tcW w:w="80" w:type="dxa"/>
            <w:vAlign w:val="bottom"/>
            <w:shd w:val="clear" w:color="auto" w:fill="CCEEFF"/>
          </w:tcPr>
          <w:p>
            <w:pPr>
              <w:spacing w:after="0"/>
              <w:rPr>
                <w:sz w:val="18"/>
                <w:szCs w:val="18"/>
                <w:color w:val="auto"/>
              </w:rPr>
            </w:pPr>
          </w:p>
        </w:tc>
      </w:tr>
      <w:tr>
        <w:trPr>
          <w:trHeight w:val="210"/>
        </w:trPr>
        <w:tc>
          <w:tcPr>
            <w:tcW w:w="5300" w:type="dxa"/>
            <w:vAlign w:val="bottom"/>
          </w:tcPr>
          <w:p>
            <w:pPr>
              <w:ind w:left="440"/>
              <w:spacing w:after="0"/>
              <w:rPr>
                <w:sz w:val="20"/>
                <w:szCs w:val="20"/>
                <w:color w:val="auto"/>
              </w:rPr>
            </w:pPr>
            <w:r>
              <w:rPr>
                <w:rFonts w:ascii="Arial" w:cs="Arial" w:eastAsia="Arial" w:hAnsi="Arial"/>
                <w:sz w:val="18"/>
                <w:szCs w:val="18"/>
                <w:color w:val="auto"/>
              </w:rPr>
              <w:t>Net cash provided by (used in) investing activities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(199,172)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(673,360)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259,339</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320"/>
              <w:spacing w:after="0"/>
              <w:rPr>
                <w:sz w:val="20"/>
                <w:szCs w:val="20"/>
                <w:color w:val="auto"/>
              </w:rPr>
            </w:pPr>
            <w:r>
              <w:rPr>
                <w:rFonts w:ascii="Arial" w:cs="Arial" w:eastAsia="Arial" w:hAnsi="Arial"/>
                <w:sz w:val="18"/>
                <w:szCs w:val="18"/>
                <w:color w:val="auto"/>
              </w:rPr>
              <w:t>Net change in client fund obligations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173,958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648,403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(297,163)</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follow-on offering, net of issuance costs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ind w:left="320"/>
              <w:spacing w:after="0"/>
              <w:rPr>
                <w:sz w:val="20"/>
                <w:szCs w:val="20"/>
                <w:color w:val="auto"/>
              </w:rPr>
            </w:pPr>
            <w:r>
              <w:rPr>
                <w:rFonts w:ascii="Arial" w:cs="Arial" w:eastAsia="Arial" w:hAnsi="Arial"/>
                <w:sz w:val="18"/>
                <w:szCs w:val="18"/>
                <w:color w:val="auto"/>
              </w:rPr>
              <w:t>Payments on initial public offering costs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3,677</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paid related to net share settlement of equity awards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320"/>
              <w:spacing w:after="0"/>
              <w:rPr>
                <w:sz w:val="20"/>
                <w:szCs w:val="20"/>
                <w:color w:val="auto"/>
              </w:rPr>
            </w:pPr>
            <w:r>
              <w:rPr>
                <w:rFonts w:ascii="Arial" w:cs="Arial" w:eastAsia="Arial" w:hAnsi="Arial"/>
                <w:sz w:val="18"/>
                <w:szCs w:val="18"/>
                <w:color w:val="auto"/>
              </w:rPr>
              <w:t>Excess tax benefits from stock-based compensation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8"/>
                <w:szCs w:val="18"/>
                <w:color w:val="auto"/>
              </w:rPr>
            </w:pPr>
          </w:p>
        </w:tc>
      </w:tr>
      <w:tr>
        <w:trPr>
          <w:trHeight w:val="210"/>
        </w:trPr>
        <w:tc>
          <w:tcPr>
            <w:tcW w:w="5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190,477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645,605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(304,347)</w:t>
            </w:r>
          </w:p>
        </w:tc>
        <w:tc>
          <w:tcPr>
            <w:tcW w:w="80" w:type="dxa"/>
            <w:vAlign w:val="bottom"/>
            <w:tcBorders>
              <w:top w:val="single" w:sz="8" w:color="CCEEFF"/>
            </w:tcBorders>
            <w:shd w:val="clear" w:color="auto" w:fill="CCEEFF"/>
          </w:tcPr>
          <w:p>
            <w:pPr>
              <w:spacing w:after="0"/>
              <w:rPr>
                <w:sz w:val="18"/>
                <w:szCs w:val="18"/>
                <w:color w:val="auto"/>
              </w:rPr>
            </w:pP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7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16,972</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Net cash provided by operating activities was $11.1 million, $33.0 million and $62.0 million for the years ended June 30, 2015, 2016 and 2017, respectively.</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increase in net cash provided by operating activities from fiscal 2016 to fiscal 2017 as well as from fiscal 2015 to fiscal 2016 was primarily due to improved operating results after adjusting for non-cash items, including stock-based compensation expense and depreciation and amortization expense.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cash provided by (used in) investing activities was $(199.2) million, $(673.4) million and $259.3 million, for the years ended June 30, 2015, 2016 and 2017, respectively.</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Changes in net cash provided by (used in) investing activities are significantly influenced by the amount of funds held for clients at the end of a reporting period. Changes in the amount of funds held for clients from period to period will vary substantially as a result of the timing of payroll and tax obligations due. Our payroll processing activities involves the movement of significant funds from the account of an employer to employees and relevant taxing authorities. During the year ended June 30, 2017, we processed over $92 billion in payroll transactions. Though we debit a client’s account prior to any disbursement on its behalf, there is a delay between our payment of amounts due to employees and taxing and other regulatory authorities and when the incoming funds from the client to cover these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amounts payable actually clear into our operating accounts. We currently have agreements with nine banks to execute ACH and wire transfers to support our client payroll and tax services. We believe we have sufficient capacity under these ACH arrangements to handle our transactions for the foreseeable future.</w:t>
      </w:r>
    </w:p>
    <w:p>
      <w:pPr>
        <w:spacing w:after="0" w:line="181"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Excluding the net change in funds held for clients, our net cash used in investing activities was $25.2 million, $25.0 million and $37.8 million, for the years ended June 30, 2015, 2016 and 2017, respectively.</w:t>
      </w:r>
    </w:p>
    <w:p>
      <w:pPr>
        <w:spacing w:after="0" w:line="14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increase in net cash used in investing activities of $932.7 million from fiscal 2016 to fiscal 2017 was primarily due to the timing of receipts and disbursements of cash and cash equivalents held to satisfy client funds obligations of $945.6 million. This was partially offset by increased capitalized internal-use software costs of $5.3 million, increased purchases of property and equipment of $5.3 million and $2.8 million in lease allowances used for tenant improvements. The increase in net cash used in investing activities of $474.2 million from fiscal 2015 to fiscal 2016 was primarily due to the timing of receipts and disbursements of cash and cash equivalents held to satisfy client funds obligations of $474.4 million, increased purchases of property and equipment by $7.1 million and increased capitalized internal-use software costs of $4.2 million, partially offset by a $11.5 million reduction in payments for acquisitions.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Net cash provided by (used in) financing activities was $190.5 million, $645.6 million and $(304.3) million for the years ended June 30, 2015, 2016 and 2017, respectively. Excluding the net change in client fund obligations, net cash provided by (used in) financing activities was $16.5 million, $(2.8) million and $(7.2) million, respectively.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decrease in net cash provided by (used in) financing activities of $(950.0) million from fiscal 2016 to fiscal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2017 was primarily the result of a $945.6 million decrease in funds held for clients and a $5.4 million increase in taxes paid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to employees’ net share settlement of equity awards. The increase in net cash provided by financing activities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$455.1 million from fiscal 2015 to fiscal 2016 was primarily the result of a $474.4 million increase in funds held for clients,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increase in proceeds received as a result of employees’ purchase of shares under the employee stock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partially offset by $18.4 million of proceeds related to the follow-on offering, net of issuance costs during fiscal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 $2.1 million increase in taxes paid related to employees’ net share settlement of equity awards.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June 30,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Payment Due By Fiscal Period</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vMerge w:val="restart"/>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2019-2020</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2021-2022</w:t>
            </w:r>
          </w:p>
        </w:tc>
        <w:tc>
          <w:tcPr>
            <w:tcW w:w="14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2023 and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$ 117,338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$ 7,025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$ 16,927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$ 18,225</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$ 75,161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2,268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$ 119,606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$ 8,294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$ 17,926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$ 18,225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$ 75,161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We expect to increase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$9.0 million,</w:t>
      </w:r>
    </w:p>
    <w:p>
      <w:pPr>
        <w:spacing w:after="0" w:line="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$16.1 million and $21.3 million for the years ended June 30, 2015, 2016 and 2017, respectively, exclusive of capitalized internal-use software costs of $4.2 million, $8.4 million, and $13.6 million for the same periods, respectively. In fiscal 2017, we also purchased $2.8 million in capital expenditures for which we received reimbursement from lease allowances.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Refer to Note 2 of the Notes to the Consolidated Financial Statements included in Part II, Item 8: “Financial Statements and Supplementary Data” for a discussion of recently issued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have operations solely in the United States and are exposed to market risks in the ordinary course of our business. These risks primarily include interest rate and certain exposure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Funds held for clients are held in interest-bearing accounts at financial institutions. As a result of our investing activities, we are exposed to changes in interest rates that may materially affect our results of operations. In a falling rate environment, a decline in interest rates would decrease our interest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consolidated financial statements and accompanying notes set forth on pages F-1 through F-23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Our management, with the participation of our Chief Executive Officer and acting Chief Financial Officer, has evaluated the effectiveness of our disclosure controls and procedures as of June 30, 2017, the end of the period covered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by this Annual Report on Form 10-K. Based upon such evaluation, our Chief Executive Officer and acting Chief Financial Officer has concluded that our disclosure controls and procedures were effective as of such date.</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Management’s Report on Internal Control Over Financial Reporting and Attestation Report of the Registered Public Accounting Firm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management, including our Chief Executive Officer and acting Chief Financial Officer, is responsible for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establishing and maintaining adequate internal control over financial reporting (as defined in Rules 13a-15(f) and 15d-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15(f) under the Exchange Act). Internal control over financial reporting is a process designed to provide reasonable assurance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regarding the reliability of financial reporting and the preparation of financial statements for external purposes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U.S. GAAP. Our internal control over financial reporting includes those policies and procedures that: (i) pertain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maintenance of records that, in reasonable detail, accurately and fairly reflect the transactions and dispositions of our assets;</w:t>
      </w:r>
    </w:p>
    <w:p>
      <w:pPr>
        <w:spacing w:after="0" w:line="32" w:lineRule="exact"/>
        <w:rPr>
          <w:sz w:val="20"/>
          <w:szCs w:val="20"/>
          <w:color w:val="auto"/>
        </w:rPr>
      </w:pPr>
    </w:p>
    <w:p>
      <w:pPr>
        <w:ind w:firstLine="3"/>
        <w:spacing w:after="0" w:line="295"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acting Chief Financial Officer, we conducted an evaluation of the effectiveness of our internal control over financial reporting as of June 30, 2017, based on the framework in Internal Control—Integrated Framework issued by the Committee of Sponsoring Organizations of the Treadway Commission (COSO) (2013 framework). Based on this evaluation under the Internal Control—Integrated Framework our Chief Executive Officer and acting Chief Financial Officer has concluded that our internal control over financial reporting was effective as of June 30, 2017.</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independent registered public accounting firm, which has audited our financial statements, has also audited the effectiveness of our internal control over financial reporting as of June 30, 2017, as stated in their report, which is included in Item 15(a)(1)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during the fiscal quarter ended June 30, 2017,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Controls</w:t>
      </w:r>
    </w:p>
    <w:p>
      <w:pPr>
        <w:spacing w:after="0" w:line="22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10, will be included in our Proxy Statement relating to our 2018 annual meeting of stockholders to be filed with the SEC within 120 days after the end of our fiscal year ended June 30, 2017,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11, will be included in our Proxy Statement relating to our 2018 annual meeting of stockholders to be filed with the SEC within 120 days after the end of our fiscal year ended June 30, 2017,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12, will be included in our Proxy Statement relating to our 2018 annual meeting of stockholders to be filed with the SEC within 120 days after the end of our fiscal year ended June 30, 2017,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13, will be included in our Proxy Statement relating to our 2018 annual meeting of stockholders to be filed with the SEC within 120 days after the end of our fiscal year ended June 30, 2017,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14, will be included in our Proxy Statement relating to our 2018 annual meeting of stockholders to be filed with the SEC within 120 days after the end of our fiscal year ended June 30, 2017, and is incorporated herein by reference.</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2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18"/>
        </w:trPr>
        <w:tc>
          <w:tcPr>
            <w:tcW w:w="846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600" w:type="dxa"/>
            <w:vAlign w:val="bottom"/>
          </w:tcPr>
          <w:p>
            <w:pPr>
              <w:spacing w:after="0"/>
              <w:rPr>
                <w:sz w:val="24"/>
                <w:szCs w:val="24"/>
                <w:color w:val="auto"/>
              </w:rPr>
            </w:pPr>
          </w:p>
        </w:tc>
      </w:tr>
      <w:tr>
        <w:trPr>
          <w:trHeight w:val="230"/>
        </w:trPr>
        <w:tc>
          <w:tcPr>
            <w:tcW w:w="8460" w:type="dxa"/>
            <w:vAlign w:val="bottom"/>
            <w:gridSpan w:val="9"/>
          </w:tcPr>
          <w:p>
            <w:pPr>
              <w:spacing w:after="0"/>
              <w:rPr>
                <w:sz w:val="20"/>
                <w:szCs w:val="20"/>
                <w:color w:val="auto"/>
              </w:rPr>
            </w:pPr>
            <w:r>
              <w:rPr>
                <w:rFonts w:ascii="Arial" w:cs="Arial" w:eastAsia="Arial" w:hAnsi="Arial"/>
                <w:sz w:val="18"/>
                <w:szCs w:val="18"/>
                <w:color w:val="auto"/>
              </w:rPr>
              <w:t>(a)  Documents Filed with Report</w:t>
            </w:r>
          </w:p>
        </w:tc>
        <w:tc>
          <w:tcPr>
            <w:tcW w:w="600" w:type="dxa"/>
            <w:vAlign w:val="bottom"/>
          </w:tcPr>
          <w:p>
            <w:pPr>
              <w:spacing w:after="0"/>
              <w:rPr>
                <w:sz w:val="20"/>
                <w:szCs w:val="20"/>
                <w:color w:val="auto"/>
              </w:rPr>
            </w:pPr>
          </w:p>
        </w:tc>
      </w:tr>
      <w:tr>
        <w:trPr>
          <w:trHeight w:val="432"/>
        </w:trPr>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7700" w:type="dxa"/>
            <w:vAlign w:val="bottom"/>
            <w:gridSpan w:val="7"/>
          </w:tcPr>
          <w:p>
            <w:pPr>
              <w:ind w:left="20"/>
              <w:spacing w:after="0"/>
              <w:rPr>
                <w:sz w:val="20"/>
                <w:szCs w:val="20"/>
                <w:color w:val="auto"/>
              </w:rPr>
            </w:pPr>
            <w:r>
              <w:rPr>
                <w:rFonts w:ascii="Arial" w:cs="Arial" w:eastAsia="Arial" w:hAnsi="Arial"/>
                <w:sz w:val="18"/>
                <w:szCs w:val="18"/>
                <w:i w:val="1"/>
                <w:iCs w:val="1"/>
                <w:color w:val="auto"/>
              </w:rPr>
              <w:t>Financial Statements.</w:t>
            </w:r>
          </w:p>
        </w:tc>
        <w:tc>
          <w:tcPr>
            <w:tcW w:w="60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Report of Independent Registered Public Accounting Firm</w:t>
              </w:r>
            </w:hyperlink>
          </w:p>
        </w:tc>
        <w:tc>
          <w:tcPr>
            <w:tcW w:w="3960" w:type="dxa"/>
            <w:vAlign w:val="bottom"/>
            <w:gridSpan w:val="5"/>
          </w:tcPr>
          <w:p>
            <w:pPr>
              <w:spacing w:after="0"/>
              <w:rPr>
                <w:sz w:val="24"/>
                <w:szCs w:val="24"/>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w w:val="81"/>
              </w:rPr>
              <w:t>F-2</w:t>
            </w:r>
          </w:p>
        </w:tc>
      </w:tr>
      <w:tr>
        <w:trPr>
          <w:trHeight w:val="412"/>
        </w:trPr>
        <w:tc>
          <w:tcPr>
            <w:tcW w:w="280" w:type="dxa"/>
            <w:vAlign w:val="bottom"/>
          </w:tcPr>
          <w:p>
            <w:pPr>
              <w:spacing w:after="0"/>
              <w:rPr>
                <w:sz w:val="24"/>
                <w:szCs w:val="24"/>
                <w:color w:val="auto"/>
              </w:rPr>
            </w:pPr>
          </w:p>
        </w:tc>
        <w:tc>
          <w:tcPr>
            <w:tcW w:w="42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Balance Sheets as of June 30, 2016 and 2017</w:t>
              </w:r>
            </w:hyperlink>
          </w:p>
        </w:tc>
        <w:tc>
          <w:tcPr>
            <w:tcW w:w="3940" w:type="dxa"/>
            <w:vAlign w:val="bottom"/>
            <w:gridSpan w:val="4"/>
          </w:tcPr>
          <w:p>
            <w:pPr>
              <w:spacing w:after="0"/>
              <w:rPr>
                <w:sz w:val="24"/>
                <w:szCs w:val="24"/>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w w:val="81"/>
              </w:rPr>
              <w:t>F-3</w:t>
            </w:r>
          </w:p>
        </w:tc>
      </w:tr>
      <w:tr>
        <w:trPr>
          <w:trHeight w:val="412"/>
        </w:trPr>
        <w:tc>
          <w:tcPr>
            <w:tcW w:w="280" w:type="dxa"/>
            <w:vAlign w:val="bottom"/>
          </w:tcPr>
          <w:p>
            <w:pPr>
              <w:spacing w:after="0"/>
              <w:rPr>
                <w:sz w:val="24"/>
                <w:szCs w:val="24"/>
                <w:color w:val="auto"/>
              </w:rPr>
            </w:pPr>
          </w:p>
        </w:tc>
        <w:tc>
          <w:tcPr>
            <w:tcW w:w="64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Statements of Operations for the years ended June 30, 2015, 2016 and 2017</w:t>
              </w:r>
            </w:hyperlink>
          </w:p>
        </w:tc>
        <w:tc>
          <w:tcPr>
            <w:tcW w:w="1740" w:type="dxa"/>
            <w:vAlign w:val="bottom"/>
            <w:gridSpan w:val="3"/>
          </w:tcPr>
          <w:p>
            <w:pPr>
              <w:spacing w:after="0"/>
              <w:rPr>
                <w:sz w:val="24"/>
                <w:szCs w:val="24"/>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w w:val="81"/>
              </w:rPr>
              <w:t>F-4</w:t>
            </w:r>
          </w:p>
        </w:tc>
      </w:tr>
      <w:tr>
        <w:trPr>
          <w:trHeight w:val="412"/>
        </w:trPr>
        <w:tc>
          <w:tcPr>
            <w:tcW w:w="280" w:type="dxa"/>
            <w:vAlign w:val="bottom"/>
          </w:tcPr>
          <w:p>
            <w:pPr>
              <w:spacing w:after="0"/>
              <w:rPr>
                <w:sz w:val="24"/>
                <w:szCs w:val="24"/>
                <w:color w:val="auto"/>
              </w:rPr>
            </w:pPr>
          </w:p>
        </w:tc>
        <w:tc>
          <w:tcPr>
            <w:tcW w:w="78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Changes Stockholders’ Equity for the years ended June 30, 2015, 2016 and 2017</w:t>
              </w:r>
            </w:hyperlink>
          </w:p>
        </w:tc>
        <w:tc>
          <w:tcPr>
            <w:tcW w:w="34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w w:val="81"/>
              </w:rPr>
              <w:t>F-5</w:t>
            </w:r>
          </w:p>
        </w:tc>
      </w:tr>
      <w:tr>
        <w:trPr>
          <w:trHeight w:val="412"/>
        </w:trPr>
        <w:tc>
          <w:tcPr>
            <w:tcW w:w="280" w:type="dxa"/>
            <w:vAlign w:val="bottom"/>
          </w:tcPr>
          <w:p>
            <w:pPr>
              <w:spacing w:after="0"/>
              <w:rPr>
                <w:sz w:val="24"/>
                <w:szCs w:val="24"/>
                <w:color w:val="auto"/>
              </w:rPr>
            </w:pPr>
          </w:p>
        </w:tc>
        <w:tc>
          <w:tcPr>
            <w:tcW w:w="6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Consolidated Statements of Cash Flows for the years ended June 30, 2015, 2016 and 2017</w:t>
              </w:r>
            </w:hyperlink>
          </w:p>
        </w:tc>
        <w:tc>
          <w:tcPr>
            <w:tcW w:w="1680" w:type="dxa"/>
            <w:vAlign w:val="bottom"/>
            <w:gridSpan w:val="2"/>
          </w:tcPr>
          <w:p>
            <w:pPr>
              <w:spacing w:after="0"/>
              <w:rPr>
                <w:sz w:val="24"/>
                <w:szCs w:val="24"/>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w w:val="81"/>
              </w:rPr>
              <w:t>F-6</w:t>
            </w:r>
          </w:p>
        </w:tc>
      </w:tr>
      <w:tr>
        <w:trPr>
          <w:trHeight w:val="412"/>
        </w:trPr>
        <w:tc>
          <w:tcPr>
            <w:tcW w:w="280" w:type="dxa"/>
            <w:vAlign w:val="bottom"/>
          </w:tcPr>
          <w:p>
            <w:pPr>
              <w:spacing w:after="0"/>
              <w:rPr>
                <w:sz w:val="24"/>
                <w:szCs w:val="24"/>
                <w:color w:val="auto"/>
              </w:rPr>
            </w:pPr>
          </w:p>
        </w:tc>
        <w:tc>
          <w:tcPr>
            <w:tcW w:w="8180" w:type="dxa"/>
            <w:vAlign w:val="bottom"/>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Notes to the Consolidated Financial Statements</w:t>
              </w:r>
            </w:hyperlink>
          </w:p>
        </w:tc>
        <w:tc>
          <w:tcPr>
            <w:tcW w:w="600" w:type="dxa"/>
            <w:vAlign w:val="bottom"/>
          </w:tcPr>
          <w:p>
            <w:pPr>
              <w:ind w:left="360"/>
              <w:spacing w:after="0"/>
              <w:rPr>
                <w:sz w:val="20"/>
                <w:szCs w:val="20"/>
                <w:color w:val="auto"/>
              </w:rPr>
            </w:pPr>
            <w:r>
              <w:rPr>
                <w:rFonts w:ascii="Arial" w:cs="Arial" w:eastAsia="Arial" w:hAnsi="Arial"/>
                <w:sz w:val="18"/>
                <w:szCs w:val="18"/>
                <w:color w:val="auto"/>
                <w:w w:val="81"/>
              </w:rPr>
              <w:t>F-7</w:t>
            </w:r>
          </w:p>
        </w:tc>
      </w:tr>
      <w:tr>
        <w:trPr>
          <w:trHeight w:val="453"/>
        </w:trPr>
        <w:tc>
          <w:tcPr>
            <w:tcW w:w="280" w:type="dxa"/>
            <w:vAlign w:val="bottom"/>
          </w:tcPr>
          <w:p>
            <w:pPr>
              <w:spacing w:after="0"/>
              <w:rPr>
                <w:sz w:val="24"/>
                <w:szCs w:val="24"/>
                <w:color w:val="auto"/>
              </w:rPr>
            </w:pPr>
          </w:p>
        </w:tc>
        <w:tc>
          <w:tcPr>
            <w:tcW w:w="480" w:type="dxa"/>
            <w:vAlign w:val="bottom"/>
            <w:tcBorders>
              <w:top w:val="single" w:sz="8" w:color="0000EE"/>
            </w:tcBorders>
          </w:tcPr>
          <w:p>
            <w:pPr>
              <w:jc w:val="right"/>
              <w:ind w:right="70"/>
              <w:spacing w:after="0"/>
              <w:rPr>
                <w:sz w:val="20"/>
                <w:szCs w:val="20"/>
                <w:color w:val="auto"/>
              </w:rPr>
            </w:pPr>
            <w:r>
              <w:rPr>
                <w:rFonts w:ascii="Arial" w:cs="Arial" w:eastAsia="Arial" w:hAnsi="Arial"/>
                <w:sz w:val="18"/>
                <w:szCs w:val="18"/>
                <w:color w:val="auto"/>
              </w:rPr>
              <w:t>(2)</w:t>
            </w:r>
          </w:p>
        </w:tc>
        <w:tc>
          <w:tcPr>
            <w:tcW w:w="2920" w:type="dxa"/>
            <w:vAlign w:val="bottom"/>
            <w:tcBorders>
              <w:top w:val="single" w:sz="8" w:color="0000EE"/>
            </w:tcBorders>
          </w:tcPr>
          <w:p>
            <w:pPr>
              <w:ind w:left="20"/>
              <w:spacing w:after="0"/>
              <w:rPr>
                <w:sz w:val="20"/>
                <w:szCs w:val="20"/>
                <w:color w:val="auto"/>
              </w:rPr>
            </w:pPr>
            <w:r>
              <w:rPr>
                <w:rFonts w:ascii="Arial" w:cs="Arial" w:eastAsia="Arial" w:hAnsi="Arial"/>
                <w:sz w:val="18"/>
                <w:szCs w:val="18"/>
                <w:i w:val="1"/>
                <w:iCs w:val="1"/>
                <w:color w:val="auto"/>
              </w:rPr>
              <w:t>Exhibits.</w:t>
            </w:r>
          </w:p>
        </w:tc>
        <w:tc>
          <w:tcPr>
            <w:tcW w:w="478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r>
    </w:tbl>
    <w:p>
      <w:pPr>
        <w:spacing w:after="0" w:line="202" w:lineRule="exact"/>
        <w:rPr>
          <w:sz w:val="20"/>
          <w:szCs w:val="20"/>
          <w:color w:val="auto"/>
        </w:rPr>
      </w:pPr>
    </w:p>
    <w:p>
      <w:pPr>
        <w:ind w:left="320" w:right="400"/>
        <w:spacing w:after="0" w:line="277" w:lineRule="auto"/>
        <w:rPr>
          <w:sz w:val="20"/>
          <w:szCs w:val="20"/>
          <w:color w:val="auto"/>
        </w:rPr>
      </w:pPr>
      <w:r>
        <w:rPr>
          <w:rFonts w:ascii="Arial" w:cs="Arial" w:eastAsia="Arial" w:hAnsi="Arial"/>
          <w:sz w:val="18"/>
          <w:szCs w:val="18"/>
          <w:color w:val="auto"/>
        </w:rPr>
        <w:t>The information required by this Item is set forth on the exhibit index that follows the signature page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3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200" w:lineRule="exact"/>
        <w:rPr>
          <w:sz w:val="20"/>
          <w:szCs w:val="20"/>
          <w:color w:val="auto"/>
        </w:rPr>
      </w:pPr>
    </w:p>
    <w:p>
      <w:pPr>
        <w:spacing w:after="0" w:line="25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PAYLOCITY HOLDING CORPORATION</w:t>
      </w:r>
    </w:p>
    <w:p>
      <w:pPr>
        <w:spacing w:after="0" w:line="202" w:lineRule="exact"/>
        <w:rPr>
          <w:sz w:val="20"/>
          <w:szCs w:val="20"/>
          <w:color w:val="auto"/>
        </w:rPr>
      </w:pPr>
    </w:p>
    <w:p>
      <w:pPr>
        <w:ind w:left="456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Steven R. Beauchamp</w:t>
      </w:r>
    </w:p>
    <w:p>
      <w:pPr>
        <w:ind w:left="5120"/>
        <w:spacing w:after="0" w:line="234" w:lineRule="auto"/>
        <w:rPr>
          <w:sz w:val="20"/>
          <w:szCs w:val="20"/>
          <w:color w:val="auto"/>
        </w:rPr>
      </w:pPr>
      <w:r>
        <w:rPr>
          <w:rFonts w:ascii="Arial" w:cs="Arial" w:eastAsia="Arial" w:hAnsi="Arial"/>
          <w:sz w:val="18"/>
          <w:szCs w:val="18"/>
          <w:color w:val="auto"/>
        </w:rPr>
        <w:t>President, Chief Executive Officer (Principal</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Executive Officer), Chief Financial Officer (Principal</w:t>
      </w:r>
    </w:p>
    <w:p>
      <w:pPr>
        <w:spacing w:after="0" w:line="1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Financial Officer) and Director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Each person whose individual signature appears below hereby authorizes and appoints Steven R. Beauchamp,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Signature</w:t>
            </w:r>
          </w:p>
        </w:tc>
        <w:tc>
          <w:tcPr>
            <w:tcW w:w="200" w:type="dxa"/>
            <w:vAlign w:val="bottom"/>
          </w:tcPr>
          <w:p>
            <w:pPr>
              <w:spacing w:after="0"/>
              <w:rPr>
                <w:sz w:val="14"/>
                <w:szCs w:val="14"/>
                <w:color w:val="auto"/>
              </w:rPr>
            </w:pPr>
          </w:p>
        </w:tc>
        <w:tc>
          <w:tcPr>
            <w:tcW w:w="444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384"/>
        </w:trPr>
        <w:tc>
          <w:tcPr>
            <w:tcW w:w="2860" w:type="dxa"/>
            <w:vAlign w:val="bottom"/>
          </w:tcPr>
          <w:p>
            <w:pPr>
              <w:spacing w:after="0"/>
              <w:rPr>
                <w:sz w:val="24"/>
                <w:szCs w:val="24"/>
                <w:color w:val="auto"/>
              </w:rPr>
            </w:pPr>
          </w:p>
        </w:tc>
        <w:tc>
          <w:tcPr>
            <w:tcW w:w="4640" w:type="dxa"/>
            <w:vAlign w:val="bottom"/>
            <w:gridSpan w:val="2"/>
          </w:tcPr>
          <w:p>
            <w:pPr>
              <w:ind w:left="200"/>
              <w:spacing w:after="0"/>
              <w:rPr>
                <w:sz w:val="20"/>
                <w:szCs w:val="20"/>
                <w:color w:val="auto"/>
              </w:rPr>
            </w:pPr>
            <w:r>
              <w:rPr>
                <w:rFonts w:ascii="Arial" w:cs="Arial" w:eastAsia="Arial" w:hAnsi="Arial"/>
                <w:sz w:val="18"/>
                <w:szCs w:val="18"/>
                <w:color w:val="auto"/>
              </w:rPr>
              <w:t>President, Chief Executive Officer (Principal Executive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464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4"/>
              </w:rPr>
              <w:t>Officer), Chief Financial Officer (Principal Financial Officer)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Beauchamp</w:t>
            </w:r>
          </w:p>
        </w:tc>
        <w:tc>
          <w:tcPr>
            <w:tcW w:w="4640" w:type="dxa"/>
            <w:vAlign w:val="bottom"/>
            <w:gridSpan w:val="2"/>
          </w:tcPr>
          <w:p>
            <w:pPr>
              <w:ind w:left="200"/>
              <w:spacing w:after="0"/>
              <w:rPr>
                <w:sz w:val="20"/>
                <w:szCs w:val="20"/>
                <w:color w:val="auto"/>
              </w:rPr>
            </w:pPr>
            <w:r>
              <w:rPr>
                <w:rFonts w:ascii="Arial" w:cs="Arial" w:eastAsia="Arial" w:hAnsi="Arial"/>
                <w:sz w:val="18"/>
                <w:szCs w:val="18"/>
                <w:color w:val="auto"/>
              </w:rPr>
              <w:t>and Director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Steven R. Beauchamp</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7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Rogers</w:t>
            </w:r>
          </w:p>
        </w:tc>
        <w:tc>
          <w:tcPr>
            <w:tcW w:w="4640" w:type="dxa"/>
            <w:vAlign w:val="bottom"/>
            <w:gridSpan w:val="2"/>
          </w:tcPr>
          <w:p>
            <w:pPr>
              <w:ind w:left="200"/>
              <w:spacing w:after="0"/>
              <w:rPr>
                <w:sz w:val="20"/>
                <w:szCs w:val="20"/>
                <w:color w:val="auto"/>
              </w:rPr>
            </w:pPr>
            <w:r>
              <w:rPr>
                <w:rFonts w:ascii="Arial" w:cs="Arial" w:eastAsia="Arial" w:hAnsi="Arial"/>
                <w:sz w:val="18"/>
                <w:szCs w:val="18"/>
                <w:color w:val="auto"/>
              </w:rPr>
              <w:t>Controller (Principal Accounting Officer)</w:t>
            </w:r>
          </w:p>
        </w:tc>
        <w:tc>
          <w:tcPr>
            <w:tcW w:w="1560" w:type="dxa"/>
            <w:vAlign w:val="bottom"/>
            <w:gridSpan w:val="3"/>
          </w:tcPr>
          <w:p>
            <w:pPr>
              <w:ind w:left="20"/>
              <w:spacing w:after="0"/>
              <w:rPr>
                <w:sz w:val="20"/>
                <w:szCs w:val="20"/>
                <w:color w:val="auto"/>
              </w:rPr>
            </w:pPr>
            <w:r>
              <w:rPr>
                <w:rFonts w:ascii="Arial" w:cs="Arial" w:eastAsia="Arial" w:hAnsi="Arial"/>
                <w:sz w:val="18"/>
                <w:szCs w:val="18"/>
                <w:color w:val="auto"/>
              </w:rPr>
              <w:t>August 11, 2017</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Ian Rogers</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7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I. Sarowitz</w:t>
            </w:r>
          </w:p>
        </w:tc>
        <w:tc>
          <w:tcPr>
            <w:tcW w:w="4640" w:type="dxa"/>
            <w:vAlign w:val="bottom"/>
            <w:gridSpan w:val="2"/>
          </w:tcPr>
          <w:p>
            <w:pPr>
              <w:ind w:left="200"/>
              <w:spacing w:after="0"/>
              <w:rPr>
                <w:sz w:val="20"/>
                <w:szCs w:val="20"/>
                <w:color w:val="auto"/>
              </w:rPr>
            </w:pPr>
            <w:r>
              <w:rPr>
                <w:rFonts w:ascii="Arial" w:cs="Arial" w:eastAsia="Arial" w:hAnsi="Arial"/>
                <w:sz w:val="18"/>
                <w:szCs w:val="18"/>
                <w:color w:val="auto"/>
              </w:rPr>
              <w:t>Chairman of the Board of Directors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Steven I. Sarowitz</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7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Carnahan</w:t>
            </w:r>
          </w:p>
        </w:tc>
        <w:tc>
          <w:tcPr>
            <w:tcW w:w="46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Ellen Carnahan</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7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T. Diehl</w:t>
            </w:r>
          </w:p>
        </w:tc>
        <w:tc>
          <w:tcPr>
            <w:tcW w:w="46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Jeffrey T. Diehl</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7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 Mishler</w:t>
            </w:r>
          </w:p>
        </w:tc>
        <w:tc>
          <w:tcPr>
            <w:tcW w:w="46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Mark H. Mishler</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7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Andres D. Reiner</w:t>
            </w:r>
          </w:p>
        </w:tc>
        <w:tc>
          <w:tcPr>
            <w:tcW w:w="46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Andres D. Reiner</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7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V. Waters, III</w:t>
            </w:r>
          </w:p>
        </w:tc>
        <w:tc>
          <w:tcPr>
            <w:tcW w:w="46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11, 2017</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Ronald V. Waters, III</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2"/>
        </w:trPr>
        <w:tc>
          <w:tcPr>
            <w:tcW w:w="8680" w:type="dxa"/>
            <w:vAlign w:val="bottom"/>
            <w:gridSpan w:val="7"/>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680" w:type="dxa"/>
            <w:vAlign w:val="bottom"/>
            <w:gridSpan w:val="7"/>
          </w:tcPr>
          <w:p>
            <w:pPr>
              <w:spacing w:after="0" w:line="190" w:lineRule="exact"/>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380" w:type="dxa"/>
            <w:vAlign w:val="bottom"/>
          </w:tcPr>
          <w:p>
            <w:pPr>
              <w:jc w:val="center"/>
              <w:spacing w:after="0" w:line="190"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83"/>
        </w:trPr>
        <w:tc>
          <w:tcPr>
            <w:tcW w:w="42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Consolidated Balance Sheets as of June 30, 2016 and 2017</w:t>
              </w:r>
            </w:hyperlink>
          </w:p>
        </w:tc>
        <w:tc>
          <w:tcPr>
            <w:tcW w:w="20" w:type="dxa"/>
            <w:vAlign w:val="bottom"/>
            <w:tcBorders>
              <w:bottom w:val="single" w:sz="8" w:color="0000EE"/>
            </w:tcBorders>
          </w:tcPr>
          <w:p>
            <w:pPr>
              <w:spacing w:after="0"/>
              <w:rPr>
                <w:sz w:val="15"/>
                <w:szCs w:val="15"/>
                <w:color w:val="auto"/>
              </w:rPr>
            </w:pPr>
          </w:p>
        </w:tc>
        <w:tc>
          <w:tcPr>
            <w:tcW w:w="2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83"/>
        </w:trPr>
        <w:tc>
          <w:tcPr>
            <w:tcW w:w="4240" w:type="dxa"/>
            <w:vAlign w:val="bottom"/>
            <w:gridSpan w:val="3"/>
          </w:tcPr>
          <w:p>
            <w:pPr>
              <w:spacing w:after="0" w:line="182"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Statements of Operations for the years ended</w:t>
              </w:r>
            </w:hyperlink>
          </w:p>
        </w:tc>
        <w:tc>
          <w:tcPr>
            <w:tcW w:w="4440" w:type="dxa"/>
            <w:vAlign w:val="bottom"/>
            <w:gridSpan w:val="4"/>
          </w:tcPr>
          <w:p>
            <w:pPr>
              <w:ind w:left="40"/>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June 30, 2015, 2016 and 2017</w:t>
              </w:r>
            </w:hyperlink>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83"/>
        </w:trPr>
        <w:tc>
          <w:tcPr>
            <w:tcW w:w="6440" w:type="dxa"/>
            <w:vAlign w:val="bottom"/>
            <w:tcBorders>
              <w:top w:val="single" w:sz="8" w:color="0000EE"/>
            </w:tcBorders>
            <w:gridSpan w:val="4"/>
          </w:tcPr>
          <w:p>
            <w:pPr>
              <w:spacing w:after="0" w:line="18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Changes in Stockholders’ Equity for the years ended June 30,</w:t>
              </w:r>
            </w:hyperlink>
          </w:p>
        </w:tc>
        <w:tc>
          <w:tcPr>
            <w:tcW w:w="60" w:type="dxa"/>
            <w:vAlign w:val="bottom"/>
          </w:tcPr>
          <w:p>
            <w:pPr>
              <w:spacing w:after="0"/>
              <w:rPr>
                <w:sz w:val="15"/>
                <w:szCs w:val="15"/>
                <w:color w:val="auto"/>
              </w:rPr>
            </w:pPr>
          </w:p>
        </w:tc>
        <w:tc>
          <w:tcPr>
            <w:tcW w:w="2180" w:type="dxa"/>
            <w:vAlign w:val="bottom"/>
            <w:gridSpan w:val="2"/>
          </w:tcPr>
          <w:p>
            <w:pPr>
              <w:ind w:left="20"/>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2015, 2016 and 2017</w:t>
              </w:r>
            </w:hyperlink>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83"/>
        </w:trPr>
        <w:tc>
          <w:tcPr>
            <w:tcW w:w="80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Cash Flows for the years ended June 30, 2015, 2016 and 2017</w:t>
              </w:r>
            </w:hyperlink>
          </w:p>
        </w:tc>
        <w:tc>
          <w:tcPr>
            <w:tcW w:w="64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83"/>
        </w:trPr>
        <w:tc>
          <w:tcPr>
            <w:tcW w:w="3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Notes to the Consolidated Financial Statements</w:t>
              </w:r>
            </w:hyperlink>
          </w:p>
        </w:tc>
        <w:tc>
          <w:tcPr>
            <w:tcW w:w="3080" w:type="dxa"/>
            <w:vAlign w:val="bottom"/>
            <w:tcBorders>
              <w:top w:val="single" w:sz="8" w:color="0000EE"/>
            </w:tcBorders>
            <w:gridSpan w:val="4"/>
          </w:tcPr>
          <w:p>
            <w:pPr>
              <w:spacing w:after="0"/>
              <w:rPr>
                <w:sz w:val="15"/>
                <w:szCs w:val="15"/>
                <w:color w:val="auto"/>
              </w:rPr>
            </w:pPr>
          </w:p>
        </w:tc>
        <w:tc>
          <w:tcPr>
            <w:tcW w:w="2180" w:type="dxa"/>
            <w:vAlign w:val="bottom"/>
            <w:gridSpan w:val="2"/>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Paylocity Holding Corporation:</w:t>
      </w:r>
    </w:p>
    <w:p>
      <w:pPr>
        <w:spacing w:after="0" w:line="3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have audited the accompanying consolidated balance sheets of Paylocity Holding Corporation and subsidiary (the Company) as of June 30, 2016 and 2017, and the related consolidated statements of operations, stockholders’ equity, and cash flows for each of the years in the three-year period ended June 30, 2017. We also have audited the Company’s internal control over financial reporting as of June 30,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(2013) </w:t>
      </w:r>
      <w:r>
        <w:rPr>
          <w:rFonts w:ascii="Arial" w:cs="Arial" w:eastAsia="Arial" w:hAnsi="Arial"/>
          <w:sz w:val="17"/>
          <w:szCs w:val="17"/>
          <w:color w:val="auto"/>
        </w:rPr>
        <w:t>issued by the Committee of Sponsoring Organizations of the Treadway Commission (COSO).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Paylocity Holding Corporation and subsidiary as of June 30, 2016 and 2017, and the results of its operations and its cash flows for each of the years in the three-year period ended June 30, 2017, in conformity with U.S. generally accepted accounting principles. Also in our opinion, the Company maintained, in all material respects, effective internal control over financial reporting as of June 30,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w:t>
      </w:r>
      <w:r>
        <w:rPr>
          <w:rFonts w:ascii="Arial" w:cs="Arial" w:eastAsia="Arial" w:hAnsi="Arial"/>
          <w:sz w:val="17"/>
          <w:szCs w:val="17"/>
          <w:color w:val="auto"/>
          <w:vertAlign w:val="superscript"/>
        </w:rPr>
        <w: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ind w:left="48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86,496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7,409</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Total current assets before funds held for clients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95,586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Funds held for clients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1,239,622</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1,335,208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1,062,846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1,390,689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1,137,441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 before client fund obligations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Client fund obligations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1,239,622</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1,266,222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974,806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1,271,117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989,828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200"/>
              <w:spacing w:after="0" w:line="201" w:lineRule="exact"/>
              <w:rPr>
                <w:sz w:val="20"/>
                <w:szCs w:val="20"/>
                <w:color w:val="auto"/>
              </w:rPr>
            </w:pPr>
            <w:r>
              <w:rPr>
                <w:rFonts w:ascii="Arial" w:cs="Arial" w:eastAsia="Arial" w:hAnsi="Arial"/>
                <w:sz w:val="18"/>
                <w:szCs w:val="18"/>
                <w:color w:val="auto"/>
                <w:w w:val="91"/>
              </w:rPr>
              <w:t>Preferred stock, $0.001 par value, 5,000 authorized, no shares issued and outstanding at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June 30, 2016 and 2017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Common stock, $0.001 par value, 155,000 shares authorized at June 30, 2016 and 2017;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51,132 shares issued and outstanding at June 30, 2016 and 51,738 shares issued and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June 30, 2017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171,515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119,572</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1,390,689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1,137,441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10"/>
          </w:tcPr>
          <w:p>
            <w:pPr>
              <w:ind w:left="380"/>
              <w:spacing w:after="0"/>
              <w:rPr>
                <w:sz w:val="20"/>
                <w:szCs w:val="20"/>
                <w:color w:val="auto"/>
              </w:rPr>
            </w:pPr>
            <w:r>
              <w:rPr>
                <w:rFonts w:ascii="Arial" w:cs="Arial" w:eastAsia="Arial" w:hAnsi="Arial"/>
                <w:sz w:val="14"/>
                <w:szCs w:val="14"/>
                <w:b w:val="1"/>
                <w:bCs w:val="1"/>
                <w:color w:val="auto"/>
              </w:rPr>
              <w:t>For the Years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Recurring fees</w:t>
            </w:r>
          </w:p>
        </w:tc>
        <w:tc>
          <w:tcPr>
            <w:tcW w:w="16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142,168</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217,416</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284,817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1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recurring revenues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220,104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Implementation services and other</w:t>
            </w:r>
          </w:p>
        </w:tc>
        <w:tc>
          <w:tcPr>
            <w:tcW w:w="1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152,698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230,701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300,010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Recurring revenues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46,366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Implementation services and other</w:t>
            </w:r>
          </w:p>
        </w:tc>
        <w:tc>
          <w:tcPr>
            <w:tcW w:w="1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132,616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176,023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61,832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136,166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168,727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1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Income (loss) before income taxes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Basic</w:t>
            </w:r>
          </w:p>
        </w:tc>
        <w:tc>
          <w:tcPr>
            <w:tcW w:w="16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Weighted-average shares used in computing net income (loss) per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50,127</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50,913</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0"/>
        </w:trPr>
        <w:tc>
          <w:tcPr>
            <w:tcW w:w="600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50,127</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50,913</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54,057</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PAYLOCITY HOLDING CORPORATION Consolidated Statements of Changes in Stockholders’ Equity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Stockholders’ Equity</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4780" w:type="dxa"/>
            <w:vAlign w:val="bottom"/>
          </w:tcPr>
          <w:p>
            <w:pPr>
              <w:spacing w:after="0"/>
              <w:rPr>
                <w:sz w:val="23"/>
                <w:szCs w:val="23"/>
                <w:color w:val="auto"/>
              </w:rPr>
            </w:pPr>
          </w:p>
        </w:tc>
        <w:tc>
          <w:tcPr>
            <w:tcW w:w="13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3"/>
                <w:szCs w:val="23"/>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3"/>
                <w:szCs w:val="23"/>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95"/>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6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2014</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49,564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$ 125,255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Follow-on offering, net of issuance costs</w:t>
            </w:r>
          </w:p>
        </w:tc>
        <w:tc>
          <w:tcPr>
            <w:tcW w:w="60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18,366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600" w:type="dxa"/>
            <w:vAlign w:val="bottom"/>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1,773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related to equity awards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(13,972)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2015</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50,703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$ 155,672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107,580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18,641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price related to equity awards</w:t>
            </w:r>
          </w:p>
        </w:tc>
        <w:tc>
          <w:tcPr>
            <w:tcW w:w="600" w:type="dxa"/>
            <w:vAlign w:val="bottom"/>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(11,986)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Balances at June 30, 2016</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51,132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$ 171,515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119,572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600" w:type="dxa"/>
            <w:vAlign w:val="bottom"/>
          </w:tcPr>
          <w:p>
            <w:pPr>
              <w:jc w:val="right"/>
              <w:spacing w:after="0"/>
              <w:rPr>
                <w:sz w:val="20"/>
                <w:szCs w:val="20"/>
                <w:color w:val="auto"/>
              </w:rPr>
            </w:pPr>
            <w:r>
              <w:rPr>
                <w:rFonts w:ascii="Arial" w:cs="Arial" w:eastAsia="Arial" w:hAnsi="Arial"/>
                <w:sz w:val="18"/>
                <w:szCs w:val="18"/>
                <w:color w:val="auto"/>
              </w:rPr>
              <w:t>691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8,550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3,677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related to equity awards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Excess tax benefits from stock-based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Balances at June 30, 2017</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51,738</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$ 192,837</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(45,276)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147,613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9"/>
          </w:tcPr>
          <w:p>
            <w:pPr>
              <w:ind w:left="400"/>
              <w:spacing w:after="0"/>
              <w:rPr>
                <w:sz w:val="20"/>
                <w:szCs w:val="20"/>
                <w:color w:val="auto"/>
              </w:rPr>
            </w:pPr>
            <w:r>
              <w:rPr>
                <w:rFonts w:ascii="Arial" w:cs="Arial" w:eastAsia="Arial" w:hAnsi="Arial"/>
                <w:sz w:val="14"/>
                <w:szCs w:val="14"/>
                <w:b w:val="1"/>
                <w:bCs w:val="1"/>
                <w:color w:val="auto"/>
              </w:rPr>
              <w:t>For the Years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200"/>
              <w:spacing w:after="0" w:line="201" w:lineRule="exact"/>
              <w:rPr>
                <w:sz w:val="20"/>
                <w:szCs w:val="20"/>
                <w:color w:val="auto"/>
              </w:rPr>
            </w:pPr>
            <w:r>
              <w:rPr>
                <w:rFonts w:ascii="Arial" w:cs="Arial" w:eastAsia="Arial" w:hAnsi="Arial"/>
                <w:sz w:val="18"/>
                <w:szCs w:val="18"/>
                <w:color w:val="auto"/>
                <w:w w:val="94"/>
              </w:rPr>
              <w:t>Adjustments to reconcile net income (loss) to net cash provided by operating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0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income tax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00"/>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on disposal of equipment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Tenant improvement allowance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32,993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internal-use software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allowances used for tenant improvements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Payments for acquisitions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funds held for clients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(173,958)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(648,403)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(199,172)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(673,360)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client fund obligations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648,403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(297,163)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Proceeds from follow-on offering, net of issuance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initial public offering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employee stock purchase plan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Taxes paid related to net share settlement of equity awards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645,605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(304,347)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Equivalents—Beginning of Year</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86,496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Equivalents—End of Year</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86,496</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103,468</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line="203"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Build-out allowances received from landlords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vMerge w:val="restart"/>
          </w:tcPr>
          <w:p>
            <w:pPr>
              <w:ind w:left="200"/>
              <w:spacing w:after="0" w:line="195" w:lineRule="exact"/>
              <w:rPr>
                <w:sz w:val="20"/>
                <w:szCs w:val="20"/>
                <w:color w:val="auto"/>
              </w:rPr>
            </w:pPr>
            <w:r>
              <w:rPr>
                <w:rFonts w:ascii="Arial" w:cs="Arial" w:eastAsia="Arial" w:hAnsi="Arial"/>
                <w:sz w:val="18"/>
                <w:szCs w:val="18"/>
                <w:color w:val="auto"/>
                <w:w w:val="91"/>
              </w:rPr>
              <w:t>Purchase of property and equipment and internal-use software, accrued but not</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vMerge w:val="continue"/>
          </w:tcPr>
          <w:p>
            <w:pPr>
              <w:spacing w:after="0"/>
              <w:rPr>
                <w:sz w:val="15"/>
                <w:szCs w:val="15"/>
                <w:color w:val="auto"/>
              </w:rPr>
            </w:pPr>
          </w:p>
        </w:tc>
        <w:tc>
          <w:tcPr>
            <w:tcW w:w="12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paid</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Cash paid for income taxes, net of refunds</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84" w:lineRule="exact"/>
        <w:rPr>
          <w:sz w:val="20"/>
          <w:szCs w:val="20"/>
          <w:color w:val="auto"/>
        </w:rPr>
      </w:pPr>
    </w:p>
    <w:p>
      <w:pPr>
        <w:ind w:left="260" w:hanging="257"/>
        <w:spacing w:after="0"/>
        <w:tabs>
          <w:tab w:leader="none" w:pos="2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900" w:hanging="249"/>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accompanying consolidated financial statements of the Company have been prepared pursuant to the rules and regulations of the United States Securities and Exchange Commission (the “SEC”).</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internal-use software, valuation and useful lives of long-lived assets, definite-lived intangibles, goodwill, incurred but not reported medical and dental claims, stock-based compensation, valuation of net deferred income tax assets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8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consolidated financial statements reflect the financial position and operating results of Paylocity Holding Corporation and include its wholly owned subsidiary Paylocity Corporation. Intercompany accounts and transactions have been eliminated in consolidation.</w:t>
      </w:r>
    </w:p>
    <w:p>
      <w:pPr>
        <w:spacing w:after="0" w:line="181" w:lineRule="exact"/>
        <w:rPr>
          <w:sz w:val="20"/>
          <w:szCs w:val="20"/>
          <w:color w:val="auto"/>
        </w:rPr>
      </w:pPr>
    </w:p>
    <w:p>
      <w:pPr>
        <w:ind w:left="900" w:hanging="24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regularly maintains cash balances that exceed Federal Depository Insurance Corporation limits. No individual client represents 10% or more of total revenues. For all periods presented, 100% of total revenues were generated by clients in the United States.</w:t>
      </w:r>
    </w:p>
    <w:p>
      <w:pPr>
        <w:spacing w:after="0" w:line="181" w:lineRule="exact"/>
        <w:rPr>
          <w:sz w:val="20"/>
          <w:szCs w:val="20"/>
          <w:color w:val="auto"/>
        </w:rPr>
      </w:pPr>
    </w:p>
    <w:p>
      <w:pPr>
        <w:ind w:left="900" w:hanging="24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when purchased to be cash equivalents.</w:t>
      </w:r>
    </w:p>
    <w:p>
      <w:pPr>
        <w:spacing w:after="0" w:line="170" w:lineRule="exact"/>
        <w:rPr>
          <w:sz w:val="20"/>
          <w:szCs w:val="20"/>
          <w:color w:val="auto"/>
        </w:rPr>
      </w:pPr>
    </w:p>
    <w:p>
      <w:pPr>
        <w:ind w:left="900" w:hanging="24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Accounts receivable are recorded at the invoiced amount and do not bear interest. Amounts collected on trade accounts receivable are included in net cash provided by operating activities in the statements of cash flows. The Company maintains an allowance for doubtful accounts reflecting estimated potential losses in its accounts receivable portfolio. In establishing the required allowance, management considers historical losses adjusted to take into account current market conditions and the Company’s clients’ financial conditions, the amount of receivables in dispute, the current receivables aging and current payment patterns. The Company reviews its allowance for doubtful accounts quarterly. Past due balances over 60 days and over a specified amount are reviewed individually for collectability. All other balances are reviewed on a pooled basis. Account balances are charged off against the allowance after all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commercially reasonable means of collection have been exhausted and the potential for recovery is considered remote. The Company does not have any off-balance-sheet credit exposure related to its clients.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9"/>
          </w:tcPr>
          <w:p>
            <w:pPr>
              <w:ind w:left="60"/>
              <w:spacing w:after="0"/>
              <w:rPr>
                <w:sz w:val="20"/>
                <w:szCs w:val="20"/>
                <w:color w:val="auto"/>
              </w:rPr>
            </w:pPr>
            <w:r>
              <w:rPr>
                <w:rFonts w:ascii="Arial" w:cs="Arial" w:eastAsia="Arial" w:hAnsi="Arial"/>
                <w:sz w:val="14"/>
                <w:szCs w:val="14"/>
                <w:b w:val="1"/>
                <w:bCs w:val="1"/>
                <w:color w:val="auto"/>
              </w:rPr>
              <w:t>For the Years Ended June 30,</w:t>
            </w:r>
          </w:p>
        </w:tc>
      </w:tr>
      <w:tr>
        <w:trPr>
          <w:trHeight w:val="142"/>
        </w:trPr>
        <w:tc>
          <w:tcPr>
            <w:tcW w:w="6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Charged to expense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r>
      <w:tr>
        <w:trPr>
          <w:trHeight w:val="217"/>
        </w:trPr>
        <w:tc>
          <w:tcPr>
            <w:tcW w:w="682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i w:val="1"/>
          <w:iCs w:val="1"/>
          <w:color w:val="auto"/>
        </w:rPr>
        <w:t>Prepaid Expenses and Other Assets</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Prepaid expenses and other assets consist primarily of tenant improvement allowance receivable from landlord, prepaid licensing fees, prepaid insurance premiums, deposits with vendors and time clocks available for sale or lease.</w:t>
      </w:r>
    </w:p>
    <w:p>
      <w:pPr>
        <w:spacing w:after="0" w:line="124" w:lineRule="exact"/>
        <w:rPr>
          <w:sz w:val="20"/>
          <w:szCs w:val="20"/>
          <w:color w:val="auto"/>
        </w:rPr>
      </w:pPr>
    </w:p>
    <w:p>
      <w:pPr>
        <w:ind w:left="880" w:hanging="229"/>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Capitalized Internal-Use Software</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 xml:space="preserve">The Company applies Financial Accounting Standards Board (FASB) Accounting Standards Codification (ASC) 350-40, </w:t>
      </w: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 to the accounting for costs of internal-use software. Internal-use software costs are capitalized when application development 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spacing w:after="0" w:line="167"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Capitalized internal-use software costs are amortized on a straight-line basis over the estimated useful lives, generally over a 24-month period. Management evaluates the useful lives of these assets on an annual basis and tests for impairment whenever events or changes in circumstances occur that could impact the recoverability of these assets.</w:t>
      </w:r>
    </w:p>
    <w:p>
      <w:pPr>
        <w:spacing w:after="0" w:line="147" w:lineRule="exact"/>
        <w:rPr>
          <w:sz w:val="20"/>
          <w:szCs w:val="20"/>
          <w:color w:val="auto"/>
        </w:rPr>
      </w:pPr>
    </w:p>
    <w:p>
      <w:pPr>
        <w:ind w:left="900" w:hanging="24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18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67" w:lineRule="exact"/>
        <w:rPr>
          <w:sz w:val="20"/>
          <w:szCs w:val="20"/>
          <w:color w:val="auto"/>
        </w:rPr>
      </w:pPr>
    </w:p>
    <w:p>
      <w:pPr>
        <w:ind w:left="900" w:hanging="24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Intangible Assets, Net of Accumulated Amortization</w:t>
      </w:r>
    </w:p>
    <w:p>
      <w:pPr>
        <w:spacing w:after="0" w:line="15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Intangible assets are comprised primarily of client list acquisitions and are reported net of accumulated amortization on the consolidated balance sheets. Client relationships use the straight-line method of amortization over a nine-year time frame from the date of acquisition, while non-solicitation agreements use the straight-line method of amortization over the lives of the related agreements. The Company tests intangible assets for potential impairment when events or changes in circumstances indicate that the carrying value of such assets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860" w:hanging="209"/>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Goodwill is an asset representing the future economic benefits arising from other assets acquired in a business combination that are not individually identified and separately recognized. As described in Note 5, the Company has recorded goodwill in connection with the acquisitions of certain assets of BFKMS, Inc. and Synergy Payroll, LLC. Goodwill is not amortized, but instead is tested for impairment at least annually in the fourth quarter. ASU 2011-08, Testing Goodwill for Impairment provides an entity the option to perform a qualitative assessment to determine whether it is more-likely-than-not that the fair value of a reporting unit is less than its carrying amount prior to performing the two-step impairment test. If the estimated fair value of a reporting unit, including goodwill, is less than its carrying amount, the two-step goodwill impairment test is required. Otherwise, no further analysis is required.</w:t>
      </w:r>
    </w:p>
    <w:p>
      <w:pPr>
        <w:spacing w:after="0" w:line="1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the two-step goodwill impairment test is required, the fair value of the reporting unit is compared with its carrying amount, including goodwill. If the fair value of the reporting unit is less than its carrying amount, an indication of goodwill impairment exists for the reporting unit. In the second step, an impairment loss is recognized for any excess of the carrying amount of the reporting unit’s goodwill over the implied fair value of the goodwill. The implied fair value of goodwill is determined by allocating the fair value of the reporting unit in a manner similar to a purchase price allocation and the residual fair value after this allocation is the implied fair value of the reporting unit goodwill. Fair value of the reporting unit is determined using a discounted cash flow analysis. In the event the fair value of the reporting unit exceeds its carrying amount, step two is not performed.</w:t>
      </w:r>
    </w:p>
    <w:p>
      <w:pPr>
        <w:spacing w:after="0" w:line="192"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 performs its annual impairment review of goodwill in its fiscal fourth quarter or when a triggering event occurs between annual impairment tests. No impairment was recorded in fiscal 2015, 2016 or 2017 as a result of the Company’s qualitative assessments over its single reporting segment.</w:t>
      </w:r>
    </w:p>
    <w:p>
      <w:pPr>
        <w:spacing w:after="0" w:line="181" w:lineRule="exact"/>
        <w:rPr>
          <w:sz w:val="20"/>
          <w:szCs w:val="20"/>
          <w:color w:val="auto"/>
        </w:rPr>
      </w:pPr>
    </w:p>
    <w:p>
      <w:pPr>
        <w:ind w:left="860" w:hanging="209"/>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has operating lease agreements for its office space, which contain provisions for future rent increases, periods of rent abatement and build-out allowances. The Company records monthly rent expense for each lease equal to the total payments due over the lease term, divided by the number of months of the lease term. Build-out allowances are recorded as part of leasehold improvements and the incentive is amortized over the lease term against depreciation. The difference between recorded rent expense and the amount paid is included in “Accrued expenses” and as “Deferred rent” in the accompanying consolidated balance sheets.</w:t>
      </w:r>
    </w:p>
    <w:p>
      <w:pPr>
        <w:spacing w:after="0" w:line="193" w:lineRule="exact"/>
        <w:rPr>
          <w:sz w:val="20"/>
          <w:szCs w:val="20"/>
          <w:color w:val="auto"/>
        </w:rPr>
      </w:pPr>
    </w:p>
    <w:p>
      <w:pPr>
        <w:ind w:left="900" w:hanging="24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7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Valuation allowances are provided when necessary to reduce deferred tax assets to the amount more likely than not to be realized. Significant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w:t>
      </w:r>
    </w:p>
    <w:p>
      <w:pPr>
        <w:spacing w:after="0" w:line="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as an element of income tax expense.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11 for additional information on income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860" w:hanging="209"/>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648"/>
        <w:spacing w:after="0" w:line="220" w:lineRule="exact"/>
        <w:rPr>
          <w:sz w:val="20"/>
          <w:szCs w:val="20"/>
          <w:color w:val="auto"/>
        </w:rPr>
      </w:pPr>
      <w:r>
        <w:rPr>
          <w:rFonts w:ascii="Arial" w:cs="Arial" w:eastAsia="Arial" w:hAnsi="Arial"/>
          <w:sz w:val="16"/>
          <w:szCs w:val="16"/>
          <w:color w:val="auto"/>
        </w:rPr>
        <w:t xml:space="preserve">The Company recognizes revenue in accordance with ASC 605-25, </w:t>
      </w:r>
      <w:r>
        <w:rPr>
          <w:rFonts w:ascii="Arial" w:cs="Arial" w:eastAsia="Arial" w:hAnsi="Arial"/>
          <w:sz w:val="16"/>
          <w:szCs w:val="16"/>
          <w:i w:val="1"/>
          <w:iCs w:val="1"/>
          <w:color w:val="auto"/>
        </w:rPr>
        <w:t>Revenue Recognition—Multiple Element</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w:t>
      </w:r>
      <w:r>
        <w:rPr>
          <w:rFonts w:ascii="Arial" w:cs="Arial" w:eastAsia="Arial" w:hAnsi="Arial"/>
          <w:sz w:val="16"/>
          <w:szCs w:val="16"/>
          <w:color w:val="auto"/>
        </w:rPr>
        <w:t>, Accounting Standards Update No. 2009-13,</w:t>
      </w:r>
      <w:r>
        <w:rPr>
          <w:rFonts w:ascii="Arial" w:cs="Arial" w:eastAsia="Arial" w:hAnsi="Arial"/>
          <w:sz w:val="16"/>
          <w:szCs w:val="16"/>
          <w:i w:val="1"/>
          <w:iCs w:val="1"/>
          <w:color w:val="auto"/>
        </w:rPr>
        <w:t xml:space="preserve"> Multiple-Deliverable Revenue Arrangements </w:t>
      </w:r>
      <w:r>
        <w:rPr>
          <w:rFonts w:ascii="Arial" w:cs="Arial" w:eastAsia="Arial" w:hAnsi="Arial"/>
          <w:sz w:val="16"/>
          <w:szCs w:val="16"/>
          <w:color w:val="auto"/>
        </w:rPr>
        <w:t>(“</w:t>
      </w:r>
      <w:r>
        <w:rPr>
          <w:rFonts w:ascii="Arial" w:cs="Arial" w:eastAsia="Arial" w:hAnsi="Arial"/>
          <w:sz w:val="16"/>
          <w:szCs w:val="16"/>
          <w:i w:val="1"/>
          <w:iCs w:val="1"/>
          <w:color w:val="auto"/>
        </w:rPr>
        <w:t>ASU 2009</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13</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Staff Accounting Bulletin 104, </w:t>
      </w:r>
      <w:r>
        <w:rPr>
          <w:rFonts w:ascii="Arial" w:cs="Arial" w:eastAsia="Arial" w:hAnsi="Arial"/>
          <w:sz w:val="16"/>
          <w:szCs w:val="16"/>
          <w:i w:val="1"/>
          <w:iCs w:val="1"/>
          <w:color w:val="auto"/>
        </w:rPr>
        <w:t>Revenue Recognition</w:t>
      </w:r>
      <w:r>
        <w:rPr>
          <w:rFonts w:ascii="Arial" w:cs="Arial" w:eastAsia="Arial" w:hAnsi="Arial"/>
          <w:sz w:val="16"/>
          <w:szCs w:val="16"/>
          <w:color w:val="auto"/>
        </w:rPr>
        <w:t>. Revenue is recognized when there is persuasive evidence that an arrangement exists, delivery has occurred, the fee is fixed or determinable and collection of the revenue is probable.</w:t>
      </w:r>
    </w:p>
    <w:p>
      <w:pPr>
        <w:spacing w:after="0" w:line="20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derives its revenue predominantly from recurring fees and non-recurring service fees. Recurring fees are collected under agreements for payroll, timekeeping, HR-related cloud-based computing services and monthly time clock rentals, all of which are generally cancellable by the client on 60 days’ notice or less. Non-recurring service fees consist mainly of implementation and custom reporting services. Such fees are billed to clients and revenue is recorded upon completion of the service. The Company’s agreements do not include general rights of return and do not provide clients with the right to take possession of the software supporting the services being provided. As such, the agreements are accounted for as service contracts.</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Interest income collected on funds held for clients is recognized in recurring revenues when earned as the collection, holding and remittance of these funds are critical components of providing these services.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Most multiple-element arrangements include a short implementation services phase, which involves establishing the client within and loading data into the Company’s cloud-based applications. Major recurring fees included in multiple-element arrangements include:</w:t>
      </w:r>
    </w:p>
    <w:p>
      <w:pPr>
        <w:spacing w:after="0" w:line="181" w:lineRule="exact"/>
        <w:rPr>
          <w:sz w:val="20"/>
          <w:szCs w:val="20"/>
          <w:color w:val="auto"/>
        </w:rPr>
      </w:pPr>
    </w:p>
    <w:p>
      <w:pPr>
        <w:ind w:left="980" w:right="40" w:hanging="329"/>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Payroll processing and related services, including payroll reporting and tax filing services delivered on a weekly, biweekly, semi-monthly, or monthly basis depending upon the payroll frequency of the client and on an annual basis if a client selects W-2 preparation and processing services,</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Time and attendance reporting services, including time clock rentals, delivered on a monthly basis, and</w:t>
      </w:r>
    </w:p>
    <w:p>
      <w:pPr>
        <w:spacing w:after="0" w:line="236" w:lineRule="exact"/>
        <w:rPr>
          <w:rFonts w:ascii="Arial" w:cs="Arial" w:eastAsia="Arial" w:hAnsi="Arial"/>
          <w:sz w:val="17"/>
          <w:szCs w:val="17"/>
          <w:color w:val="auto"/>
        </w:rPr>
      </w:pPr>
    </w:p>
    <w:p>
      <w:pPr>
        <w:ind w:left="980" w:right="880"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Cloud-based HR software solutions, including employee administration and benefits enrollment and administration, delivered on a monthly basis.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each agreement, the Company evaluates whether the individual deliverables qualify as separate units of accounting. If one or more of the deliverables does not have standalone value upon delivery, the deliverables that do not have standalone value are generally combined and treated as a single unit of accounting by frequency of occurrence for the product category involved such as biweekly payroll or monthly timekeeping services. Revenues for arrangements treated as a single unit of accounting are generally recognized within the same month that the services are rendered given that the agreements are cancellable with 60 days’ or less notice.</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determining whether implementation services can be accounted for separately from recurring revenues, the Company considers the nature of the implementation services and the availability of the implementation services from other vendors. The Company was able to establish standalone value for implementation activities based on the historical activity of third-party vendors that performed these services and as such, accounts for such implementation services separate from the recurring revenues.</w:t>
      </w:r>
    </w:p>
    <w:p>
      <w:pPr>
        <w:spacing w:after="0" w:line="18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If the recurring services have standalone value upon delivery, the Company accounts for each separately and revenues are recognized as services are delivered with allocation of consideration based on the relative selling price method as established in ASU 2009-13. That method requires the selling price of each element in a multiple-deliverable arrangement to be based on, in descending order: (i) vendor specific objective evidence of fair value (“VSOE”), (ii) third-party evidence of fair value (“TPE”) or (iii) management’s best estimate of the selling price (“BESP”).</w:t>
      </w:r>
    </w:p>
    <w:p>
      <w:pPr>
        <w:spacing w:after="0" w:line="17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is not able to establish VSOE because the deliverables are sold across an insufficiently narrow range of prices on a stand-alone basis and is also not able to establish TPE because no third-party offerings are reasonably comparable to the Company’s offerings. The Company thus established its BESP by service offering, requiring the use of significant estimates and judgment. The Company considers numerous factors, including the nature of the deliverables themselves; the geography of the sale; and pricing and discounting practices utilized by the Company’s sales force. Arrangement consideration is allocated to each deliverable based on the established BESP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subject to the limitation that because the arrangements are cancellable with 60 days’ or less notice, recurring revenue is not allocated to any deliverable until the consideration has been earned, typically with each payroll cycle or monthly, depending on the service.</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Revenues generated from sales through partners or utilizing partner services are recognized in accordance with the appropriate accounting guidance of ASC 605-45, </w:t>
      </w:r>
      <w:r>
        <w:rPr>
          <w:rFonts w:ascii="Arial" w:cs="Arial" w:eastAsia="Arial" w:hAnsi="Arial"/>
          <w:sz w:val="18"/>
          <w:szCs w:val="18"/>
          <w:i w:val="1"/>
          <w:iCs w:val="1"/>
          <w:color w:val="auto"/>
        </w:rPr>
        <w:t>Principal Agent Considerations</w:t>
      </w:r>
      <w:r>
        <w:rPr>
          <w:rFonts w:ascii="Arial" w:cs="Arial" w:eastAsia="Arial" w:hAnsi="Arial"/>
          <w:sz w:val="18"/>
          <w:szCs w:val="18"/>
          <w:color w:val="auto"/>
        </w:rPr>
        <w:t>. The Company reports revenue generated through partners or utilizing partner services at the gross amount billed to clients when (i) the Company is the primary obligor, (ii) the Company has latitude to establish the price charged and (iii) the Company bears the credit risk in the transaction.</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Sales taxes collected from clients and remitted to governmental authorities where applicable are accounted for on a net basis and therefore are excluded from revenues in the statements of operations.</w:t>
      </w:r>
    </w:p>
    <w:p>
      <w:pPr>
        <w:spacing w:after="0" w:line="170" w:lineRule="exact"/>
        <w:rPr>
          <w:sz w:val="20"/>
          <w:szCs w:val="20"/>
          <w:color w:val="auto"/>
        </w:rPr>
      </w:pPr>
    </w:p>
    <w:p>
      <w:pPr>
        <w:ind w:left="960" w:hanging="30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Cost of revenues consists primarily of the cost of recurring revenues and implementation services, which are expensed when incurred. Cost of revenues for recurring revenues consists primarily of costs to provide recurring services and support to the Company’s clients, and includes amortization of capitalized internal-use software. Cost of revenues for implementation services and other consists primarily of costs to provide implementation and other services.</w:t>
      </w:r>
    </w:p>
    <w:p>
      <w:pPr>
        <w:spacing w:after="0" w:line="154" w:lineRule="exact"/>
        <w:rPr>
          <w:sz w:val="20"/>
          <w:szCs w:val="20"/>
          <w:color w:val="auto"/>
        </w:rPr>
      </w:pPr>
    </w:p>
    <w:p>
      <w:pPr>
        <w:ind w:left="900" w:hanging="24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Advertising costs are expensed as incurred. Advertising costs amounted to $187, $219 and $199 for the years ended June 30, 2015, 2016 and 2017, respectively.</w:t>
      </w:r>
    </w:p>
    <w:p>
      <w:pPr>
        <w:spacing w:after="0" w:line="170" w:lineRule="exact"/>
        <w:rPr>
          <w:sz w:val="20"/>
          <w:szCs w:val="20"/>
          <w:color w:val="auto"/>
        </w:rPr>
      </w:pPr>
    </w:p>
    <w:p>
      <w:pPr>
        <w:ind w:left="900" w:hanging="24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The Company estimates grant date fair value using the Black-Scholes option-pricing model and periodically updates the assumed forfeiture rates for actual experience over their vesting term or the term of the ESPP purchase period.</w:t>
      </w:r>
    </w:p>
    <w:p>
      <w:pPr>
        <w:spacing w:after="0" w:line="178" w:lineRule="exact"/>
        <w:rPr>
          <w:sz w:val="20"/>
          <w:szCs w:val="20"/>
          <w:color w:val="auto"/>
        </w:rPr>
      </w:pPr>
    </w:p>
    <w:p>
      <w:pPr>
        <w:ind w:left="900" w:hanging="24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1" w:lineRule="exact"/>
        <w:rPr>
          <w:sz w:val="20"/>
          <w:szCs w:val="20"/>
          <w:color w:val="auto"/>
        </w:rPr>
      </w:pPr>
    </w:p>
    <w:p>
      <w:pPr>
        <w:ind w:left="900" w:hanging="24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chief operating decision maker reviews the financial results of the Company in total when evaluating financial performance and for purposes of allocating resources. The Company has thus determined that it operates in a single cloud-based software solution reporting segment.</w:t>
      </w:r>
    </w:p>
    <w:p>
      <w:pPr>
        <w:spacing w:after="0" w:line="181" w:lineRule="exact"/>
        <w:rPr>
          <w:sz w:val="20"/>
          <w:szCs w:val="20"/>
          <w:color w:val="auto"/>
        </w:rPr>
      </w:pPr>
    </w:p>
    <w:p>
      <w:pPr>
        <w:ind w:left="880" w:hanging="229"/>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(Topic 606) (“ASU 2014-09”). ASU 2014-09 supersedes a majority of existing revenue recognition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In addition, in March 2016, April 2016, May 2016 and December 2016 the FASB issued ASU 2016-08, </w:t>
      </w:r>
      <w:r>
        <w:rPr>
          <w:rFonts w:ascii="Arial" w:cs="Arial" w:eastAsia="Arial" w:hAnsi="Arial"/>
          <w:sz w:val="16"/>
          <w:szCs w:val="16"/>
          <w:i w:val="1"/>
          <w:iCs w:val="1"/>
          <w:color w:val="auto"/>
        </w:rPr>
        <w:t>Revenue from Contracts with Customers (Topic 606): Principal versus Agent Considerations (Reporting Revenue Gross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versus Net) </w:t>
      </w:r>
      <w:r>
        <w:rPr>
          <w:rFonts w:ascii="Arial" w:cs="Arial" w:eastAsia="Arial" w:hAnsi="Arial"/>
          <w:sz w:val="16"/>
          <w:szCs w:val="16"/>
          <w:color w:val="auto"/>
        </w:rPr>
        <w:t>(“ASU 2016-08”), ASU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(“ASU 2016-10”), ASU 2016-12,</w:t>
      </w:r>
      <w:r>
        <w:rPr>
          <w:rFonts w:ascii="Arial" w:cs="Arial" w:eastAsia="Arial" w:hAnsi="Arial"/>
          <w:sz w:val="16"/>
          <w:szCs w:val="16"/>
          <w:i w:val="1"/>
          <w:iCs w:val="1"/>
          <w:color w:val="auto"/>
        </w:rPr>
        <w:t xml:space="preserve"> Revenue from Contracts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with Customers (Topic 606): Narrow-Scope Improvements and Practical Expedients </w:t>
      </w:r>
      <w:r>
        <w:rPr>
          <w:rFonts w:ascii="Arial" w:cs="Arial" w:eastAsia="Arial" w:hAnsi="Arial"/>
          <w:sz w:val="17"/>
          <w:szCs w:val="17"/>
          <w:color w:val="auto"/>
        </w:rPr>
        <w:t xml:space="preserve">(“ASU 2016-12”) and ASU 2016-20, </w:t>
      </w:r>
      <w:r>
        <w:rPr>
          <w:rFonts w:ascii="Arial" w:cs="Arial" w:eastAsia="Arial" w:hAnsi="Arial"/>
          <w:sz w:val="17"/>
          <w:szCs w:val="17"/>
          <w:i w:val="1"/>
          <w:iCs w:val="1"/>
          <w:color w:val="auto"/>
        </w:rPr>
        <w:t>Technical Corrections and Improvements to Topic 606, Revenue from Contracts with Customers</w:t>
      </w:r>
      <w:r>
        <w:rPr>
          <w:rFonts w:ascii="Arial" w:cs="Arial" w:eastAsia="Arial" w:hAnsi="Arial"/>
          <w:sz w:val="17"/>
          <w:szCs w:val="17"/>
          <w:color w:val="auto"/>
        </w:rPr>
        <w:t xml:space="preserve"> (“ASU 2016-20”), respectively, to amend certain guidance in ASU 2014-09. Topic 606 allows for either a retrospective or cumulative effect transition method. ASU 2014-09 was originally effective for fiscal years beginning after December 15, 2016. In July 2015, the FASB approved a one-year deferral of ASU 2014-09 and all amendments to it, with a new effective date for fiscal years beginning after December 15, 2017 with early adoption permitted as of the original effective date.</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currently expects to adopt the new standard in its fiscal year beginning July 1, 2018 and is evaluating adoption methods. While the impact the new revenue recognition standard will have on its consolidated financial statements and disclosures has not yet been fully assessed, the Company currently expects that there will be a material impact in the manner in which it treats certain costs of obtaining new contracts (i.e., selling and commission costs). The new standard will require the Company to defer these costs and amortize them versus expensing these costs as incurred. The Company is continuing to evaluate all potential impacts as well as the changes required for systems, processes and internal controls to meet the new standard’s reporting and disclosure requirements.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February 2016, the FASB issued ASU 2016-02, Leases (Topic 842) (“ASU 2016-02”) which amends various aspects of existing guidance for leases. ASU 2016-02 requires an entity to recognize assets and liabilities arising from a lease with terms greater than twelve months, along with additional qualitative and quantitative disclosures. ASU 2016-02 also requires the use of the modified retrospective method, which will require adjustment to all comparative periods presented. ASU 2016-02 is effective for fiscal years beginning after December 15, 2018, with early adoption permitted. The Company is currently assessing the potential effects of these changes to its consolidated financial statements and is evaluating the timing of adoption.</w:t>
      </w:r>
    </w:p>
    <w:p>
      <w:pPr>
        <w:spacing w:after="0" w:line="18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March 2016, the FASB issued ASU 2016-09, Compensation – Stock Compensation (Topic 718) (“ASU 2016-09”) which modifies accounting for excess tax benefits and tax deficiencies, forfeitures, and employer tax withholding requirements. ASU 2016-09 also clarifies certain classifications on the statement of cash flows. ASU 2016-09 is effective for fiscal years beginning after December 15, 2016, with early adoption permitted. The Company adopted this standard effective July 1, 2017. Due to the Company’s tax valuation allowance, it does not expect the portions of the updated standard that relate to excess tax benefits and deficiencies to have a material impact on the Consolidated Financial Statements and disclosures. Additionally, the Company will continue to estimate forfeitures at each reporting period, rather than electing an accounting policy change to record the impact of such forfeitures as they occur.</w:t>
      </w:r>
    </w:p>
    <w:p>
      <w:pPr>
        <w:spacing w:after="0" w:line="17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Funds Held for Clients and Client Fund Obligations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Company obtains funds from clients in advance of performing payroll and payroll tax filing services on behalf of those clients. Funds held for clients represent assets that are used solely for the purposes of satisfying the obligations to remit funds relating to payroll and payroll tax filing services. Funds held for clients are held in demand deposit and money market accounts at major financial institutions. The Company has classified funds held for clients as a current asset since these funds are held solely for the purposes of satisfying the client fund obligations.</w:t>
      </w:r>
    </w:p>
    <w:p>
      <w:pPr>
        <w:spacing w:after="0" w:line="17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Client fund obligations represent the Company’s contractual obligations to remit funds to satisfy clients’ payroll and tax payment obligations and are recorded in the accompanying balance sheets at the time that the Company obtains funds from clients. The client fund obligations represent liabilities that will be repaid within one year of the balance sheet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The Company applies the fair value measurement and disclosure provisions of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w:t>
      </w:r>
      <w:r>
        <w:rPr>
          <w:rFonts w:ascii="Arial" w:cs="Arial" w:eastAsia="Arial" w:hAnsi="Arial"/>
          <w:sz w:val="17"/>
          <w:szCs w:val="17"/>
          <w:i w:val="1"/>
          <w:iCs w:val="1"/>
          <w:color w:val="auto"/>
        </w:rPr>
        <w:t>and Disclosures</w:t>
      </w:r>
      <w:r>
        <w:rPr>
          <w:rFonts w:ascii="Arial" w:cs="Arial" w:eastAsia="Arial" w:hAnsi="Arial"/>
          <w:sz w:val="17"/>
          <w:szCs w:val="17"/>
          <w:color w:val="auto"/>
        </w:rPr>
        <w:t>, and ASU 2011-04,</w:t>
      </w:r>
      <w:r>
        <w:rPr>
          <w:rFonts w:ascii="Arial" w:cs="Arial" w:eastAsia="Arial" w:hAnsi="Arial"/>
          <w:sz w:val="17"/>
          <w:szCs w:val="17"/>
          <w:i w:val="1"/>
          <w:iCs w:val="1"/>
          <w:color w:val="auto"/>
        </w:rPr>
        <w:t xml:space="preserve"> Fair Value Measurement (Topic 820): Amendments to Achieve Common Fair Value Measurement and Disclosure Requirements in U.S. GAAP and IFRS</w:t>
      </w:r>
      <w:r>
        <w:rPr>
          <w:rFonts w:ascii="Arial" w:cs="Arial" w:eastAsia="Arial" w:hAnsi="Arial"/>
          <w:sz w:val="17"/>
          <w:szCs w:val="17"/>
          <w:color w:val="auto"/>
        </w:rPr>
        <w:t>. Fair value is defined as the price that would be received</w:t>
      </w:r>
      <w:r>
        <w:rPr>
          <w:rFonts w:ascii="Arial" w:cs="Arial" w:eastAsia="Arial" w:hAnsi="Arial"/>
          <w:sz w:val="17"/>
          <w:szCs w:val="17"/>
          <w:i w:val="1"/>
          <w:iCs w:val="1"/>
          <w:color w:val="auto"/>
        </w:rPr>
        <w:t xml:space="preserve"> </w:t>
      </w:r>
      <w:r>
        <w:rPr>
          <w:rFonts w:ascii="Arial" w:cs="Arial" w:eastAsia="Arial" w:hAnsi="Arial"/>
          <w:sz w:val="17"/>
          <w:szCs w:val="17"/>
          <w:color w:val="auto"/>
        </w:rPr>
        <w:t>to sell an asset or paid to transfer a liability in an orderly transaction between market participants at the measurement date. A three-level fair value hierarchy prioritizes the inputs used to measure fair value.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hierarchy requires entities to maximize the use of observable inputs and minimize the use of unobservable inputs. The three levels of inputs used to measure fair value are as follows:</w:t>
      </w:r>
    </w:p>
    <w:p>
      <w:pPr>
        <w:spacing w:after="0" w:line="170" w:lineRule="exact"/>
        <w:rPr>
          <w:sz w:val="20"/>
          <w:szCs w:val="20"/>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980" w:right="40" w:hanging="329"/>
        <w:spacing w:after="0" w:line="26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Substantially all of the Company’s assets that are measured at fair value on a recurring basis are measured using Level 1 inputs. The Company considers the recorded value of its financial assets and liabilities, which consist primarily of cash and cash equivalents, accounts receivable, funds held for clients, accounts payable and client fund obligations to approximate the fair value of the respective assets and liabilities at June 30, 2016 and 2017 based upon the short-term nature of these assets and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had agreements with two resellers. The Company, under the revenue sharing provisions of the terminated reseller agreements, paid $2,495 to BFKMS Inc. during fiscal year 2014, and $2,081 and $2,361 to Synergy Payroll, LLC during fiscal years 2014 and 2015, respectively. The reseller agreements provided that the Company was required to acquire the assets of the resellers upon termination of the agreements. The following acquisitions were accounted for as a business combination in accordance with ASC 805, Business Combinations. The Company recorded the acquisitions using the acquisition method of accounting and recognized assets at their fair value as of the date of acquisition.</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May 2014, the Company acquired certain assets sufficient to sell the Company’s products in the Southern California marketplace upon the termination of its reseller agreement with BFKMS Inc. The total consideration paid for the acquisition was $9,435, of which $6,450 and $2,985 was paid during the years ended June 30, 2014 and 2015, respectively. The following table summarizes the fair value of the assets acquired at the date of acquisition: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At May 23, 2014</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0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140" w:type="dxa"/>
            <w:vAlign w:val="bottom"/>
            <w:tcBorders>
              <w:bottom w:val="single" w:sz="8" w:color="CCEEFF"/>
            </w:tcBorders>
          </w:tcPr>
          <w:p>
            <w:pPr>
              <w:spacing w:after="0"/>
              <w:rPr>
                <w:sz w:val="18"/>
                <w:szCs w:val="18"/>
                <w:color w:val="auto"/>
              </w:rPr>
            </w:pPr>
          </w:p>
        </w:tc>
      </w:tr>
      <w:tr>
        <w:trPr>
          <w:trHeight w:val="217"/>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$6,400 of amortizable intangible assets consists of $6,180 in client relationships and $220 in a non-solicitation agreement. Goodwill will be amortized over a period of 15 years for income tax purposes.</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April 2015, the Company acquired certain assets sufficient to sell the Company’s products in the State of New Jersey marketplace upon the termination of its reseller agreement with Synergy Payroll, LLC, as part of the Company’s strategy of simplifying its sales channels. The total consideration for the acquisition was $9,508, of which $8,994 was paid at closing. The Company paid $483 during fiscal year 2016, which was net of adjustments in accordance with the asset purchase agreement. The following table summarizes the fair value of the assets acquired at the date of acquisition: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At April 16, 2015</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0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140" w:type="dxa"/>
            <w:vAlign w:val="bottom"/>
            <w:tcBorders>
              <w:bottom w:val="single" w:sz="8" w:color="CCEEFF"/>
            </w:tcBorders>
          </w:tcPr>
          <w:p>
            <w:pPr>
              <w:spacing w:after="0"/>
              <w:rPr>
                <w:sz w:val="18"/>
                <w:szCs w:val="18"/>
                <w:color w:val="auto"/>
              </w:rPr>
            </w:pPr>
          </w:p>
        </w:tc>
      </w:tr>
      <w:tr>
        <w:trPr>
          <w:trHeight w:val="217"/>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$6,540 of amortizable intangible assets consists of $6,400 in client relationships and $140 in non-solicitation agreements. Goodwill will be amortized over a period of 15 years for income tax purposes.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balance of the acquired intangibles, net of amortization, is stated separately on the consolidated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 costs related to the acquisition were recorded as general and administrative expense as incurred.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Capitalized Internal-Use Software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internal-use software and accumulated amortization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7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49,663</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(22,822)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(32,269)</w:t>
            </w:r>
          </w:p>
        </w:tc>
      </w:tr>
      <w:tr>
        <w:trPr>
          <w:trHeight w:val="217"/>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Amortization of capitalized internal-use software amounted to $2,606, $5,446 and $9,447 for the years ended June 30, 2015, 2016 and 2017, respectively and is included in Cost of Revenues—Recurring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 classes of property and equipment are as follows as of June 30: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460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40" w:type="dxa"/>
            <w:vAlign w:val="bottom"/>
            <w:shd w:val="clear" w:color="auto" w:fill="CCEEFF"/>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Computer equipment</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18,139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24,411</w:t>
            </w:r>
          </w:p>
        </w:tc>
        <w:tc>
          <w:tcPr>
            <w:tcW w:w="40" w:type="dxa"/>
            <w:vAlign w:val="bottom"/>
          </w:tcPr>
          <w:p>
            <w:pPr>
              <w:spacing w:after="0"/>
              <w:rPr>
                <w:sz w:val="19"/>
                <w:szCs w:val="19"/>
                <w:color w:val="auto"/>
              </w:rPr>
            </w:pP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40" w:type="dxa"/>
            <w:vAlign w:val="bottom"/>
            <w:shd w:val="clear" w:color="auto" w:fill="CCEEFF"/>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Software</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4,954</w:t>
            </w:r>
          </w:p>
        </w:tc>
        <w:tc>
          <w:tcPr>
            <w:tcW w:w="40" w:type="dxa"/>
            <w:vAlign w:val="bottom"/>
          </w:tcPr>
          <w:p>
            <w:pPr>
              <w:spacing w:after="0"/>
              <w:rPr>
                <w:sz w:val="19"/>
                <w:szCs w:val="19"/>
                <w:color w:val="auto"/>
              </w:rPr>
            </w:pP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40" w:type="dxa"/>
            <w:vAlign w:val="bottom"/>
            <w:shd w:val="clear" w:color="auto" w:fill="CCEEFF"/>
          </w:tcPr>
          <w:p>
            <w:pPr>
              <w:spacing w:after="0"/>
              <w:rPr>
                <w:sz w:val="19"/>
                <w:szCs w:val="19"/>
                <w:color w:val="auto"/>
              </w:rPr>
            </w:pPr>
          </w:p>
        </w:tc>
      </w:tr>
      <w:tr>
        <w:trPr>
          <w:trHeight w:val="230"/>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24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40" w:type="dxa"/>
            <w:vAlign w:val="bottom"/>
            <w:tcBorders>
              <w:bottom w:val="single" w:sz="8" w:color="CCEEFF"/>
            </w:tcBorders>
          </w:tcPr>
          <w:p>
            <w:pPr>
              <w:spacing w:after="0"/>
              <w:rPr>
                <w:sz w:val="19"/>
                <w:szCs w:val="19"/>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66,169</w:t>
            </w:r>
          </w:p>
        </w:tc>
        <w:tc>
          <w:tcPr>
            <w:tcW w:w="40" w:type="dxa"/>
            <w:vAlign w:val="bottom"/>
            <w:shd w:val="clear" w:color="auto" w:fill="CCEEFF"/>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(18,457)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(25,413)</w:t>
            </w:r>
          </w:p>
        </w:tc>
      </w:tr>
      <w:tr>
        <w:trPr>
          <w:trHeight w:val="217"/>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Depreciation expense amounted to $5,084, $6,905 and $10,068 for the years ended June 30, 2015, 2016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Goodwill represents the excess of cost over the net tangible and identifiable intangible assets of acquired businesses. Goodwill amounts are not amortized, but rather tested for impairment at least annually in the fourth quarter. Identifiable intangible assets acquired in business combinations are recorded based on fair value at the date of acquisition and amortized over their estimated useful lives. See Note 5 for further information regarding the acquisitions completed in 2014 and 2015.</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amortizable intangible assets have estimated useful lives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Year ended June 30,</w:t>
            </w:r>
          </w:p>
        </w:tc>
        <w:tc>
          <w:tcPr>
            <w:tcW w:w="2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Useful</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3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years</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2 - 3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Non-solicitation agreements</w:t>
            </w:r>
          </w:p>
        </w:tc>
        <w:tc>
          <w:tcPr>
            <w:tcW w:w="3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3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200" w:type="dxa"/>
            <w:vAlign w:val="bottom"/>
          </w:tcPr>
          <w:p>
            <w:pPr>
              <w:spacing w:after="0"/>
              <w:rPr>
                <w:sz w:val="24"/>
                <w:szCs w:val="24"/>
                <w:color w:val="auto"/>
              </w:rPr>
            </w:pPr>
          </w:p>
        </w:tc>
        <w:tc>
          <w:tcPr>
            <w:tcW w:w="3260" w:type="dxa"/>
            <w:vAlign w:val="bottom"/>
            <w:gridSpan w:val="2"/>
          </w:tcPr>
          <w:p>
            <w:pPr>
              <w:jc w:val="right"/>
              <w:ind w:right="1670"/>
              <w:spacing w:after="0"/>
              <w:rPr>
                <w:sz w:val="20"/>
                <w:szCs w:val="20"/>
                <w:color w:val="auto"/>
              </w:rPr>
            </w:pPr>
            <w:r>
              <w:rPr>
                <w:rFonts w:ascii="Arial" w:cs="Arial" w:eastAsia="Arial" w:hAnsi="Arial"/>
                <w:sz w:val="18"/>
                <w:szCs w:val="18"/>
                <w:color w:val="auto"/>
              </w:rPr>
              <w:t>F-14</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00" w:type="dxa"/>
            <w:vAlign w:val="bottom"/>
            <w:tcBorders>
              <w:bottom w:val="single" w:sz="8" w:color="auto"/>
            </w:tcBorders>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Amortization expense for acquired intangible assets was $919, $1,522 and $1,512 for the years ended June 30, 2015, 2016 and 2017, respectively. Future amortization expense for acquired intangible is as follows, as of June 30, 2017: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Year ending June 30,</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2019</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2021</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1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30"/>
        </w:trPr>
        <w:tc>
          <w:tcPr>
            <w:tcW w:w="5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r>
      <w:tr>
        <w:trPr>
          <w:trHeight w:val="433"/>
        </w:trPr>
        <w:tc>
          <w:tcPr>
            <w:tcW w:w="5660" w:type="dxa"/>
            <w:vAlign w:val="bottom"/>
          </w:tcPr>
          <w:p>
            <w:pPr>
              <w:spacing w:after="0"/>
              <w:rPr>
                <w:sz w:val="20"/>
                <w:szCs w:val="20"/>
                <w:color w:val="auto"/>
              </w:rPr>
            </w:pPr>
            <w:r>
              <w:rPr>
                <w:rFonts w:ascii="Arial" w:cs="Arial" w:eastAsia="Arial" w:hAnsi="Arial"/>
                <w:sz w:val="18"/>
                <w:szCs w:val="18"/>
                <w:b w:val="1"/>
                <w:bCs w:val="1"/>
                <w:color w:val="auto"/>
              </w:rPr>
              <w:t>(9) Accrued Expenses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5660" w:type="dxa"/>
            <w:vAlign w:val="bottom"/>
          </w:tcPr>
          <w:p>
            <w:pPr>
              <w:ind w:left="660"/>
              <w:spacing w:after="0"/>
              <w:rPr>
                <w:sz w:val="20"/>
                <w:szCs w:val="20"/>
                <w:color w:val="auto"/>
              </w:rPr>
            </w:pPr>
            <w:r>
              <w:rPr>
                <w:rFonts w:ascii="Arial" w:cs="Arial" w:eastAsia="Arial" w:hAnsi="Arial"/>
                <w:sz w:val="18"/>
                <w:szCs w:val="18"/>
                <w:color w:val="auto"/>
              </w:rPr>
              <w:t>The components of accrued expenses are as follows: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5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7"/>
          </w:tcPr>
          <w:p>
            <w:pPr>
              <w:ind w:left="18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56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7"/>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Company primarily leases office space in Illinois, California, Florida, Idaho, New Jersey, New Hampshire and New York under non-cancellable operating leases expiring on various dates from June 2018 through October 2032. The leases provide for increasing annual base rents and oblige the Company to fund proportionate share of operating expenses and, in certain cases, real estate taxes. The Company also leases various types of office and production related equipment under non-cancellable operating leases expiring on various dates from April 2018 through December 2021.</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June 2016, the Company entered into a lease for approximately 310 rentable square feet of office space located in Schaumburg, Illinois. The Company intends to use the leased premises as its headquarters upon the expiration of the lease of its current headquarters. The lease provides for phased delivery and commencement dates, with commencement expected to occur on the following approximate dates: Phase I (June 1, 2017), Phase II (November 1, 2017), Phase III (July 1, 2018), and Phase IV (July 1, 2019). The actual commencement dates are subject to timely delivery of the premises by the landlord. Under the terms of the lease, the Company will receive a tenant improvement allowance equal to $65.00 per rentable square foot and a 12-month rent abatement period for each lease phase. The lease also provides for a term beginning on the Phase I commencement date and ending 180 full calendar months after the landlord delivers the Phase II premises to the Company, which is expected to be on or about November 1, 2017, with two subsequent five-year renewal options.</w:t>
      </w:r>
    </w:p>
    <w:p>
      <w:pPr>
        <w:spacing w:after="0" w:line="16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February 2017, the Company entered into a lease for approximately 62 rentable square feet of office space located in Meridian, Idaho. The Company intends to use the leased premises to accommodate the continued expansion of its employee base in the western region of the United States. The lease provides for phased delivery and commencement dates with commencement expected to occur on the following approximate dates: Phase I (July 1, 2018) and Phase II (February 1, 2020). The actual commencement dates are subject to timely delivery of the premises by the landlord. Under the terms of the lease, the Company will receive a tenant improvement allowance equal to $50.00 per rentable square foot and a 3-month rent abatement period for each lease phase. The lease also provides for a term beginning on the Phase I commencement date and ending after 120 full calendar months with four subsequent five-year renewal options.</w:t>
      </w:r>
    </w:p>
    <w:p>
      <w:pPr>
        <w:spacing w:after="0" w:line="166"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Minimum rent payments under operating leases are recognized on a straight-line basis over the term of the lease including any periods of free rent and future rent increases. Rental expense for operating leases, including amortization of leasehold improvements, was $4,238, $5,596 and $8,571 for the years ended June 30, 2015, 2016 and 2017,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initial or remaining lease terms in excess of one year) as of June 30, 2017 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June 30,</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2018</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2020</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8,573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2022</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 through 2033</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75,161</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7"/>
        </w:trPr>
        <w:tc>
          <w:tcPr>
            <w:tcW w:w="4340" w:type="dxa"/>
            <w:vAlign w:val="bottom"/>
          </w:tcPr>
          <w:p>
            <w:pPr>
              <w:ind w:left="320"/>
              <w:spacing w:after="0"/>
              <w:rPr>
                <w:sz w:val="20"/>
                <w:szCs w:val="20"/>
                <w:color w:val="auto"/>
              </w:rPr>
            </w:pPr>
            <w:r>
              <w:rPr>
                <w:rFonts w:ascii="Arial" w:cs="Arial" w:eastAsia="Arial" w:hAnsi="Arial"/>
                <w:sz w:val="18"/>
                <w:szCs w:val="18"/>
                <w:color w:val="auto"/>
              </w:rPr>
              <w:t>Total minimum lease payments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117,338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46"/>
        </w:trPr>
        <w:tc>
          <w:tcPr>
            <w:tcW w:w="4340" w:type="dxa"/>
            <w:vAlign w:val="bottom"/>
          </w:tcPr>
          <w:p>
            <w:pPr>
              <w:spacing w:after="0"/>
              <w:rPr>
                <w:sz w:val="20"/>
                <w:szCs w:val="20"/>
                <w:color w:val="auto"/>
              </w:rPr>
            </w:pPr>
            <w:r>
              <w:rPr>
                <w:rFonts w:ascii="Arial" w:cs="Arial" w:eastAsia="Arial" w:hAnsi="Arial"/>
                <w:sz w:val="18"/>
                <w:szCs w:val="18"/>
                <w:b w:val="1"/>
                <w:bCs w:val="1"/>
                <w:color w:val="auto"/>
              </w:rPr>
              <w:t>(11) Income Taxes</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340" w:type="dxa"/>
            <w:vAlign w:val="bottom"/>
          </w:tcPr>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Income Taxes</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8220" w:type="dxa"/>
            <w:vAlign w:val="bottom"/>
            <w:gridSpan w:val="10"/>
          </w:tcPr>
          <w:p>
            <w:pPr>
              <w:ind w:left="660"/>
              <w:spacing w:after="0"/>
              <w:rPr>
                <w:sz w:val="20"/>
                <w:szCs w:val="20"/>
                <w:color w:val="auto"/>
              </w:rPr>
            </w:pPr>
            <w:r>
              <w:rPr>
                <w:rFonts w:ascii="Arial" w:cs="Arial" w:eastAsia="Arial" w:hAnsi="Arial"/>
                <w:sz w:val="18"/>
                <w:szCs w:val="18"/>
                <w:color w:val="auto"/>
                <w:w w:val="97"/>
              </w:rPr>
              <w:t>Income tax expense for the years ended June 30, 2015, 2016 and 2017 consists of the following:</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4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1"/>
              </w:rPr>
              <w:t>Year ended June 30,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434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Deferred taxes: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federal</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 and local</w:t>
            </w:r>
          </w:p>
        </w:tc>
        <w:tc>
          <w:tcPr>
            <w:tcW w:w="1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7"/>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900" w:hanging="24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Tax Rate Reconciliation</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Income tax expense differed from the amounts computed by applying the U.S. federal income tax rate of 34% to pretax income (loss) as a result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June 30,</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statutory federal rate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Increase (reduction) in income taxes resulting from:</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Research and development credit, net of federal income tax benefit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Non-deductible expenses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valuation allowance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State and local income taxes, net of federal income tax benefit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r>
      <w:tr>
        <w:trPr>
          <w:trHeight w:val="217"/>
        </w:trPr>
        <w:tc>
          <w:tcPr>
            <w:tcW w:w="5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18"/>
                <w:szCs w:val="18"/>
                <w:color w:val="auto"/>
              </w:rPr>
            </w:pPr>
          </w:p>
        </w:tc>
      </w:tr>
      <w:tr>
        <w:trPr>
          <w:trHeight w:val="864"/>
        </w:trPr>
        <w:tc>
          <w:tcPr>
            <w:tcW w:w="5580" w:type="dxa"/>
            <w:vAlign w:val="bottom"/>
          </w:tcPr>
          <w:p>
            <w:pPr>
              <w:ind w:left="4360"/>
              <w:spacing w:after="0"/>
              <w:rPr>
                <w:sz w:val="20"/>
                <w:szCs w:val="20"/>
                <w:color w:val="auto"/>
              </w:rPr>
            </w:pPr>
            <w:r>
              <w:rPr>
                <w:rFonts w:ascii="Arial" w:cs="Arial" w:eastAsia="Arial" w:hAnsi="Arial"/>
                <w:sz w:val="18"/>
                <w:szCs w:val="18"/>
                <w:color w:val="auto"/>
              </w:rPr>
              <w:t>F-16</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55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00" w:hanging="24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 of Deferred Tax Assets and Liabilities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June 30, 2016 and 2017 are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ind w:left="20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514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Deferred rent</w:t>
            </w:r>
          </w:p>
        </w:tc>
        <w:tc>
          <w:tcPr>
            <w:tcW w:w="19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1,090</w:t>
            </w: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 for doubtful accounts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2,290</w:t>
            </w: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w:t>
            </w:r>
          </w:p>
        </w:tc>
        <w:tc>
          <w:tcPr>
            <w:tcW w:w="60" w:type="dxa"/>
            <w:vAlign w:val="bottom"/>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and other credits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60" w:type="dxa"/>
            <w:vAlign w:val="bottom"/>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AMT Credits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1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60" w:type="dxa"/>
            <w:vAlign w:val="bottom"/>
            <w:shd w:val="clear" w:color="auto" w:fill="CCEEFF"/>
          </w:tcPr>
          <w:p>
            <w:pPr>
              <w:spacing w:after="0"/>
              <w:rPr>
                <w:sz w:val="18"/>
                <w:szCs w:val="18"/>
                <w:color w:val="auto"/>
              </w:rPr>
            </w:pPr>
          </w:p>
        </w:tc>
      </w:tr>
      <w:tr>
        <w:trPr>
          <w:trHeight w:val="210"/>
        </w:trPr>
        <w:tc>
          <w:tcPr>
            <w:tcW w:w="5140" w:type="dxa"/>
            <w:vAlign w:val="bottom"/>
          </w:tcPr>
          <w:p>
            <w:pPr>
              <w:ind w:left="320"/>
              <w:spacing w:after="0"/>
              <w:rPr>
                <w:sz w:val="20"/>
                <w:szCs w:val="20"/>
                <w:color w:val="auto"/>
              </w:rPr>
            </w:pPr>
            <w:r>
              <w:rPr>
                <w:rFonts w:ascii="Arial" w:cs="Arial" w:eastAsia="Arial" w:hAnsi="Arial"/>
                <w:sz w:val="18"/>
                <w:szCs w:val="18"/>
                <w:color w:val="auto"/>
              </w:rPr>
              <w:t>Total deferred tax assets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20,437</w:t>
            </w: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Valuation allowance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60" w:type="dxa"/>
            <w:vAlign w:val="bottom"/>
            <w:shd w:val="clear" w:color="auto" w:fill="CCEEFF"/>
          </w:tcPr>
          <w:p>
            <w:pPr>
              <w:spacing w:after="0"/>
              <w:rPr>
                <w:sz w:val="18"/>
                <w:szCs w:val="18"/>
                <w:color w:val="auto"/>
              </w:rPr>
            </w:pPr>
          </w:p>
        </w:tc>
      </w:tr>
      <w:tr>
        <w:trPr>
          <w:trHeight w:val="210"/>
        </w:trPr>
        <w:tc>
          <w:tcPr>
            <w:tcW w:w="5140" w:type="dxa"/>
            <w:vAlign w:val="bottom"/>
          </w:tcPr>
          <w:p>
            <w:pPr>
              <w:ind w:left="320"/>
              <w:spacing w:after="0"/>
              <w:rPr>
                <w:sz w:val="20"/>
                <w:szCs w:val="20"/>
                <w:color w:val="auto"/>
              </w:rPr>
            </w:pPr>
            <w:r>
              <w:rPr>
                <w:rFonts w:ascii="Arial" w:cs="Arial" w:eastAsia="Arial" w:hAnsi="Arial"/>
                <w:sz w:val="18"/>
                <w:szCs w:val="18"/>
                <w:color w:val="auto"/>
              </w:rPr>
              <w:t>Net deferred tax assets</w:t>
            </w:r>
          </w:p>
        </w:tc>
        <w:tc>
          <w:tcPr>
            <w:tcW w:w="1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Research and development costs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(5,649)</w:t>
            </w: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w:t>
            </w:r>
          </w:p>
        </w:tc>
        <w:tc>
          <w:tcPr>
            <w:tcW w:w="1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60" w:type="dxa"/>
            <w:vAlign w:val="bottom"/>
            <w:tcBorders>
              <w:bottom w:val="single" w:sz="8" w:color="CCEEFF"/>
            </w:tcBorders>
          </w:tcPr>
          <w:p>
            <w:pPr>
              <w:spacing w:after="0"/>
              <w:rPr>
                <w:sz w:val="18"/>
                <w:szCs w:val="18"/>
                <w:color w:val="auto"/>
              </w:rPr>
            </w:pPr>
          </w:p>
        </w:tc>
      </w:tr>
      <w:tr>
        <w:trPr>
          <w:trHeight w:val="210"/>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deferred liabilities</w:t>
            </w:r>
          </w:p>
        </w:tc>
        <w:tc>
          <w:tcPr>
            <w:tcW w:w="1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(12,149)</w:t>
            </w:r>
          </w:p>
        </w:tc>
        <w:tc>
          <w:tcPr>
            <w:tcW w:w="60" w:type="dxa"/>
            <w:vAlign w:val="bottom"/>
            <w:shd w:val="clear" w:color="auto" w:fill="CCEEFF"/>
          </w:tcPr>
          <w:p>
            <w:pPr>
              <w:spacing w:after="0"/>
              <w:rPr>
                <w:sz w:val="18"/>
                <w:szCs w:val="18"/>
                <w:color w:val="auto"/>
              </w:rPr>
            </w:pPr>
          </w:p>
        </w:tc>
      </w:tr>
      <w:tr>
        <w:trPr>
          <w:trHeight w:val="217"/>
        </w:trPr>
        <w:tc>
          <w:tcPr>
            <w:tcW w:w="5140" w:type="dxa"/>
            <w:vAlign w:val="bottom"/>
          </w:tcPr>
          <w:p>
            <w:pPr>
              <w:ind w:left="320"/>
              <w:spacing w:after="0"/>
              <w:rPr>
                <w:sz w:val="20"/>
                <w:szCs w:val="20"/>
                <w:color w:val="auto"/>
              </w:rPr>
            </w:pPr>
            <w:r>
              <w:rPr>
                <w:rFonts w:ascii="Arial" w:cs="Arial" w:eastAsia="Arial" w:hAnsi="Arial"/>
                <w:sz w:val="18"/>
                <w:szCs w:val="18"/>
                <w:color w:val="auto"/>
              </w:rPr>
              <w:t>Net deferred tax liability</w:t>
            </w:r>
          </w:p>
        </w:tc>
        <w:tc>
          <w:tcPr>
            <w:tcW w:w="17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through the generation of future taxable income.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tax-planning strategies in making this assessment. Taxable loss for the years ended June 30, 2015, 2016 and 2017 was approximately $12,424, $8,330 and $3,294, respectively, prior to utilization or establishment of net operating loss carryforwards. Based upon the same three-year period pre-tax book income, the Company is in a three-year cumulative loss position. As a result of this and other assessments in the year ended June 30, 2017, management concluded that a full valuation allowance is required for all deferred tax assets except for those associated with indefinite-lived intangible assets.</w:t>
      </w:r>
    </w:p>
    <w:p>
      <w:pPr>
        <w:spacing w:after="0" w:line="16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At June 30, 2017, the Company has gross excess tax benefits from stock option exercises of approximately $30,264 for federal and state income tax purposes. At June 30, 2017, the Company has net operating loss carryforwards for federal income tax purposes of approximately $484 and state income tax purposes of approximately $1,777, both excluding the excess tax benefits from stock option exercises noted above. The net tax impact of $10,290 and $644 for federal and state income tax purposes, respectively, related to the excess tax benefits from stock option exercises will be credited to additional paid-in capital when realized. The federal NOL carryforwards expire from 2030 to 2037.The state NOL carryforwards expire from 2020 to 2037. The Company also has gross federal and state research and development tax credit and other state credit carryforwards of approximately $4,984, which expire between 2018 and 2037. In addition, the Company has alternative minimum tax credit carryforwards of approximately $11, which are available to reduce future federal regular income taxes, if any, over an indefinite period.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unrecognized tax benefits as of June 30, 2015, 2016 and 2017, respectively.</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files income tax returns with the United States federal government and various state jurisdictions. Certain tax years remain open for federal and state tax reporting jurisdictions in which the Company does business due to net operating loss carryforwards and tax credits unutilized from such years or utilized in a period remaining open for audit under normal statute of limitations relating to income tax liabilities. The Company, including its domestic subsidiary, files a consolidated federal income tax return. For years before 2013 (fiscal year ended June 30, 2014), the Company is no longer subject to U.S. federal examination; however, the Internal Revenue Service (IRS) has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ability to review years prior to 2013 to the extent the Company utilized tax attributes carried forward from those prior years. The statute of limitations on state filings is generally three to four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77" w:lineRule="exact"/>
        <w:rPr>
          <w:sz w:val="20"/>
          <w:szCs w:val="20"/>
          <w:color w:val="auto"/>
        </w:rPr>
      </w:pPr>
    </w:p>
    <w:p>
      <w:pPr>
        <w:ind w:left="340" w:hanging="337"/>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29" w:lineRule="exact"/>
        <w:rPr>
          <w:rFonts w:ascii="Arial" w:cs="Arial" w:eastAsia="Arial" w:hAnsi="Arial"/>
          <w:sz w:val="18"/>
          <w:szCs w:val="18"/>
          <w:b w:val="1"/>
          <w:bCs w:val="1"/>
          <w:color w:val="auto"/>
        </w:rPr>
      </w:pPr>
    </w:p>
    <w:p>
      <w:pPr>
        <w:ind w:left="900" w:hanging="249"/>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 increase automatically each calendar year, continuing through and including January 1, 2024 (“Evergreen provision”). The number of shares added each year will be equal to the lesser of (a) four and five tenths percent (4.5%) of the number of shares of common stock of the Company issued and outstanding on the immediately preceding December 31, or (b) an amount determined by the Company’s board of directors. The Company’s board of directors determined that, effective January 1, 2017, it would increase the number of common shares in reserve for issuance under the 2014 Plan by 2,314 shares.</w:t>
      </w:r>
    </w:p>
    <w:p>
      <w:pPr>
        <w:spacing w:after="0" w:line="16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June 30, 2017, the Company had 12,433 shares allocated to the plans, of which 4,206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changes during the year ended June 30, 2017 in the number of shares available for grant under the Company’s equity incentive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80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January 1, 2017 Evergreen provision increase</w:t>
            </w:r>
          </w:p>
        </w:tc>
        <w:tc>
          <w:tcPr>
            <w:tcW w:w="900" w:type="dxa"/>
            <w:vAlign w:val="bottom"/>
          </w:tcPr>
          <w:p>
            <w:pPr>
              <w:jc w:val="right"/>
              <w:spacing w:after="0"/>
              <w:rPr>
                <w:sz w:val="20"/>
                <w:szCs w:val="20"/>
                <w:color w:val="auto"/>
              </w:rPr>
            </w:pPr>
            <w:r>
              <w:rPr>
                <w:rFonts w:ascii="Arial" w:cs="Arial" w:eastAsia="Arial" w:hAnsi="Arial"/>
                <w:sz w:val="18"/>
                <w:szCs w:val="18"/>
                <w:color w:val="auto"/>
              </w:rPr>
              <w:t>2,314</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RSUs granted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Forfeitures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Shares removed</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r>
      <w:tr>
        <w:trPr>
          <w:trHeight w:val="217"/>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June 30, 2017</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audited consolidated statements of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Cost of revenue – non-recurring</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3,086</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13,842</w:t>
            </w:r>
          </w:p>
        </w:tc>
        <w:tc>
          <w:tcPr>
            <w:tcW w:w="80" w:type="dxa"/>
            <w:vAlign w:val="bottom"/>
            <w:shd w:val="clear" w:color="auto" w:fill="CCEEFF"/>
          </w:tcPr>
          <w:p>
            <w:pPr>
              <w:spacing w:after="0"/>
              <w:rPr>
                <w:sz w:val="18"/>
                <w:szCs w:val="18"/>
                <w:color w:val="auto"/>
              </w:rPr>
            </w:pPr>
          </w:p>
        </w:tc>
      </w:tr>
      <w:tr>
        <w:trPr>
          <w:trHeight w:val="224"/>
        </w:trPr>
        <w:tc>
          <w:tcPr>
            <w:tcW w:w="65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13,169</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17,563</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26,734</w:t>
            </w:r>
          </w:p>
        </w:tc>
        <w:tc>
          <w:tcPr>
            <w:tcW w:w="80" w:type="dxa"/>
            <w:vAlign w:val="bottom"/>
          </w:tcPr>
          <w:p>
            <w:pPr>
              <w:spacing w:after="0"/>
              <w:rPr>
                <w:sz w:val="19"/>
                <w:szCs w:val="19"/>
                <w:color w:val="auto"/>
              </w:rPr>
            </w:pPr>
          </w:p>
        </w:tc>
      </w:tr>
    </w:tbl>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the Company capitalized $655, $1,078 and $1,773 of stock-based compensation costs in its internal-use software in the years ended June 30, 2015, 2016 and 2017, respectively.</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June 2017, Peter McGrail ceased to serve as the Company’s Chief Financial Officer, but continued to serve as an employee of the Company. In connection with Mr. McGrail’s modified employment arrangement, the compensation committee of the Board of Directors approved modifications to terms of the unvested equity awards granted to Mr. McGrail. Any awards held by Mr. McGrail that are subject to time-based vesting will become fully-vested upon his death or disability. Additionally, any performance-based restricted stock unit (“PSU”) awards held by Mr. McGrail will continue to vest and settle based upon actual achievement of previously-established performance metrics, with Mr. McGrail receiving a pro-rata share of the PSU awards based on the number of days Mr. McGrail is employed over the vesting period. As a result of these award modifications, the Company recognized $2,925 in additional stock-based compensation expense for the fiscal year ended June 30, 2017, which was included in general and administrative expense in the Company’s consolidated statements of operations.</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values stock options using the Black-Scholes option-pricing model, which requires the input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subjective assumptions, including the risk-free interest rate, expected life, expected stock price volatility and dividend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yield. The risk-free interest rate assumption is based upon observed interest rates for U.S. Treasury securities consistent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expected term of the Company’s employee stock options. The expected life represents the period of time the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expected to be outstanding and is based on the simplified method. Under the simplified method, the expected life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is presumed to be the mid-point between the vesting date and the end of the contractual term. As the Company has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history of trading as a public company, the Company utilizes the simplified method due to the lack of sufficient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historical exercise data to provide a reasonable basis upon which to otherwise estimate the expected life of the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Therefore, the expected volatility is based on historical volatilities for publicly traded stock of comparable companies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expected life of the stock options. The Company assumed no dividend yield because it does not expect to pay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dividends in the near future, which is consistent with the Company’s history of not paying dividends.</w:t>
      </w:r>
    </w:p>
    <w:p>
      <w:pPr>
        <w:spacing w:after="0" w:line="21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There were no stock options granted during the year ended June 30, 2017. The following table summarizes the assumptions used for estimating the fair value of stock options granted for the years ended June 30: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40" w:type="dxa"/>
            <w:vAlign w:val="bottom"/>
            <w:gridSpan w:val="4"/>
          </w:tcPr>
          <w:p>
            <w:pPr>
              <w:ind w:left="48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3060" w:type="dxa"/>
            <w:vAlign w:val="bottom"/>
            <w:tcBorders>
              <w:bottom w:val="single" w:sz="8" w:color="CCEEFF"/>
            </w:tcBorders>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3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Expected term (years)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r>
      <w:tr>
        <w:trPr>
          <w:trHeight w:val="648"/>
        </w:trPr>
        <w:tc>
          <w:tcPr>
            <w:tcW w:w="3060" w:type="dxa"/>
            <w:vAlign w:val="bottom"/>
          </w:tcPr>
          <w:p>
            <w:pPr>
              <w:spacing w:after="0"/>
              <w:rPr>
                <w:sz w:val="24"/>
                <w:szCs w:val="24"/>
                <w:color w:val="auto"/>
              </w:rPr>
            </w:pPr>
          </w:p>
        </w:tc>
        <w:tc>
          <w:tcPr>
            <w:tcW w:w="4820" w:type="dxa"/>
            <w:vAlign w:val="bottom"/>
            <w:gridSpan w:val="3"/>
          </w:tcPr>
          <w:p>
            <w:pPr>
              <w:ind w:left="1300"/>
              <w:spacing w:after="0"/>
              <w:rPr>
                <w:sz w:val="20"/>
                <w:szCs w:val="20"/>
                <w:color w:val="auto"/>
              </w:rPr>
            </w:pPr>
            <w:r>
              <w:rPr>
                <w:rFonts w:ascii="Arial" w:cs="Arial" w:eastAsia="Arial" w:hAnsi="Arial"/>
                <w:sz w:val="18"/>
                <w:szCs w:val="18"/>
                <w:color w:val="auto"/>
              </w:rPr>
              <w:t>F-19</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306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during the periods indicated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w w:val="96"/>
              </w:rPr>
              <w:t>Outstanding Options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700" w:type="dxa"/>
            <w:vAlign w:val="bottom"/>
          </w:tcPr>
          <w:p>
            <w:pPr>
              <w:jc w:val="right"/>
              <w:ind w:right="74"/>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term (years)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108,944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Options forfeited</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18.88</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June 30, 2017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11.54</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5.69</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92,556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June 30, 2017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84,757</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line="203" w:lineRule="exact"/>
              <w:rPr>
                <w:sz w:val="20"/>
                <w:szCs w:val="20"/>
                <w:color w:val="auto"/>
              </w:rPr>
            </w:pPr>
            <w:r>
              <w:rPr>
                <w:rFonts w:ascii="Arial" w:cs="Arial" w:eastAsia="Arial" w:hAnsi="Arial"/>
                <w:sz w:val="18"/>
                <w:szCs w:val="18"/>
                <w:color w:val="auto"/>
              </w:rPr>
              <w:t>Options vested and expected to vest at June 30, 2017</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2,742</w:t>
            </w:r>
          </w:p>
        </w:tc>
        <w:tc>
          <w:tcPr>
            <w:tcW w:w="26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93"/>
              </w:rPr>
              <w:t>11.47</w:t>
            </w:r>
          </w:p>
        </w:tc>
        <w:tc>
          <w:tcPr>
            <w:tcW w:w="140" w:type="dxa"/>
            <w:vAlign w:val="bottom"/>
          </w:tcPr>
          <w:p>
            <w:pPr>
              <w:spacing w:after="0"/>
              <w:rPr>
                <w:sz w:val="18"/>
                <w:szCs w:val="18"/>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5.68</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92,414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There were no stock options granted during the year ended June 30, 2017. The weighted average grant date fair value of options granted during the years ended June 30, 2015 and 2016 was $11.14 and $12.92, respectively. The total intrinsic value of options exercised during the years ended June 30, 2015, 2016 and 2017 was $8,802, $13,362 and $20,802, respectively. At June 30, 2017, there was $625 of total unrecognized compensation cost, net of estimated forfeitures, related to unvested stock options granted. That cost is expected to be recognized over a weighted average period of 1.36 years.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information about stock options outstanding and stock options exercisable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auto"/>
            </w:tcBorders>
            <w:gridSpan w:val="6"/>
          </w:tcPr>
          <w:p>
            <w:pPr>
              <w:jc w:val="right"/>
              <w:ind w:right="393"/>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Options Exercisable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remaining</w:t>
            </w: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Price Range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exercise</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term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$1.31 to $3.58</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$3.59 to $5.96</w:t>
            </w:r>
          </w:p>
        </w:tc>
        <w:tc>
          <w:tcPr>
            <w:tcW w:w="580" w:type="dxa"/>
            <w:vAlign w:val="bottom"/>
          </w:tcPr>
          <w:p>
            <w:pPr>
              <w:jc w:val="right"/>
              <w:spacing w:after="0"/>
              <w:rPr>
                <w:sz w:val="20"/>
                <w:szCs w:val="20"/>
                <w:color w:val="auto"/>
              </w:rPr>
            </w:pPr>
            <w:r>
              <w:rPr>
                <w:rFonts w:ascii="Arial" w:cs="Arial" w:eastAsia="Arial" w:hAnsi="Arial"/>
                <w:sz w:val="18"/>
                <w:szCs w:val="18"/>
                <w:color w:val="auto"/>
              </w:rPr>
              <w:t>854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$5.97 to $12.02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$12.03 to $20.90</w:t>
            </w:r>
          </w:p>
        </w:tc>
        <w:tc>
          <w:tcPr>
            <w:tcW w:w="580" w:type="dxa"/>
            <w:vAlign w:val="bottom"/>
          </w:tcPr>
          <w:p>
            <w:pPr>
              <w:jc w:val="right"/>
              <w:spacing w:after="0"/>
              <w:rPr>
                <w:sz w:val="20"/>
                <w:szCs w:val="20"/>
                <w:color w:val="auto"/>
              </w:rPr>
            </w:pPr>
            <w:r>
              <w:rPr>
                <w:rFonts w:ascii="Arial" w:cs="Arial" w:eastAsia="Arial" w:hAnsi="Arial"/>
                <w:sz w:val="18"/>
                <w:szCs w:val="18"/>
                <w:color w:val="auto"/>
              </w:rPr>
              <w:t>796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17.00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$20.91 to $35.28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11.54</w:t>
            </w: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The Company may also grant RSUs under the 2014 Plan with terms determined at the discretion of the compensation committee of the Company’s board of directors. RSUs generally vest over three or four years following the grant date. Certain RSU awards have time-based vesting conditions while other RSUs vest based on the achievement of certain revenue metrics in future fiscal years. The following table represents restricted stock unit activity during the year ended June 30,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RSUs 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774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June 30, 2017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line="203" w:lineRule="exact"/>
              <w:rPr>
                <w:sz w:val="20"/>
                <w:szCs w:val="20"/>
                <w:color w:val="auto"/>
              </w:rPr>
            </w:pPr>
            <w:r>
              <w:rPr>
                <w:rFonts w:ascii="Arial" w:cs="Arial" w:eastAsia="Arial" w:hAnsi="Arial"/>
                <w:sz w:val="18"/>
                <w:szCs w:val="18"/>
                <w:color w:val="auto"/>
              </w:rPr>
              <w:t>RSUs expected to vest at June 30, 2017</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1,269</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At June 30, 2017, there was $20,599 of total unrecognized compensation cost, net of estimated forfeitures, related to unvested restricted stock units granted. That cost is expected to be recognized over a weighted average period of 1.89 years.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total excess income tax benefits for stock-based compensation arrangements was $5,562, $8,228 and $15,130 for the years ended June 30, 2015, 2016 and 2017, respectively. As described in Note 2, the Company will adopt ASU 2016-09 as of July 1, 2017. As a result, in the future, the Company will recognize these tax benefits through income tax expense instead of additional paid-in capital as required under current GAAP.</w:t>
      </w:r>
    </w:p>
    <w:p>
      <w:pPr>
        <w:spacing w:after="0" w:line="187" w:lineRule="exact"/>
        <w:rPr>
          <w:sz w:val="20"/>
          <w:szCs w:val="20"/>
          <w:color w:val="auto"/>
        </w:rPr>
      </w:pPr>
    </w:p>
    <w:p>
      <w:pPr>
        <w:ind w:left="900" w:hanging="24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6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As of June 30, 2017, a total of 824 shares of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400, (b) seventy-five one hundredths percent (0.75%) of the number of shares of common stock of the Company issued and outstanding on the immediately preceding December 31, or (c) an amount determined by the Company’s board of directors. For fiscal year 2017, the Company’s board of directors determined that it would not increase the number of common shares reserved for issuance under the ESPP.</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issued a total of 127 shares upon the completion of its six-month offering periods ending November 15, 2016 and May 15, 2017. The Company recorded compensation expense attributable to the ESPP of $656, $1,069 and $1,263 for the years ended June 30, 2015, 2016 and 2017, respectively, which is included in the summary of stock-based compensation expense above. The grant date fair value of the ESPP offering periods was estimated using the following weighted average assumptions: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June 30,</w:t>
            </w:r>
          </w:p>
        </w:tc>
        <w:tc>
          <w:tcPr>
            <w:tcW w:w="1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5280" w:type="dxa"/>
            <w:vAlign w:val="bottom"/>
          </w:tcPr>
          <w:p>
            <w:pPr>
              <w:spacing w:after="0"/>
              <w:rPr>
                <w:sz w:val="18"/>
                <w:szCs w:val="18"/>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8"/>
                <w:szCs w:val="18"/>
                <w:color w:val="auto"/>
              </w:rPr>
            </w:pPr>
          </w:p>
        </w:tc>
        <w:tc>
          <w:tcPr>
            <w:tcW w:w="11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8"/>
                <w:szCs w:val="18"/>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35.5 - 48.4%</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44.1 - 53.4%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38.9 - 53.4%</w:t>
            </w:r>
          </w:p>
        </w:tc>
        <w:tc>
          <w:tcPr>
            <w:tcW w:w="40" w:type="dxa"/>
            <w:vAlign w:val="bottom"/>
            <w:shd w:val="clear" w:color="auto" w:fill="CCEEFF"/>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Expected term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0.3 - 0.5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r>
      <w:tr>
        <w:trPr>
          <w:trHeight w:val="230"/>
        </w:trPr>
        <w:tc>
          <w:tcPr>
            <w:tcW w:w="528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0.04 - 0.11%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0.11 - 0.31%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0.28 - 1.02%</w:t>
            </w:r>
          </w:p>
        </w:tc>
        <w:tc>
          <w:tcPr>
            <w:tcW w:w="40" w:type="dxa"/>
            <w:vAlign w:val="bottom"/>
            <w:shd w:val="clear" w:color="auto" w:fill="CCEEFF"/>
          </w:tcPr>
          <w:p>
            <w:pPr>
              <w:spacing w:after="0"/>
              <w:rPr>
                <w:sz w:val="19"/>
                <w:szCs w:val="19"/>
                <w:color w:val="auto"/>
              </w:rPr>
            </w:pPr>
          </w:p>
        </w:tc>
      </w:tr>
    </w:tbl>
    <w:p>
      <w:pPr>
        <w:spacing w:after="0" w:line="215" w:lineRule="exact"/>
        <w:rPr>
          <w:sz w:val="20"/>
          <w:szCs w:val="20"/>
          <w:color w:val="auto"/>
        </w:rPr>
      </w:pPr>
    </w:p>
    <w:p>
      <w:pPr>
        <w:ind w:left="940" w:hanging="235"/>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maintains a 401(k) plan with a safe harbor matching provision that covers all eligible employees. Up to December 31, 2015, the Company matched 50% of the employees’ contributions up to 6% of their gross pay. Effective January 1, 2016, the Company increased its match to 50% of employees’ contributions up to 8% of their gross pay. Contributions were $1,656, $2,717 and $3,667 for the years ended June 30, 2015, 2016 and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left="900" w:hanging="249"/>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has employment agreements with certain of its key officers. The agreements allow for minimum annual compensation increases, participation in equity incentive plans and bonuses for annual performance as well as certain change of control events as defined in the agreements.</w:t>
      </w:r>
    </w:p>
    <w:p>
      <w:pPr>
        <w:spacing w:after="0" w:line="181" w:lineRule="exact"/>
        <w:rPr>
          <w:sz w:val="20"/>
          <w:szCs w:val="20"/>
          <w:color w:val="auto"/>
        </w:rPr>
      </w:pPr>
    </w:p>
    <w:p>
      <w:pPr>
        <w:ind w:left="900" w:hanging="24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From time to time, the Company is subject to litigation arising in the ordinary course of business. Many of these proceedings are covered in whole or in part by insurance. In the opinion of the Company’s management, the ultimate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disposition of any matters currently outstanding or threatened will not have a material adverse effect on the Company’s financial position,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Basic net income (loss) per share is computed using the weighted-average number of common shares outstanding during the period. Diluted net income (loss)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calculation of basic and diluted net income (loss)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Year ended June 30,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(13,972)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(3,851)</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Denominator: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shares used in computing net income (loss) per share: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50,913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51,415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Employee stock options and restricted stock units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50,913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54,057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following table summarizes the outstanding employee stock options, restricted stock units and employee stock purchase plan shares that were excluded from the diluted per share calculation for the periods presented because to include them would have been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Year ended June 30,</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7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shares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2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380" w:type="dxa"/>
            <w:vAlign w:val="bottom"/>
            <w:gridSpan w:val="2"/>
          </w:tcPr>
          <w:p>
            <w:pPr>
              <w:jc w:val="right"/>
              <w:ind w:right="2119"/>
              <w:spacing w:after="0"/>
              <w:rPr>
                <w:sz w:val="20"/>
                <w:szCs w:val="20"/>
                <w:color w:val="auto"/>
              </w:rPr>
            </w:pPr>
            <w:r>
              <w:rPr>
                <w:rFonts w:ascii="Arial" w:cs="Arial" w:eastAsia="Arial" w:hAnsi="Arial"/>
                <w:sz w:val="18"/>
                <w:szCs w:val="18"/>
                <w:color w:val="auto"/>
              </w:rPr>
              <w:t>F-22</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229" w:lineRule="exact"/>
        <w:rPr>
          <w:sz w:val="20"/>
          <w:szCs w:val="20"/>
          <w:color w:val="auto"/>
        </w:rPr>
      </w:pPr>
    </w:p>
    <w:p>
      <w:pPr>
        <w:ind w:right="80" w:firstLine="551"/>
        <w:spacing w:after="0" w:line="277" w:lineRule="auto"/>
        <w:rPr>
          <w:sz w:val="20"/>
          <w:szCs w:val="20"/>
          <w:color w:val="auto"/>
        </w:rPr>
      </w:pPr>
      <w:r>
        <w:rPr>
          <w:rFonts w:ascii="Arial" w:cs="Arial" w:eastAsia="Arial" w:hAnsi="Arial"/>
          <w:sz w:val="18"/>
          <w:szCs w:val="18"/>
          <w:color w:val="auto"/>
        </w:rPr>
        <w:t>The following tables set forth selected unaudited quarterly statements of operations data for each of the eight quarters in the years ended June 30, 2016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March 31, 2016</w:t>
            </w:r>
          </w:p>
        </w:tc>
        <w:tc>
          <w:tcPr>
            <w:tcW w:w="140" w:type="dxa"/>
            <w:vAlign w:val="bottom"/>
          </w:tcPr>
          <w:p>
            <w:pPr>
              <w:spacing w:after="0"/>
              <w:rPr>
                <w:sz w:val="10"/>
                <w:szCs w:val="10"/>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June 30, 2016</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Consolidated Statements of Operations Data</w:t>
            </w:r>
          </w:p>
        </w:tc>
        <w:tc>
          <w:tcPr>
            <w:tcW w:w="3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45,108</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55,184</w:t>
            </w:r>
          </w:p>
        </w:tc>
        <w:tc>
          <w:tcPr>
            <w:tcW w:w="80" w:type="dxa"/>
            <w:vAlign w:val="bottom"/>
          </w:tcPr>
          <w:p>
            <w:pPr>
              <w:spacing w:after="0"/>
              <w:rPr>
                <w:sz w:val="12"/>
                <w:szCs w:val="12"/>
                <w:color w:val="auto"/>
              </w:rPr>
            </w:pP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70,570</w:t>
            </w:r>
          </w:p>
        </w:tc>
        <w:tc>
          <w:tcPr>
            <w:tcW w:w="4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59,839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24,913</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31,084</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43,361</w:t>
            </w:r>
          </w:p>
        </w:tc>
        <w:tc>
          <w:tcPr>
            <w:tcW w:w="4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(3,417)</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(1,294)</w:t>
            </w: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6,201</w:t>
            </w:r>
          </w:p>
        </w:tc>
        <w:tc>
          <w:tcPr>
            <w:tcW w:w="4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(5,040)</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(3,435)</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(1,165)</w:t>
            </w:r>
          </w:p>
        </w:tc>
        <w:tc>
          <w:tcPr>
            <w:tcW w:w="5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6,161</w:t>
            </w:r>
          </w:p>
        </w:tc>
        <w:tc>
          <w:tcPr>
            <w:tcW w:w="4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(5,412)</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Net income (loss) per share: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(0.02)</w:t>
            </w:r>
          </w:p>
        </w:tc>
        <w:tc>
          <w:tcPr>
            <w:tcW w:w="5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0.12</w:t>
            </w:r>
          </w:p>
        </w:tc>
        <w:tc>
          <w:tcPr>
            <w:tcW w:w="4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(0.07)</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(0.02)</w:t>
            </w: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0.12</w:t>
            </w:r>
          </w:p>
        </w:tc>
        <w:tc>
          <w:tcPr>
            <w:tcW w:w="4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Weighted-average shares used in computing net income (loss) per share:</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50,744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50,890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50,962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51,058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50,744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50,890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53,424</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March 31, 2017</w:t>
            </w:r>
          </w:p>
        </w:tc>
        <w:tc>
          <w:tcPr>
            <w:tcW w:w="140" w:type="dxa"/>
            <w:vAlign w:val="bottom"/>
          </w:tcPr>
          <w:p>
            <w:pPr>
              <w:spacing w:after="0"/>
              <w:rPr>
                <w:sz w:val="10"/>
                <w:szCs w:val="10"/>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June 30, 2017</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Consolidated Statements of Operations Data</w:t>
            </w:r>
          </w:p>
        </w:tc>
        <w:tc>
          <w:tcPr>
            <w:tcW w:w="3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65,022</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68,654</w:t>
            </w:r>
          </w:p>
        </w:tc>
        <w:tc>
          <w:tcPr>
            <w:tcW w:w="80" w:type="dxa"/>
            <w:vAlign w:val="bottom"/>
          </w:tcPr>
          <w:p>
            <w:pPr>
              <w:spacing w:after="0"/>
              <w:rPr>
                <w:sz w:val="12"/>
                <w:szCs w:val="12"/>
                <w:color w:val="auto"/>
              </w:rPr>
            </w:pP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90,273</w:t>
            </w:r>
          </w:p>
        </w:tc>
        <w:tc>
          <w:tcPr>
            <w:tcW w:w="4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36,663</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38,271</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58,191</w:t>
            </w:r>
          </w:p>
        </w:tc>
        <w:tc>
          <w:tcPr>
            <w:tcW w:w="4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(2,507)</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(1,643)</w:t>
            </w: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14,880</w:t>
            </w:r>
          </w:p>
        </w:tc>
        <w:tc>
          <w:tcPr>
            <w:tcW w:w="4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(3,434)</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(2,568)</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(1,671)</w:t>
            </w:r>
          </w:p>
        </w:tc>
        <w:tc>
          <w:tcPr>
            <w:tcW w:w="5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14,801</w:t>
            </w:r>
          </w:p>
        </w:tc>
        <w:tc>
          <w:tcPr>
            <w:tcW w:w="4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(3,844)</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Net income (loss) per share: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(0.03)</w:t>
            </w:r>
          </w:p>
        </w:tc>
        <w:tc>
          <w:tcPr>
            <w:tcW w:w="5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0.29</w:t>
            </w:r>
          </w:p>
        </w:tc>
        <w:tc>
          <w:tcPr>
            <w:tcW w:w="4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(0.03)</w:t>
            </w: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0.27</w:t>
            </w:r>
          </w:p>
        </w:tc>
        <w:tc>
          <w:tcPr>
            <w:tcW w:w="4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Weighted-average shares used in computing net income (loss) per share:</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51,231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51,384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51,447</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51,602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51,231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51,384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54,002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0"/>
          </w:tcPr>
          <w:p>
            <w:pPr>
              <w:ind w:left="580"/>
              <w:spacing w:after="0"/>
              <w:rPr>
                <w:sz w:val="20"/>
                <w:szCs w:val="20"/>
                <w:color w:val="auto"/>
              </w:rPr>
            </w:pPr>
            <w:r>
              <w:rPr>
                <w:rFonts w:ascii="Arial" w:cs="Arial" w:eastAsia="Arial" w:hAnsi="Arial"/>
                <w:sz w:val="18"/>
                <w:szCs w:val="18"/>
                <w:b w:val="1"/>
                <w:bCs w:val="1"/>
                <w:color w:val="auto"/>
              </w:rPr>
              <w:t>EXHIBIT INDEX</w:t>
            </w:r>
          </w:p>
        </w:tc>
      </w:tr>
      <w:tr>
        <w:trPr>
          <w:trHeight w:val="355"/>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22"/>
          </w:tcPr>
          <w:p>
            <w:pPr>
              <w:ind w:left="180"/>
              <w:spacing w:after="0"/>
              <w:rPr>
                <w:sz w:val="20"/>
                <w:szCs w:val="20"/>
                <w:color w:val="auto"/>
              </w:rPr>
            </w:pPr>
            <w:r>
              <w:rPr>
                <w:rFonts w:ascii="Arial" w:cs="Arial" w:eastAsia="Arial" w:hAnsi="Arial"/>
                <w:sz w:val="14"/>
                <w:szCs w:val="14"/>
                <w:b w:val="1"/>
                <w:bCs w:val="1"/>
                <w:color w:val="auto"/>
              </w:rPr>
              <w:t>Exhibit Description</w:t>
            </w:r>
          </w:p>
        </w:tc>
      </w:tr>
      <w:tr>
        <w:trPr>
          <w:trHeight w:val="345"/>
        </w:trPr>
        <w:tc>
          <w:tcPr>
            <w:tcW w:w="720" w:type="dxa"/>
            <w:vAlign w:val="bottom"/>
          </w:tcPr>
          <w:p>
            <w:pPr>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4"/>
                <w:szCs w:val="24"/>
                <w:color w:val="auto"/>
              </w:rPr>
            </w:pPr>
          </w:p>
        </w:tc>
        <w:tc>
          <w:tcPr>
            <w:tcW w:w="3540" w:type="dxa"/>
            <w:vAlign w:val="bottom"/>
            <w:tcBorders>
              <w:bottom w:val="single" w:sz="8" w:color="0000EE"/>
            </w:tcBorders>
            <w:gridSpan w:val="11"/>
          </w:tcPr>
          <w:p>
            <w:pPr>
              <w:spacing w:after="0"/>
              <w:rPr>
                <w:rFonts w:ascii="Arial" w:cs="Arial" w:eastAsia="Arial" w:hAnsi="Arial"/>
                <w:sz w:val="16"/>
                <w:szCs w:val="16"/>
                <w:color w:val="0000EE"/>
                <w:w w:val="90"/>
              </w:rPr>
            </w:pPr>
            <w:hyperlink r:id="rId108">
              <w:r>
                <w:rPr>
                  <w:rFonts w:ascii="Arial" w:cs="Arial" w:eastAsia="Arial" w:hAnsi="Arial"/>
                  <w:sz w:val="16"/>
                  <w:szCs w:val="16"/>
                  <w:color w:val="0000EE"/>
                  <w:w w:val="90"/>
                </w:rPr>
                <w:t>Share Exchange Agreement, dated November 7, 2013.</w:t>
              </w:r>
            </w:hyperlink>
          </w:p>
        </w:tc>
        <w:tc>
          <w:tcPr>
            <w:tcW w:w="1140" w:type="dxa"/>
            <w:vAlign w:val="bottom"/>
            <w:gridSpan w:val="16"/>
          </w:tcPr>
          <w:p>
            <w:pPr>
              <w:spacing w:after="0"/>
              <w:rPr>
                <w:sz w:val="24"/>
                <w:szCs w:val="24"/>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rPr>
            </w:pPr>
            <w:hyperlink r:id="rId109">
              <w:r>
                <w:rPr>
                  <w:rFonts w:ascii="Arial" w:cs="Arial" w:eastAsia="Arial" w:hAnsi="Arial"/>
                  <w:sz w:val="16"/>
                  <w:szCs w:val="16"/>
                  <w:color w:val="0000EE"/>
                </w:rPr>
                <w:t>First Amended and Restated Certificate of Incorporation of the</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0000EE"/>
              <w:bottom w:val="single" w:sz="8" w:color="0000EE"/>
            </w:tcBorders>
            <w:gridSpan w:val="3"/>
          </w:tcPr>
          <w:p>
            <w:pPr>
              <w:spacing w:after="0" w:line="155" w:lineRule="exact"/>
              <w:rPr>
                <w:rFonts w:ascii="Arial" w:cs="Arial" w:eastAsia="Arial" w:hAnsi="Arial"/>
                <w:sz w:val="16"/>
                <w:szCs w:val="16"/>
                <w:color w:val="0000EE"/>
                <w:w w:val="90"/>
              </w:rPr>
            </w:pPr>
            <w:hyperlink r:id="rId109">
              <w:r>
                <w:rPr>
                  <w:rFonts w:ascii="Arial" w:cs="Arial" w:eastAsia="Arial" w:hAnsi="Arial"/>
                  <w:sz w:val="16"/>
                  <w:szCs w:val="16"/>
                  <w:color w:val="0000EE"/>
                  <w:w w:val="90"/>
                </w:rPr>
                <w:t>Registrant.</w:t>
              </w:r>
            </w:hyperlink>
          </w:p>
        </w:tc>
        <w:tc>
          <w:tcPr>
            <w:tcW w:w="3360" w:type="dxa"/>
            <w:vAlign w:val="bottom"/>
            <w:tcBorders>
              <w:top w:val="single" w:sz="8" w:color="0000EE"/>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Amended and Restated By-Laws of the Registrant.</w:t>
              </w:r>
            </w:hyperlink>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w w:val="97"/>
              </w:rPr>
            </w:pPr>
            <w:hyperlink r:id="rId110">
              <w:r>
                <w:rPr>
                  <w:rFonts w:ascii="Arial" w:cs="Arial" w:eastAsia="Arial" w:hAnsi="Arial"/>
                  <w:sz w:val="16"/>
                  <w:szCs w:val="16"/>
                  <w:color w:val="0000EE"/>
                  <w:w w:val="97"/>
                </w:rPr>
                <w:t>Amended and Restated Investor Rights Agreement, dated June 29,</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0000EE"/>
              <w:bottom w:val="single" w:sz="8" w:color="0000EE"/>
            </w:tcBorders>
          </w:tcPr>
          <w:p>
            <w:pPr>
              <w:spacing w:after="0" w:line="155" w:lineRule="exact"/>
              <w:rPr>
                <w:rFonts w:ascii="Arial" w:cs="Arial" w:eastAsia="Arial" w:hAnsi="Arial"/>
                <w:sz w:val="16"/>
                <w:szCs w:val="16"/>
                <w:color w:val="0000EE"/>
                <w:w w:val="89"/>
              </w:rPr>
            </w:pPr>
            <w:hyperlink r:id="rId110">
              <w:r>
                <w:rPr>
                  <w:rFonts w:ascii="Arial" w:cs="Arial" w:eastAsia="Arial" w:hAnsi="Arial"/>
                  <w:sz w:val="16"/>
                  <w:szCs w:val="16"/>
                  <w:color w:val="0000EE"/>
                  <w:w w:val="89"/>
                </w:rPr>
                <w:t>2012.</w:t>
              </w:r>
            </w:hyperlink>
          </w:p>
        </w:tc>
        <w:tc>
          <w:tcPr>
            <w:tcW w:w="6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7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4060" w:type="dxa"/>
            <w:vAlign w:val="bottom"/>
            <w:tcBorders>
              <w:bottom w:val="single" w:sz="8" w:color="0000EE"/>
            </w:tcBorders>
            <w:gridSpan w:val="13"/>
          </w:tcPr>
          <w:p>
            <w:pPr>
              <w:spacing w:after="0"/>
              <w:rPr>
                <w:rFonts w:ascii="Arial" w:cs="Arial" w:eastAsia="Arial" w:hAnsi="Arial"/>
                <w:sz w:val="16"/>
                <w:szCs w:val="16"/>
                <w:color w:val="0000EE"/>
                <w:w w:val="93"/>
              </w:rPr>
            </w:pPr>
            <w:hyperlink r:id="rId111">
              <w:r>
                <w:rPr>
                  <w:rFonts w:ascii="Arial" w:cs="Arial" w:eastAsia="Arial" w:hAnsi="Arial"/>
                  <w:sz w:val="16"/>
                  <w:szCs w:val="16"/>
                  <w:color w:val="0000EE"/>
                  <w:w w:val="93"/>
                </w:rPr>
                <w:t>Form of Indemnification Agreement for directors and officers.</w:t>
              </w:r>
            </w:hyperlink>
          </w:p>
        </w:tc>
        <w:tc>
          <w:tcPr>
            <w:tcW w:w="620" w:type="dxa"/>
            <w:vAlign w:val="bottom"/>
            <w:gridSpan w:val="14"/>
          </w:tcPr>
          <w:p>
            <w:pPr>
              <w:spacing w:after="0"/>
              <w:rPr>
                <w:sz w:val="24"/>
                <w:szCs w:val="24"/>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rPr>
            </w:pPr>
            <w:hyperlink r:id="rId112">
              <w:r>
                <w:rPr>
                  <w:rFonts w:ascii="Arial" w:cs="Arial" w:eastAsia="Arial" w:hAnsi="Arial"/>
                  <w:sz w:val="16"/>
                  <w:szCs w:val="16"/>
                  <w:color w:val="0000EE"/>
                </w:rPr>
                <w:t>2008 Equity Incentive Plan and forms of agreement thereunder.</w:t>
              </w:r>
            </w:hyperlink>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w w:val="96"/>
              </w:rPr>
            </w:pPr>
            <w:hyperlink r:id="rId113">
              <w:r>
                <w:rPr>
                  <w:rFonts w:ascii="Arial" w:cs="Arial" w:eastAsia="Arial" w:hAnsi="Arial"/>
                  <w:sz w:val="16"/>
                  <w:szCs w:val="16"/>
                  <w:color w:val="0000EE"/>
                  <w:w w:val="96"/>
                </w:rPr>
                <w:t>First Amendment to the 2008 Equity Incentive Plan, dated August 5,</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0000EE"/>
              <w:bottom w:val="single" w:sz="8" w:color="0000EE"/>
            </w:tcBorders>
          </w:tcPr>
          <w:p>
            <w:pPr>
              <w:spacing w:after="0" w:line="155" w:lineRule="exact"/>
              <w:rPr>
                <w:rFonts w:ascii="Arial" w:cs="Arial" w:eastAsia="Arial" w:hAnsi="Arial"/>
                <w:sz w:val="16"/>
                <w:szCs w:val="16"/>
                <w:color w:val="0000EE"/>
                <w:w w:val="89"/>
              </w:rPr>
            </w:pPr>
            <w:hyperlink r:id="rId113">
              <w:r>
                <w:rPr>
                  <w:rFonts w:ascii="Arial" w:cs="Arial" w:eastAsia="Arial" w:hAnsi="Arial"/>
                  <w:sz w:val="16"/>
                  <w:szCs w:val="16"/>
                  <w:color w:val="0000EE"/>
                  <w:w w:val="89"/>
                </w:rPr>
                <w:t>2010.</w:t>
              </w:r>
            </w:hyperlink>
          </w:p>
        </w:tc>
        <w:tc>
          <w:tcPr>
            <w:tcW w:w="6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7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w w:val="93"/>
              </w:rPr>
            </w:pPr>
            <w:hyperlink r:id="rId114">
              <w:r>
                <w:rPr>
                  <w:rFonts w:ascii="Arial" w:cs="Arial" w:eastAsia="Arial" w:hAnsi="Arial"/>
                  <w:sz w:val="16"/>
                  <w:szCs w:val="16"/>
                  <w:color w:val="0000EE"/>
                  <w:w w:val="93"/>
                </w:rPr>
                <w:t>Second Amendment to the 2008 Equity Incentive Plan, dated June 29,</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0000EE"/>
              <w:bottom w:val="single" w:sz="8" w:color="0000EE"/>
            </w:tcBorders>
          </w:tcPr>
          <w:p>
            <w:pPr>
              <w:spacing w:after="0" w:line="155" w:lineRule="exact"/>
              <w:rPr>
                <w:rFonts w:ascii="Arial" w:cs="Arial" w:eastAsia="Arial" w:hAnsi="Arial"/>
                <w:sz w:val="16"/>
                <w:szCs w:val="16"/>
                <w:color w:val="0000EE"/>
                <w:w w:val="89"/>
              </w:rPr>
            </w:pPr>
            <w:hyperlink r:id="rId114">
              <w:r>
                <w:rPr>
                  <w:rFonts w:ascii="Arial" w:cs="Arial" w:eastAsia="Arial" w:hAnsi="Arial"/>
                  <w:sz w:val="16"/>
                  <w:szCs w:val="16"/>
                  <w:color w:val="0000EE"/>
                  <w:w w:val="89"/>
                </w:rPr>
                <w:t>2012.</w:t>
              </w:r>
            </w:hyperlink>
          </w:p>
        </w:tc>
        <w:tc>
          <w:tcPr>
            <w:tcW w:w="6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7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rPr>
            </w:pPr>
            <w:hyperlink r:id="rId115">
              <w:r>
                <w:rPr>
                  <w:rFonts w:ascii="Arial" w:cs="Arial" w:eastAsia="Arial" w:hAnsi="Arial"/>
                  <w:sz w:val="16"/>
                  <w:szCs w:val="16"/>
                  <w:color w:val="0000EE"/>
                </w:rPr>
                <w:t>2014 Equity Incentive Plan and forms of agreement thereunder.</w:t>
              </w:r>
            </w:hyperlink>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rPr>
            </w:pPr>
            <w:hyperlink r:id="rId116">
              <w:r>
                <w:rPr>
                  <w:rFonts w:ascii="Arial" w:cs="Arial" w:eastAsia="Arial" w:hAnsi="Arial"/>
                  <w:sz w:val="16"/>
                  <w:szCs w:val="16"/>
                  <w:color w:val="0000EE"/>
                </w:rPr>
                <w:t>Third Amended and Restated Executive Employment Agreement</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Borders>
              <w:top w:val="single" w:sz="8" w:color="0000EE"/>
            </w:tcBorders>
            <w:gridSpan w:val="18"/>
          </w:tcPr>
          <w:p>
            <w:pPr>
              <w:spacing w:after="0" w:line="155" w:lineRule="exact"/>
              <w:rPr>
                <w:rFonts w:ascii="Arial" w:cs="Arial" w:eastAsia="Arial" w:hAnsi="Arial"/>
                <w:sz w:val="16"/>
                <w:szCs w:val="16"/>
                <w:color w:val="0000EE"/>
                <w:w w:val="91"/>
              </w:rPr>
            </w:pPr>
            <w:hyperlink r:id="rId116">
              <w:r>
                <w:rPr>
                  <w:rFonts w:ascii="Arial" w:cs="Arial" w:eastAsia="Arial" w:hAnsi="Arial"/>
                  <w:sz w:val="16"/>
                  <w:szCs w:val="16"/>
                  <w:color w:val="0000EE"/>
                  <w:w w:val="91"/>
                </w:rPr>
                <w:t>between Paylocity Corporation and Steven R. Beauchamp, dated</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0000EE"/>
              <w:bottom w:val="single" w:sz="8" w:color="0000EE"/>
            </w:tcBorders>
            <w:gridSpan w:val="4"/>
          </w:tcPr>
          <w:p>
            <w:pPr>
              <w:spacing w:after="0" w:line="155" w:lineRule="exact"/>
              <w:rPr>
                <w:rFonts w:ascii="Arial" w:cs="Arial" w:eastAsia="Arial" w:hAnsi="Arial"/>
                <w:sz w:val="16"/>
                <w:szCs w:val="16"/>
                <w:color w:val="0000EE"/>
                <w:w w:val="90"/>
              </w:rPr>
            </w:pPr>
            <w:hyperlink r:id="rId116">
              <w:r>
                <w:rPr>
                  <w:rFonts w:ascii="Arial" w:cs="Arial" w:eastAsia="Arial" w:hAnsi="Arial"/>
                  <w:sz w:val="16"/>
                  <w:szCs w:val="16"/>
                  <w:color w:val="0000EE"/>
                  <w:w w:val="90"/>
                </w:rPr>
                <w:t>February 7, 2014.</w:t>
              </w:r>
            </w:hyperlink>
          </w:p>
        </w:tc>
        <w:tc>
          <w:tcPr>
            <w:tcW w:w="3040" w:type="dxa"/>
            <w:vAlign w:val="bottom"/>
            <w:tcBorders>
              <w:top w:val="single" w:sz="8" w:color="0000EE"/>
            </w:tcBorders>
            <w:gridSpan w:val="13"/>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w w:val="97"/>
              </w:rPr>
            </w:pPr>
            <w:hyperlink r:id="rId117">
              <w:r>
                <w:rPr>
                  <w:rFonts w:ascii="Arial" w:cs="Arial" w:eastAsia="Arial" w:hAnsi="Arial"/>
                  <w:sz w:val="16"/>
                  <w:szCs w:val="16"/>
                  <w:color w:val="0000EE"/>
                  <w:w w:val="97"/>
                </w:rPr>
                <w:t>Second Amended and Restated Executive Employment Agreement</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60" w:type="dxa"/>
            <w:vAlign w:val="bottom"/>
            <w:tcBorders>
              <w:top w:val="single" w:sz="8" w:color="0000EE"/>
            </w:tcBorders>
            <w:gridSpan w:val="22"/>
          </w:tcPr>
          <w:p>
            <w:pPr>
              <w:spacing w:after="0" w:line="155" w:lineRule="exact"/>
              <w:rPr>
                <w:rFonts w:ascii="Arial" w:cs="Arial" w:eastAsia="Arial" w:hAnsi="Arial"/>
                <w:sz w:val="16"/>
                <w:szCs w:val="16"/>
                <w:color w:val="0000EE"/>
              </w:rPr>
            </w:pPr>
            <w:hyperlink r:id="rId117">
              <w:r>
                <w:rPr>
                  <w:rFonts w:ascii="Arial" w:cs="Arial" w:eastAsia="Arial" w:hAnsi="Arial"/>
                  <w:sz w:val="16"/>
                  <w:szCs w:val="16"/>
                  <w:color w:val="0000EE"/>
                </w:rPr>
                <w:t>between Paylocity Corporation and Michael R. Haske, dated</w:t>
              </w:r>
            </w:hyperlink>
          </w:p>
        </w:tc>
        <w:tc>
          <w:tcPr>
            <w:tcW w:w="2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0000EE"/>
              <w:bottom w:val="single" w:sz="8" w:color="0000EE"/>
            </w:tcBorders>
            <w:gridSpan w:val="4"/>
          </w:tcPr>
          <w:p>
            <w:pPr>
              <w:spacing w:after="0" w:line="155" w:lineRule="exact"/>
              <w:rPr>
                <w:rFonts w:ascii="Arial" w:cs="Arial" w:eastAsia="Arial" w:hAnsi="Arial"/>
                <w:sz w:val="16"/>
                <w:szCs w:val="16"/>
                <w:color w:val="0000EE"/>
                <w:w w:val="90"/>
              </w:rPr>
            </w:pPr>
            <w:hyperlink r:id="rId117">
              <w:r>
                <w:rPr>
                  <w:rFonts w:ascii="Arial" w:cs="Arial" w:eastAsia="Arial" w:hAnsi="Arial"/>
                  <w:sz w:val="16"/>
                  <w:szCs w:val="16"/>
                  <w:color w:val="0000EE"/>
                  <w:w w:val="90"/>
                </w:rPr>
                <w:t>February 7, 2014.</w:t>
              </w:r>
            </w:hyperlink>
          </w:p>
        </w:tc>
        <w:tc>
          <w:tcPr>
            <w:tcW w:w="2780" w:type="dxa"/>
            <w:vAlign w:val="bottom"/>
            <w:tcBorders>
              <w:top w:val="single" w:sz="8" w:color="0000EE"/>
            </w:tcBorders>
            <w:gridSpan w:val="8"/>
          </w:tcPr>
          <w:p>
            <w:pPr>
              <w:spacing w:after="0"/>
              <w:rPr>
                <w:sz w:val="13"/>
                <w:szCs w:val="13"/>
                <w:color w:val="auto"/>
              </w:rPr>
            </w:pPr>
          </w:p>
        </w:tc>
        <w:tc>
          <w:tcPr>
            <w:tcW w:w="24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rPr>
            </w:pPr>
            <w:hyperlink r:id="rId118">
              <w:r>
                <w:rPr>
                  <w:rFonts w:ascii="Arial" w:cs="Arial" w:eastAsia="Arial" w:hAnsi="Arial"/>
                  <w:sz w:val="16"/>
                  <w:szCs w:val="16"/>
                  <w:color w:val="0000EE"/>
                </w:rPr>
                <w:t>Office Lease between 3850 Wilke LLC and Paylocity Corporation,</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0000EE"/>
              <w:bottom w:val="single" w:sz="8" w:color="0000EE"/>
            </w:tcBorders>
            <w:gridSpan w:val="5"/>
          </w:tcPr>
          <w:p>
            <w:pPr>
              <w:spacing w:after="0" w:line="155" w:lineRule="exact"/>
              <w:rPr>
                <w:rFonts w:ascii="Arial" w:cs="Arial" w:eastAsia="Arial" w:hAnsi="Arial"/>
                <w:sz w:val="16"/>
                <w:szCs w:val="16"/>
                <w:color w:val="0000EE"/>
                <w:w w:val="89"/>
              </w:rPr>
            </w:pPr>
            <w:hyperlink r:id="rId118">
              <w:r>
                <w:rPr>
                  <w:rFonts w:ascii="Arial" w:cs="Arial" w:eastAsia="Arial" w:hAnsi="Arial"/>
                  <w:sz w:val="16"/>
                  <w:szCs w:val="16"/>
                  <w:color w:val="0000EE"/>
                  <w:w w:val="89"/>
                </w:rPr>
                <w:t>dated January 12, 2007.</w:t>
              </w:r>
            </w:hyperlink>
          </w:p>
        </w:tc>
        <w:tc>
          <w:tcPr>
            <w:tcW w:w="2780" w:type="dxa"/>
            <w:vAlign w:val="bottom"/>
            <w:tcBorders>
              <w:top w:val="single" w:sz="8" w:color="0000EE"/>
            </w:tcBorders>
            <w:gridSpan w:val="16"/>
          </w:tcPr>
          <w:p>
            <w:pPr>
              <w:spacing w:after="0"/>
              <w:rPr>
                <w:sz w:val="13"/>
                <w:szCs w:val="13"/>
                <w:color w:val="auto"/>
              </w:rPr>
            </w:pPr>
          </w:p>
        </w:tc>
        <w:tc>
          <w:tcPr>
            <w:tcW w:w="2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rPr>
            </w:pPr>
            <w:hyperlink r:id="rId119">
              <w:r>
                <w:rPr>
                  <w:rFonts w:ascii="Arial" w:cs="Arial" w:eastAsia="Arial" w:hAnsi="Arial"/>
                  <w:sz w:val="16"/>
                  <w:szCs w:val="16"/>
                  <w:color w:val="0000EE"/>
                </w:rPr>
                <w:t>Amendment to Office Lease, dated January 5, 2011.</w:t>
              </w:r>
            </w:hyperlink>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10.7.2</w:t>
            </w:r>
          </w:p>
        </w:tc>
        <w:tc>
          <w:tcPr>
            <w:tcW w:w="100" w:type="dxa"/>
            <w:vAlign w:val="bottom"/>
          </w:tcPr>
          <w:p>
            <w:pPr>
              <w:spacing w:after="0"/>
              <w:rPr>
                <w:sz w:val="24"/>
                <w:szCs w:val="24"/>
                <w:color w:val="auto"/>
              </w:rPr>
            </w:pPr>
          </w:p>
        </w:tc>
        <w:tc>
          <w:tcPr>
            <w:tcW w:w="3380" w:type="dxa"/>
            <w:vAlign w:val="bottom"/>
            <w:tcBorders>
              <w:top w:val="single" w:sz="8" w:color="0000EE"/>
            </w:tcBorders>
            <w:gridSpan w:val="10"/>
          </w:tcPr>
          <w:p>
            <w:pPr>
              <w:spacing w:after="0"/>
              <w:rPr>
                <w:rFonts w:ascii="Arial" w:cs="Arial" w:eastAsia="Arial" w:hAnsi="Arial"/>
                <w:sz w:val="16"/>
                <w:szCs w:val="16"/>
                <w:color w:val="0000EE"/>
                <w:w w:val="97"/>
              </w:rPr>
            </w:pPr>
            <w:hyperlink r:id="rId120">
              <w:r>
                <w:rPr>
                  <w:rFonts w:ascii="Arial" w:cs="Arial" w:eastAsia="Arial" w:hAnsi="Arial"/>
                  <w:sz w:val="16"/>
                  <w:szCs w:val="16"/>
                  <w:color w:val="0000EE"/>
                  <w:w w:val="97"/>
                </w:rPr>
                <w:t>Amendment to Office Lease, dated May 6, 2013.</w:t>
              </w:r>
            </w:hyperlink>
          </w:p>
        </w:tc>
        <w:tc>
          <w:tcPr>
            <w:tcW w:w="1300" w:type="dxa"/>
            <w:vAlign w:val="bottom"/>
            <w:gridSpan w:val="17"/>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720" w:type="dxa"/>
            <w:vAlign w:val="bottom"/>
          </w:tcPr>
          <w:p>
            <w:pPr>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w w:val="99"/>
              </w:rPr>
            </w:pPr>
            <w:hyperlink r:id="rId121">
              <w:r>
                <w:rPr>
                  <w:rFonts w:ascii="Arial" w:cs="Arial" w:eastAsia="Arial" w:hAnsi="Arial"/>
                  <w:sz w:val="16"/>
                  <w:szCs w:val="16"/>
                  <w:color w:val="0000EE"/>
                  <w:w w:val="99"/>
                </w:rPr>
                <w:t>Multi-Tenant Office Lease Agreement, dated June 1, 2016, by and</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Borders>
              <w:top w:val="single" w:sz="8" w:color="0000EE"/>
            </w:tcBorders>
            <w:gridSpan w:val="19"/>
          </w:tcPr>
          <w:p>
            <w:pPr>
              <w:spacing w:after="0" w:line="155" w:lineRule="exact"/>
              <w:rPr>
                <w:rFonts w:ascii="Arial" w:cs="Arial" w:eastAsia="Arial" w:hAnsi="Arial"/>
                <w:sz w:val="16"/>
                <w:szCs w:val="16"/>
                <w:color w:val="0000EE"/>
                <w:w w:val="93"/>
              </w:rPr>
            </w:pPr>
            <w:hyperlink r:id="rId121">
              <w:r>
                <w:rPr>
                  <w:rFonts w:ascii="Arial" w:cs="Arial" w:eastAsia="Arial" w:hAnsi="Arial"/>
                  <w:sz w:val="16"/>
                  <w:szCs w:val="16"/>
                  <w:color w:val="0000EE"/>
                  <w:w w:val="93"/>
                </w:rPr>
                <w:t>between Paylocity Corporation and RPAI Schaumburg American</w:t>
              </w:r>
            </w:hyperlink>
          </w:p>
        </w:tc>
        <w:tc>
          <w:tcPr>
            <w:tcW w:w="380" w:type="dxa"/>
            <w:vAlign w:val="bottom"/>
            <w:gridSpan w:val="8"/>
          </w:tcPr>
          <w:p>
            <w:pPr>
              <w:spacing w:after="0" w:line="155" w:lineRule="exact"/>
              <w:rPr>
                <w:rFonts w:ascii="Arial" w:cs="Arial" w:eastAsia="Arial" w:hAnsi="Arial"/>
                <w:sz w:val="16"/>
                <w:szCs w:val="16"/>
                <w:color w:val="0000EE"/>
                <w:w w:val="89"/>
              </w:rPr>
            </w:pPr>
            <w:hyperlink r:id="rId121">
              <w:r>
                <w:rPr>
                  <w:rFonts w:ascii="Arial" w:cs="Arial" w:eastAsia="Arial" w:hAnsi="Arial"/>
                  <w:sz w:val="16"/>
                  <w:szCs w:val="16"/>
                  <w:color w:val="0000EE"/>
                  <w:w w:val="89"/>
                </w:rPr>
                <w:t>Lane,</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0000EE"/>
              <w:bottom w:val="single" w:sz="8" w:color="0000EE"/>
            </w:tcBorders>
            <w:gridSpan w:val="2"/>
          </w:tcPr>
          <w:p>
            <w:pPr>
              <w:spacing w:after="0" w:line="155" w:lineRule="exact"/>
              <w:rPr>
                <w:rFonts w:ascii="Arial" w:cs="Arial" w:eastAsia="Arial" w:hAnsi="Arial"/>
                <w:sz w:val="16"/>
                <w:szCs w:val="16"/>
                <w:color w:val="0000EE"/>
                <w:w w:val="98"/>
              </w:rPr>
            </w:pPr>
            <w:hyperlink r:id="rId121">
              <w:r>
                <w:rPr>
                  <w:rFonts w:ascii="Arial" w:cs="Arial" w:eastAsia="Arial" w:hAnsi="Arial"/>
                  <w:sz w:val="16"/>
                  <w:szCs w:val="16"/>
                  <w:color w:val="0000EE"/>
                  <w:w w:val="98"/>
                </w:rPr>
                <w:t>L.L.C.</w:t>
              </w:r>
            </w:hyperlink>
          </w:p>
        </w:tc>
        <w:tc>
          <w:tcPr>
            <w:tcW w:w="4200" w:type="dxa"/>
            <w:vAlign w:val="bottom"/>
            <w:tcBorders>
              <w:top w:val="single" w:sz="8" w:color="0000EE"/>
            </w:tcBorders>
            <w:gridSpan w:val="24"/>
          </w:tcPr>
          <w:p>
            <w:pPr>
              <w:spacing w:after="0"/>
              <w:rPr>
                <w:sz w:val="13"/>
                <w:szCs w:val="13"/>
                <w:color w:val="auto"/>
              </w:rPr>
            </w:pPr>
          </w:p>
        </w:tc>
        <w:tc>
          <w:tcPr>
            <w:tcW w:w="4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2440" w:type="dxa"/>
            <w:vAlign w:val="bottom"/>
            <w:tcBorders>
              <w:bottom w:val="single" w:sz="8" w:color="0000EE"/>
            </w:tcBorders>
            <w:gridSpan w:val="7"/>
          </w:tcPr>
          <w:p>
            <w:pPr>
              <w:spacing w:after="0"/>
              <w:rPr>
                <w:rFonts w:ascii="Arial" w:cs="Arial" w:eastAsia="Arial" w:hAnsi="Arial"/>
                <w:sz w:val="16"/>
                <w:szCs w:val="16"/>
                <w:color w:val="0000EE"/>
                <w:w w:val="90"/>
              </w:rPr>
            </w:pPr>
            <w:hyperlink r:id="rId122">
              <w:r>
                <w:rPr>
                  <w:rFonts w:ascii="Arial" w:cs="Arial" w:eastAsia="Arial" w:hAnsi="Arial"/>
                  <w:sz w:val="16"/>
                  <w:szCs w:val="16"/>
                  <w:color w:val="0000EE"/>
                  <w:w w:val="90"/>
                </w:rPr>
                <w:t>2014 Employee Stock Purchase Plan.</w:t>
              </w:r>
            </w:hyperlink>
          </w:p>
        </w:tc>
        <w:tc>
          <w:tcPr>
            <w:tcW w:w="2240" w:type="dxa"/>
            <w:vAlign w:val="bottom"/>
            <w:gridSpan w:val="20"/>
          </w:tcPr>
          <w:p>
            <w:pPr>
              <w:spacing w:after="0"/>
              <w:rPr>
                <w:sz w:val="24"/>
                <w:szCs w:val="24"/>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4180" w:type="dxa"/>
            <w:vAlign w:val="bottom"/>
            <w:tcBorders>
              <w:bottom w:val="single" w:sz="8" w:color="0000EE"/>
            </w:tcBorders>
            <w:gridSpan w:val="16"/>
          </w:tcPr>
          <w:p>
            <w:pPr>
              <w:spacing w:after="0"/>
              <w:rPr>
                <w:rFonts w:ascii="Arial" w:cs="Arial" w:eastAsia="Arial" w:hAnsi="Arial"/>
                <w:sz w:val="16"/>
                <w:szCs w:val="16"/>
                <w:color w:val="0000EE"/>
                <w:w w:val="91"/>
              </w:rPr>
            </w:pPr>
            <w:hyperlink r:id="rId123">
              <w:r>
                <w:rPr>
                  <w:rFonts w:ascii="Arial" w:cs="Arial" w:eastAsia="Arial" w:hAnsi="Arial"/>
                  <w:sz w:val="16"/>
                  <w:szCs w:val="16"/>
                  <w:color w:val="0000EE"/>
                  <w:w w:val="91"/>
                </w:rPr>
                <w:t>First Amended and Restated Executive Employment Agreement</w:t>
              </w:r>
            </w:hyperlink>
          </w:p>
        </w:tc>
        <w:tc>
          <w:tcPr>
            <w:tcW w:w="500" w:type="dxa"/>
            <w:vAlign w:val="bottom"/>
            <w:gridSpan w:val="11"/>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80" w:type="dxa"/>
            <w:vAlign w:val="bottom"/>
            <w:gridSpan w:val="27"/>
          </w:tcPr>
          <w:p>
            <w:pPr>
              <w:spacing w:after="0" w:line="155" w:lineRule="exact"/>
              <w:rPr>
                <w:rFonts w:ascii="Arial" w:cs="Arial" w:eastAsia="Arial" w:hAnsi="Arial"/>
                <w:sz w:val="16"/>
                <w:szCs w:val="16"/>
                <w:color w:val="0000EE"/>
                <w:w w:val="92"/>
              </w:rPr>
            </w:pPr>
            <w:hyperlink r:id="rId123">
              <w:r>
                <w:rPr>
                  <w:rFonts w:ascii="Arial" w:cs="Arial" w:eastAsia="Arial" w:hAnsi="Arial"/>
                  <w:sz w:val="16"/>
                  <w:szCs w:val="16"/>
                  <w:color w:val="0000EE"/>
                  <w:w w:val="92"/>
                </w:rPr>
                <w:t>between Paylocity Corporation and Peter J. McGrail, dated February 7,</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0000EE"/>
              <w:bottom w:val="single" w:sz="8" w:color="0000EE"/>
            </w:tcBorders>
          </w:tcPr>
          <w:p>
            <w:pPr>
              <w:spacing w:after="0" w:line="155" w:lineRule="exact"/>
              <w:rPr>
                <w:rFonts w:ascii="Arial" w:cs="Arial" w:eastAsia="Arial" w:hAnsi="Arial"/>
                <w:sz w:val="16"/>
                <w:szCs w:val="16"/>
                <w:color w:val="0000EE"/>
                <w:w w:val="89"/>
              </w:rPr>
            </w:pPr>
            <w:hyperlink r:id="rId123">
              <w:r>
                <w:rPr>
                  <w:rFonts w:ascii="Arial" w:cs="Arial" w:eastAsia="Arial" w:hAnsi="Arial"/>
                  <w:sz w:val="16"/>
                  <w:szCs w:val="16"/>
                  <w:color w:val="0000EE"/>
                  <w:w w:val="89"/>
                </w:rPr>
                <w:t>2014.</w:t>
              </w:r>
            </w:hyperlink>
          </w:p>
        </w:tc>
        <w:tc>
          <w:tcPr>
            <w:tcW w:w="6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7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24"/>
                <w:szCs w:val="24"/>
                <w:color w:val="auto"/>
              </w:rPr>
            </w:pPr>
          </w:p>
        </w:tc>
        <w:tc>
          <w:tcPr>
            <w:tcW w:w="4680" w:type="dxa"/>
            <w:vAlign w:val="bottom"/>
            <w:gridSpan w:val="27"/>
          </w:tcPr>
          <w:p>
            <w:pPr>
              <w:spacing w:after="0"/>
              <w:rPr>
                <w:rFonts w:ascii="Arial" w:cs="Arial" w:eastAsia="Arial" w:hAnsi="Arial"/>
                <w:sz w:val="16"/>
                <w:szCs w:val="16"/>
                <w:color w:val="0000EE"/>
                <w:w w:val="93"/>
              </w:rPr>
            </w:pPr>
            <w:hyperlink r:id="rId124">
              <w:r>
                <w:rPr>
                  <w:rFonts w:ascii="Arial" w:cs="Arial" w:eastAsia="Arial" w:hAnsi="Arial"/>
                  <w:sz w:val="16"/>
                  <w:szCs w:val="16"/>
                  <w:color w:val="0000EE"/>
                  <w:w w:val="93"/>
                </w:rPr>
                <w:t>Executive Employment Agreement between Paylocity Corporation and</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Borders>
              <w:top w:val="single" w:sz="8" w:color="0000EE"/>
              <w:bottom w:val="single" w:sz="8" w:color="0000EE"/>
            </w:tcBorders>
            <w:gridSpan w:val="6"/>
          </w:tcPr>
          <w:p>
            <w:pPr>
              <w:spacing w:after="0" w:line="155" w:lineRule="exact"/>
              <w:rPr>
                <w:rFonts w:ascii="Arial" w:cs="Arial" w:eastAsia="Arial" w:hAnsi="Arial"/>
                <w:sz w:val="16"/>
                <w:szCs w:val="16"/>
                <w:color w:val="0000EE"/>
                <w:w w:val="92"/>
              </w:rPr>
            </w:pPr>
            <w:hyperlink r:id="rId124">
              <w:r>
                <w:rPr>
                  <w:rFonts w:ascii="Arial" w:cs="Arial" w:eastAsia="Arial" w:hAnsi="Arial"/>
                  <w:sz w:val="16"/>
                  <w:szCs w:val="16"/>
                  <w:color w:val="0000EE"/>
                  <w:w w:val="92"/>
                </w:rPr>
                <w:t>Mark S. Kinsey, dated May 1, 2015.</w:t>
              </w:r>
            </w:hyperlink>
          </w:p>
        </w:tc>
        <w:tc>
          <w:tcPr>
            <w:tcW w:w="2260" w:type="dxa"/>
            <w:vAlign w:val="bottom"/>
            <w:tcBorders>
              <w:top w:val="single" w:sz="8" w:color="0000EE"/>
            </w:tcBorders>
            <w:gridSpan w:val="19"/>
          </w:tcPr>
          <w:p>
            <w:pPr>
              <w:spacing w:after="0"/>
              <w:rPr>
                <w:sz w:val="13"/>
                <w:szCs w:val="13"/>
                <w:color w:val="auto"/>
              </w:rPr>
            </w:pPr>
          </w:p>
        </w:tc>
        <w:tc>
          <w:tcPr>
            <w:tcW w:w="60" w:type="dxa"/>
            <w:vAlign w:val="bottom"/>
            <w:gridSpan w:val="2"/>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File No.</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Exhibit</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r>
      <w:tr>
        <w:trPr>
          <w:trHeight w:val="379"/>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351"/>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878"/>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527"/>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351"/>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351"/>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10.3.1</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527"/>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10.3.2</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527"/>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351"/>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702"/>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702"/>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527"/>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10.8.1</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351"/>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10.8.2</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500"/>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June 2, 2016</w:t>
            </w:r>
          </w:p>
        </w:tc>
      </w:tr>
      <w:tr>
        <w:trPr>
          <w:trHeight w:val="702"/>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351"/>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10-K</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August 14, 2015</w:t>
            </w:r>
          </w:p>
        </w:tc>
      </w:tr>
      <w:tr>
        <w:trPr>
          <w:trHeight w:val="702"/>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10-K</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August 12, 2016</w:t>
            </w:r>
          </w:p>
        </w:tc>
      </w:tr>
    </w:tbl>
    <w:p>
      <w:pPr>
        <w:sectPr>
          <w:pgSz w:w="11900" w:h="16838" w:orient="portrait"/>
          <w:cols w:equalWidth="0" w:num="2">
            <w:col w:w="5500" w:space="100"/>
            <w:col w:w="3520"/>
          </w:cols>
          <w:pgMar w:left="1420" w:top="125" w:right="135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7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gridSpan w:val="16"/>
          </w:tcPr>
          <w:p>
            <w:pPr>
              <w:ind w:left="480"/>
              <w:spacing w:after="0" w:line="142" w:lineRule="exact"/>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2"/>
                <w:szCs w:val="12"/>
                <w:color w:val="auto"/>
              </w:rPr>
            </w:pPr>
          </w:p>
        </w:tc>
        <w:tc>
          <w:tcPr>
            <w:tcW w:w="9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r>
      <w:tr>
        <w:trPr>
          <w:trHeight w:val="318"/>
        </w:trPr>
        <w:tc>
          <w:tcPr>
            <w:tcW w:w="720" w:type="dxa"/>
            <w:vAlign w:val="bottom"/>
          </w:tcPr>
          <w:p>
            <w:pPr>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4"/>
                <w:szCs w:val="24"/>
                <w:color w:val="auto"/>
              </w:rPr>
            </w:pPr>
          </w:p>
        </w:tc>
        <w:tc>
          <w:tcPr>
            <w:tcW w:w="4780" w:type="dxa"/>
            <w:vAlign w:val="bottom"/>
            <w:gridSpan w:val="20"/>
          </w:tcPr>
          <w:p>
            <w:pPr>
              <w:spacing w:after="0"/>
              <w:rPr>
                <w:rFonts w:ascii="Arial" w:cs="Arial" w:eastAsia="Arial" w:hAnsi="Arial"/>
                <w:sz w:val="16"/>
                <w:szCs w:val="16"/>
                <w:color w:val="0000EE"/>
                <w:w w:val="95"/>
              </w:rPr>
            </w:pPr>
            <w:hyperlink r:id="rId126">
              <w:r>
                <w:rPr>
                  <w:rFonts w:ascii="Arial" w:cs="Arial" w:eastAsia="Arial" w:hAnsi="Arial"/>
                  <w:sz w:val="16"/>
                  <w:szCs w:val="16"/>
                  <w:color w:val="0000EE"/>
                  <w:w w:val="95"/>
                </w:rPr>
                <w:t>Executive Employment Agreement between Paylocity Corporation and</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August 9, 2016</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20" w:type="dxa"/>
            <w:vAlign w:val="bottom"/>
            <w:tcBorders>
              <w:top w:val="single" w:sz="8" w:color="0000EE"/>
            </w:tcBorders>
            <w:gridSpan w:val="17"/>
          </w:tcPr>
          <w:p>
            <w:pPr>
              <w:spacing w:after="0" w:line="155" w:lineRule="exact"/>
              <w:rPr>
                <w:rFonts w:ascii="Arial" w:cs="Arial" w:eastAsia="Arial" w:hAnsi="Arial"/>
                <w:sz w:val="16"/>
                <w:szCs w:val="16"/>
                <w:color w:val="0000EE"/>
              </w:rPr>
            </w:pPr>
            <w:hyperlink r:id="rId126">
              <w:r>
                <w:rPr>
                  <w:rFonts w:ascii="Arial" w:cs="Arial" w:eastAsia="Arial" w:hAnsi="Arial"/>
                  <w:sz w:val="16"/>
                  <w:szCs w:val="16"/>
                  <w:color w:val="0000EE"/>
                </w:rPr>
                <w:t>Edward W. Gaty, dated August 8, 2016.</w:t>
              </w:r>
            </w:hyperlink>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0"/>
              </w:rPr>
            </w:pPr>
            <w:hyperlink r:id="rId127">
              <w:r>
                <w:rPr>
                  <w:rFonts w:ascii="Arial" w:cs="Arial" w:eastAsia="Arial" w:hAnsi="Arial"/>
                  <w:sz w:val="16"/>
                  <w:szCs w:val="16"/>
                  <w:color w:val="0000EE"/>
                  <w:w w:val="90"/>
                </w:rPr>
                <w:t>Code of Business Conduct and Ethics.</w:t>
              </w:r>
            </w:hyperlink>
          </w:p>
        </w:tc>
        <w:tc>
          <w:tcPr>
            <w:tcW w:w="80" w:type="dxa"/>
            <w:vAlign w:val="bottom"/>
            <w:tcBorders>
              <w:top w:val="single" w:sz="8" w:color="0000EE"/>
            </w:tcBorders>
          </w:tcPr>
          <w:p>
            <w:pPr>
              <w:spacing w:after="0"/>
              <w:rPr>
                <w:sz w:val="24"/>
                <w:szCs w:val="24"/>
                <w:color w:val="auto"/>
              </w:rPr>
            </w:pPr>
          </w:p>
        </w:tc>
        <w:tc>
          <w:tcPr>
            <w:tcW w:w="2200" w:type="dxa"/>
            <w:vAlign w:val="bottom"/>
            <w:gridSpan w:val="13"/>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10-K</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14.1</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August 22, 2014</w:t>
            </w: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4"/>
                <w:szCs w:val="24"/>
                <w:color w:val="auto"/>
              </w:rPr>
            </w:pPr>
          </w:p>
        </w:tc>
        <w:tc>
          <w:tcPr>
            <w:tcW w:w="4780" w:type="dxa"/>
            <w:vAlign w:val="bottom"/>
            <w:gridSpan w:val="20"/>
          </w:tcPr>
          <w:p>
            <w:pPr>
              <w:spacing w:after="0"/>
              <w:rPr>
                <w:rFonts w:ascii="Arial" w:cs="Arial" w:eastAsia="Arial" w:hAnsi="Arial"/>
                <w:sz w:val="16"/>
                <w:szCs w:val="16"/>
                <w:color w:val="0000EE"/>
              </w:rPr>
            </w:pPr>
            <w:hyperlink r:id="rId128">
              <w:r>
                <w:rPr>
                  <w:rFonts w:ascii="Arial" w:cs="Arial" w:eastAsia="Arial" w:hAnsi="Arial"/>
                  <w:sz w:val="16"/>
                  <w:szCs w:val="16"/>
                  <w:color w:val="0000EE"/>
                </w:rPr>
                <w:t>List of Subsidiaries of the Registrant.</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4"/>
                <w:szCs w:val="24"/>
                <w:color w:val="auto"/>
              </w:rPr>
            </w:pPr>
          </w:p>
        </w:tc>
        <w:tc>
          <w:tcPr>
            <w:tcW w:w="4780" w:type="dxa"/>
            <w:vAlign w:val="bottom"/>
            <w:gridSpan w:val="20"/>
          </w:tcPr>
          <w:p>
            <w:pPr>
              <w:spacing w:after="0"/>
              <w:rPr>
                <w:rFonts w:ascii="Arial" w:cs="Arial" w:eastAsia="Arial" w:hAnsi="Arial"/>
                <w:sz w:val="16"/>
                <w:szCs w:val="16"/>
                <w:color w:val="0000EE"/>
              </w:rPr>
            </w:pPr>
            <w:hyperlink w:anchor="page109">
              <w:r>
                <w:rPr>
                  <w:rFonts w:ascii="Arial" w:cs="Arial" w:eastAsia="Arial" w:hAnsi="Arial"/>
                  <w:sz w:val="16"/>
                  <w:szCs w:val="16"/>
                  <w:color w:val="0000EE"/>
                </w:rPr>
                <w:t>Consent of KPMG LLP, Independent Registered Public Accounting</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tcBorders>
              <w:top w:val="single" w:sz="8" w:color="0000EE"/>
            </w:tcBorders>
            <w:gridSpan w:val="13"/>
          </w:tcPr>
          <w:p>
            <w:pPr>
              <w:spacing w:after="0" w:line="155" w:lineRule="exact"/>
              <w:rPr>
                <w:rFonts w:ascii="Arial" w:cs="Arial" w:eastAsia="Arial" w:hAnsi="Arial"/>
                <w:sz w:val="16"/>
                <w:szCs w:val="16"/>
                <w:color w:val="0000EE"/>
              </w:rPr>
            </w:pPr>
            <w:hyperlink w:anchor="page109">
              <w:r>
                <w:rPr>
                  <w:rFonts w:ascii="Arial" w:cs="Arial" w:eastAsia="Arial" w:hAnsi="Arial"/>
                  <w:sz w:val="16"/>
                  <w:szCs w:val="16"/>
                  <w:color w:val="0000EE"/>
                </w:rPr>
                <w:t>Firm.</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4"/>
                <w:szCs w:val="24"/>
                <w:color w:val="auto"/>
              </w:rPr>
            </w:pPr>
          </w:p>
        </w:tc>
        <w:tc>
          <w:tcPr>
            <w:tcW w:w="4780" w:type="dxa"/>
            <w:vAlign w:val="bottom"/>
            <w:gridSpan w:val="20"/>
          </w:tcPr>
          <w:p>
            <w:pPr>
              <w:spacing w:after="0"/>
              <w:rPr>
                <w:rFonts w:ascii="Arial" w:cs="Arial" w:eastAsia="Arial" w:hAnsi="Arial"/>
                <w:sz w:val="16"/>
                <w:szCs w:val="16"/>
                <w:color w:val="0000EE"/>
                <w:w w:val="96"/>
              </w:rPr>
            </w:pPr>
            <w:hyperlink w:anchor="page64">
              <w:r>
                <w:rPr>
                  <w:rFonts w:ascii="Arial" w:cs="Arial" w:eastAsia="Arial" w:hAnsi="Arial"/>
                  <w:sz w:val="16"/>
                  <w:szCs w:val="16"/>
                  <w:color w:val="0000EE"/>
                  <w:w w:val="96"/>
                </w:rPr>
                <w:t>Power of Attorney (see page 62 to this Annual Report on Form 10-K).</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4780" w:type="dxa"/>
            <w:vAlign w:val="bottom"/>
            <w:gridSpan w:val="20"/>
          </w:tcPr>
          <w:p>
            <w:pPr>
              <w:spacing w:after="0"/>
              <w:rPr>
                <w:rFonts w:ascii="Arial" w:cs="Arial" w:eastAsia="Arial" w:hAnsi="Arial"/>
                <w:sz w:val="16"/>
                <w:szCs w:val="16"/>
                <w:color w:val="0000EE"/>
                <w:w w:val="98"/>
              </w:rPr>
            </w:pPr>
            <w:hyperlink w:anchor="page110">
              <w:r>
                <w:rPr>
                  <w:rFonts w:ascii="Arial" w:cs="Arial" w:eastAsia="Arial" w:hAnsi="Arial"/>
                  <w:sz w:val="16"/>
                  <w:szCs w:val="16"/>
                  <w:color w:val="0000EE"/>
                  <w:w w:val="98"/>
                </w:rPr>
                <w:t>Certification of Principal Executive Officer Required Under Rule 13a-</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80" w:type="dxa"/>
            <w:vAlign w:val="bottom"/>
            <w:tcBorders>
              <w:top w:val="single" w:sz="8" w:color="0000EE"/>
            </w:tcBorders>
            <w:gridSpan w:val="16"/>
          </w:tcPr>
          <w:p>
            <w:pPr>
              <w:spacing w:after="0" w:line="155" w:lineRule="exact"/>
              <w:rPr>
                <w:rFonts w:ascii="Arial" w:cs="Arial" w:eastAsia="Arial" w:hAnsi="Arial"/>
                <w:sz w:val="16"/>
                <w:szCs w:val="16"/>
                <w:color w:val="0000EE"/>
              </w:rPr>
            </w:pPr>
            <w:hyperlink w:anchor="page110">
              <w:r>
                <w:rPr>
                  <w:rFonts w:ascii="Arial" w:cs="Arial" w:eastAsia="Arial" w:hAnsi="Arial"/>
                  <w:sz w:val="16"/>
                  <w:szCs w:val="16"/>
                  <w:color w:val="0000EE"/>
                </w:rPr>
                <w:t>14(a) and 15d-14(a) of the Securities Exchange Act of 1934, as</w:t>
              </w:r>
            </w:hyperlink>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0000EE"/>
              <w:bottom w:val="single" w:sz="8" w:color="0000EE"/>
            </w:tcBorders>
            <w:gridSpan w:val="2"/>
          </w:tcPr>
          <w:p>
            <w:pPr>
              <w:spacing w:after="0" w:line="155" w:lineRule="exact"/>
              <w:rPr>
                <w:rFonts w:ascii="Arial" w:cs="Arial" w:eastAsia="Arial" w:hAnsi="Arial"/>
                <w:sz w:val="16"/>
                <w:szCs w:val="16"/>
                <w:color w:val="0000EE"/>
                <w:w w:val="87"/>
              </w:rPr>
            </w:pPr>
            <w:hyperlink w:anchor="page110">
              <w:r>
                <w:rPr>
                  <w:rFonts w:ascii="Arial" w:cs="Arial" w:eastAsia="Arial" w:hAnsi="Arial"/>
                  <w:sz w:val="16"/>
                  <w:szCs w:val="16"/>
                  <w:color w:val="0000EE"/>
                  <w:w w:val="87"/>
                </w:rPr>
                <w:t>amended.</w:t>
              </w:r>
            </w:hyperlink>
          </w:p>
        </w:tc>
        <w:tc>
          <w:tcPr>
            <w:tcW w:w="3460" w:type="dxa"/>
            <w:vAlign w:val="bottom"/>
            <w:tcBorders>
              <w:top w:val="single" w:sz="8" w:color="0000EE"/>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4780" w:type="dxa"/>
            <w:vAlign w:val="bottom"/>
            <w:gridSpan w:val="20"/>
          </w:tcPr>
          <w:p>
            <w:pPr>
              <w:spacing w:after="0"/>
              <w:rPr>
                <w:rFonts w:ascii="Arial" w:cs="Arial" w:eastAsia="Arial" w:hAnsi="Arial"/>
                <w:sz w:val="16"/>
                <w:szCs w:val="16"/>
                <w:color w:val="0000EE"/>
                <w:w w:val="99"/>
              </w:rPr>
            </w:pPr>
            <w:hyperlink w:anchor="page111">
              <w:r>
                <w:rPr>
                  <w:rFonts w:ascii="Arial" w:cs="Arial" w:eastAsia="Arial" w:hAnsi="Arial"/>
                  <w:sz w:val="16"/>
                  <w:szCs w:val="16"/>
                  <w:color w:val="0000EE"/>
                  <w:w w:val="99"/>
                </w:rPr>
                <w:t>Certification of Principal Financial Officer Required Under Rule 13a-</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top w:val="single" w:sz="8" w:color="0000EE"/>
            </w:tcBorders>
            <w:gridSpan w:val="15"/>
          </w:tcPr>
          <w:p>
            <w:pPr>
              <w:spacing w:after="0" w:line="155" w:lineRule="exact"/>
              <w:rPr>
                <w:rFonts w:ascii="Arial" w:cs="Arial" w:eastAsia="Arial" w:hAnsi="Arial"/>
                <w:sz w:val="16"/>
                <w:szCs w:val="16"/>
                <w:color w:val="0000EE"/>
              </w:rPr>
            </w:pPr>
            <w:hyperlink w:anchor="page111">
              <w:r>
                <w:rPr>
                  <w:rFonts w:ascii="Arial" w:cs="Arial" w:eastAsia="Arial" w:hAnsi="Arial"/>
                  <w:sz w:val="16"/>
                  <w:szCs w:val="16"/>
                  <w:color w:val="0000EE"/>
                </w:rPr>
                <w:t>14(a) and 15d-14(a) of the Securities Exchange Act of 1934, as</w:t>
              </w:r>
            </w:hyperlink>
          </w:p>
        </w:tc>
        <w:tc>
          <w:tcPr>
            <w:tcW w:w="12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0000EE"/>
              <w:bottom w:val="single" w:sz="8" w:color="0000EE"/>
            </w:tcBorders>
            <w:gridSpan w:val="2"/>
          </w:tcPr>
          <w:p>
            <w:pPr>
              <w:spacing w:after="0" w:line="155" w:lineRule="exact"/>
              <w:rPr>
                <w:rFonts w:ascii="Arial" w:cs="Arial" w:eastAsia="Arial" w:hAnsi="Arial"/>
                <w:sz w:val="16"/>
                <w:szCs w:val="16"/>
                <w:color w:val="0000EE"/>
                <w:w w:val="87"/>
              </w:rPr>
            </w:pPr>
            <w:hyperlink w:anchor="page111">
              <w:r>
                <w:rPr>
                  <w:rFonts w:ascii="Arial" w:cs="Arial" w:eastAsia="Arial" w:hAnsi="Arial"/>
                  <w:sz w:val="16"/>
                  <w:szCs w:val="16"/>
                  <w:color w:val="0000EE"/>
                  <w:w w:val="87"/>
                </w:rPr>
                <w:t>amended.</w:t>
              </w:r>
            </w:hyperlink>
          </w:p>
        </w:tc>
        <w:tc>
          <w:tcPr>
            <w:tcW w:w="3460" w:type="dxa"/>
            <w:vAlign w:val="bottom"/>
            <w:tcBorders>
              <w:top w:val="single" w:sz="8" w:color="0000EE"/>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4780" w:type="dxa"/>
            <w:vAlign w:val="bottom"/>
            <w:gridSpan w:val="20"/>
          </w:tcPr>
          <w:p>
            <w:pPr>
              <w:spacing w:after="0"/>
              <w:rPr>
                <w:rFonts w:ascii="Arial" w:cs="Arial" w:eastAsia="Arial" w:hAnsi="Arial"/>
                <w:sz w:val="16"/>
                <w:szCs w:val="16"/>
                <w:color w:val="0000EE"/>
                <w:w w:val="95"/>
              </w:rPr>
            </w:pPr>
            <w:hyperlink w:anchor="page112">
              <w:r>
                <w:rPr>
                  <w:rFonts w:ascii="Arial" w:cs="Arial" w:eastAsia="Arial" w:hAnsi="Arial"/>
                  <w:sz w:val="16"/>
                  <w:szCs w:val="16"/>
                  <w:color w:val="0000EE"/>
                  <w:w w:val="95"/>
                </w:rPr>
                <w:t>Certification of Chief Executive Officer Under Rule 13a-14(a) and 15d-</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80" w:type="dxa"/>
            <w:vAlign w:val="bottom"/>
            <w:tcBorders>
              <w:top w:val="single" w:sz="8" w:color="0000EE"/>
            </w:tcBorders>
            <w:gridSpan w:val="18"/>
          </w:tcPr>
          <w:p>
            <w:pPr>
              <w:spacing w:after="0" w:line="155" w:lineRule="exact"/>
              <w:rPr>
                <w:rFonts w:ascii="Arial" w:cs="Arial" w:eastAsia="Arial" w:hAnsi="Arial"/>
                <w:sz w:val="16"/>
                <w:szCs w:val="16"/>
                <w:color w:val="0000EE"/>
                <w:w w:val="98"/>
              </w:rPr>
            </w:pPr>
            <w:hyperlink w:anchor="page112">
              <w:r>
                <w:rPr>
                  <w:rFonts w:ascii="Arial" w:cs="Arial" w:eastAsia="Arial" w:hAnsi="Arial"/>
                  <w:sz w:val="16"/>
                  <w:szCs w:val="16"/>
                  <w:color w:val="0000EE"/>
                  <w:w w:val="98"/>
                </w:rPr>
                <w:t>14(a) of the Securities Exchange Act of 1934, as amended, and 18</w:t>
              </w:r>
            </w:hyperlink>
          </w:p>
        </w:tc>
        <w:tc>
          <w:tcPr>
            <w:tcW w:w="1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Borders>
              <w:top w:val="single" w:sz="8" w:color="0000EE"/>
            </w:tcBorders>
            <w:gridSpan w:val="10"/>
          </w:tcPr>
          <w:p>
            <w:pPr>
              <w:spacing w:after="0" w:line="155" w:lineRule="exact"/>
              <w:rPr>
                <w:rFonts w:ascii="Arial" w:cs="Arial" w:eastAsia="Arial" w:hAnsi="Arial"/>
                <w:sz w:val="16"/>
                <w:szCs w:val="16"/>
                <w:color w:val="0000EE"/>
                <w:w w:val="89"/>
              </w:rPr>
            </w:pPr>
            <w:hyperlink w:anchor="page112">
              <w:r>
                <w:rPr>
                  <w:rFonts w:ascii="Arial" w:cs="Arial" w:eastAsia="Arial" w:hAnsi="Arial"/>
                  <w:sz w:val="16"/>
                  <w:szCs w:val="16"/>
                  <w:color w:val="0000EE"/>
                  <w:w w:val="89"/>
                </w:rPr>
                <w:t>U.S.C. §1350 as adopted pursuant to Section 906 of The Sarbanes</w:t>
              </w:r>
            </w:hyperlink>
          </w:p>
        </w:tc>
        <w:tc>
          <w:tcPr>
            <w:tcW w:w="220" w:type="dxa"/>
            <w:vAlign w:val="bottom"/>
            <w:gridSpan w:val="4"/>
          </w:tcPr>
          <w:p>
            <w:pPr>
              <w:jc w:val="center"/>
              <w:ind w:right="160"/>
              <w:spacing w:after="0"/>
              <w:rPr>
                <w:rFonts w:ascii="Arial" w:cs="Arial" w:eastAsia="Arial" w:hAnsi="Arial"/>
                <w:sz w:val="8"/>
                <w:szCs w:val="8"/>
                <w:color w:val="0000EE"/>
                <w:w w:val="73"/>
              </w:rPr>
            </w:pPr>
            <w:hyperlink w:anchor="page112">
              <w:r>
                <w:rPr>
                  <w:rFonts w:ascii="Arial" w:cs="Arial" w:eastAsia="Arial" w:hAnsi="Arial"/>
                  <w:sz w:val="8"/>
                  <w:szCs w:val="8"/>
                  <w:color w:val="0000EE"/>
                  <w:w w:val="73"/>
                </w:rPr>
                <w:t>-</w:t>
              </w:r>
            </w:hyperlink>
          </w:p>
        </w:tc>
        <w:tc>
          <w:tcPr>
            <w:tcW w:w="260" w:type="dxa"/>
            <w:vAlign w:val="bottom"/>
            <w:gridSpan w:val="6"/>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top w:val="single" w:sz="8" w:color="0000EE"/>
              <w:bottom w:val="single" w:sz="8" w:color="0000EE"/>
            </w:tcBorders>
            <w:gridSpan w:val="3"/>
          </w:tcPr>
          <w:p>
            <w:pPr>
              <w:spacing w:after="0" w:line="155" w:lineRule="exact"/>
              <w:rPr>
                <w:rFonts w:ascii="Arial" w:cs="Arial" w:eastAsia="Arial" w:hAnsi="Arial"/>
                <w:sz w:val="16"/>
                <w:szCs w:val="16"/>
                <w:color w:val="0000EE"/>
                <w:w w:val="94"/>
              </w:rPr>
            </w:pPr>
            <w:hyperlink w:anchor="page112">
              <w:r>
                <w:rPr>
                  <w:rFonts w:ascii="Arial" w:cs="Arial" w:eastAsia="Arial" w:hAnsi="Arial"/>
                  <w:sz w:val="16"/>
                  <w:szCs w:val="16"/>
                  <w:color w:val="0000EE"/>
                  <w:w w:val="94"/>
                </w:rPr>
                <w:t>Oxley Act of 2002.</w:t>
              </w:r>
            </w:hyperlink>
          </w:p>
        </w:tc>
        <w:tc>
          <w:tcPr>
            <w:tcW w:w="3080" w:type="dxa"/>
            <w:vAlign w:val="bottom"/>
            <w:tcBorders>
              <w:top w:val="single" w:sz="8" w:color="0000EE"/>
            </w:tcBorders>
            <w:gridSpan w:val="9"/>
          </w:tcPr>
          <w:p>
            <w:pPr>
              <w:spacing w:after="0"/>
              <w:rPr>
                <w:sz w:val="13"/>
                <w:szCs w:val="13"/>
                <w:color w:val="auto"/>
              </w:rPr>
            </w:pPr>
          </w:p>
        </w:tc>
        <w:tc>
          <w:tcPr>
            <w:tcW w:w="180" w:type="dxa"/>
            <w:vAlign w:val="bottom"/>
            <w:gridSpan w:val="2"/>
          </w:tcPr>
          <w:p>
            <w:pPr>
              <w:spacing w:after="0"/>
              <w:rPr>
                <w:sz w:val="13"/>
                <w:szCs w:val="13"/>
                <w:color w:val="auto"/>
              </w:rPr>
            </w:pPr>
          </w:p>
        </w:tc>
        <w:tc>
          <w:tcPr>
            <w:tcW w:w="260" w:type="dxa"/>
            <w:vAlign w:val="bottom"/>
            <w:gridSpan w:val="6"/>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4"/>
                <w:szCs w:val="24"/>
                <w:color w:val="auto"/>
              </w:rPr>
            </w:pPr>
          </w:p>
        </w:tc>
        <w:tc>
          <w:tcPr>
            <w:tcW w:w="4780" w:type="dxa"/>
            <w:vAlign w:val="bottom"/>
            <w:gridSpan w:val="20"/>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Certification of Chief Financial Officer Required Under Rule 13a-</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Borders>
              <w:top w:val="single" w:sz="8" w:color="0000EE"/>
            </w:tcBorders>
            <w:gridSpan w:val="11"/>
          </w:tcPr>
          <w:p>
            <w:pPr>
              <w:spacing w:after="0" w:line="155" w:lineRule="exact"/>
              <w:rPr>
                <w:rFonts w:ascii="Arial" w:cs="Arial" w:eastAsia="Arial" w:hAnsi="Arial"/>
                <w:sz w:val="16"/>
                <w:szCs w:val="16"/>
                <w:color w:val="0000EE"/>
                <w:w w:val="95"/>
              </w:rPr>
            </w:pPr>
            <w:hyperlink w:anchor="page113">
              <w:r>
                <w:rPr>
                  <w:rFonts w:ascii="Arial" w:cs="Arial" w:eastAsia="Arial" w:hAnsi="Arial"/>
                  <w:sz w:val="16"/>
                  <w:szCs w:val="16"/>
                  <w:color w:val="0000EE"/>
                  <w:w w:val="95"/>
                </w:rPr>
                <w:t>14(a) and 15d-14(a) of the Securities Exchange Act of 1934, as</w:t>
              </w:r>
            </w:hyperlink>
          </w:p>
        </w:tc>
        <w:tc>
          <w:tcPr>
            <w:tcW w:w="200" w:type="dxa"/>
            <w:vAlign w:val="bottom"/>
            <w:gridSpan w:val="3"/>
          </w:tcPr>
          <w:p>
            <w:pPr>
              <w:spacing w:after="0"/>
              <w:rPr>
                <w:sz w:val="13"/>
                <w:szCs w:val="13"/>
                <w:color w:val="auto"/>
              </w:rPr>
            </w:pPr>
          </w:p>
        </w:tc>
        <w:tc>
          <w:tcPr>
            <w:tcW w:w="260" w:type="dxa"/>
            <w:vAlign w:val="bottom"/>
            <w:gridSpan w:val="6"/>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tcBorders>
              <w:top w:val="single" w:sz="8" w:color="0000EE"/>
            </w:tcBorders>
            <w:gridSpan w:val="9"/>
          </w:tcPr>
          <w:p>
            <w:pPr>
              <w:spacing w:after="0" w:line="155" w:lineRule="exact"/>
              <w:rPr>
                <w:rFonts w:ascii="Arial" w:cs="Arial" w:eastAsia="Arial" w:hAnsi="Arial"/>
                <w:sz w:val="16"/>
                <w:szCs w:val="16"/>
                <w:color w:val="0000EE"/>
                <w:w w:val="90"/>
              </w:rPr>
            </w:pPr>
            <w:hyperlink w:anchor="page113">
              <w:r>
                <w:rPr>
                  <w:rFonts w:ascii="Arial" w:cs="Arial" w:eastAsia="Arial" w:hAnsi="Arial"/>
                  <w:sz w:val="16"/>
                  <w:szCs w:val="16"/>
                  <w:color w:val="0000EE"/>
                  <w:w w:val="90"/>
                </w:rPr>
                <w:t>amended, and 18 U.S.C. §1350 as adopted pursuant to Section</w:t>
              </w:r>
            </w:hyperlink>
          </w:p>
        </w:tc>
        <w:tc>
          <w:tcPr>
            <w:tcW w:w="660" w:type="dxa"/>
            <w:vAlign w:val="bottom"/>
            <w:gridSpan w:val="11"/>
          </w:tcPr>
          <w:p>
            <w:pPr>
              <w:jc w:val="center"/>
              <w:ind w:right="260"/>
              <w:spacing w:after="0" w:line="155" w:lineRule="exact"/>
              <w:rPr>
                <w:rFonts w:ascii="Arial" w:cs="Arial" w:eastAsia="Arial" w:hAnsi="Arial"/>
                <w:sz w:val="16"/>
                <w:szCs w:val="16"/>
                <w:color w:val="0000EE"/>
                <w:w w:val="89"/>
              </w:rPr>
            </w:pPr>
            <w:hyperlink w:anchor="page113">
              <w:r>
                <w:rPr>
                  <w:rFonts w:ascii="Arial" w:cs="Arial" w:eastAsia="Arial" w:hAnsi="Arial"/>
                  <w:sz w:val="16"/>
                  <w:szCs w:val="16"/>
                  <w:color w:val="0000EE"/>
                  <w:w w:val="89"/>
                </w:rPr>
                <w:t>906 of</w:t>
              </w:r>
            </w:hyperlink>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20" w:type="dxa"/>
            <w:vAlign w:val="bottom"/>
            <w:tcBorders>
              <w:top w:val="single" w:sz="8" w:color="0000EE"/>
            </w:tcBorders>
            <w:gridSpan w:val="14"/>
          </w:tcPr>
          <w:p>
            <w:pPr>
              <w:spacing w:after="0" w:line="155" w:lineRule="exact"/>
              <w:rPr>
                <w:rFonts w:ascii="Arial" w:cs="Arial" w:eastAsia="Arial" w:hAnsi="Arial"/>
                <w:sz w:val="16"/>
                <w:szCs w:val="16"/>
                <w:color w:val="0000EE"/>
              </w:rPr>
            </w:pPr>
            <w:hyperlink w:anchor="page113">
              <w:r>
                <w:rPr>
                  <w:rFonts w:ascii="Arial" w:cs="Arial" w:eastAsia="Arial" w:hAnsi="Arial"/>
                  <w:sz w:val="16"/>
                  <w:szCs w:val="16"/>
                  <w:color w:val="0000EE"/>
                </w:rPr>
                <w:t>The Sarbanes-Oxley Act of 2002.</w:t>
              </w:r>
            </w:hyperlink>
          </w:p>
        </w:tc>
        <w:tc>
          <w:tcPr>
            <w:tcW w:w="260" w:type="dxa"/>
            <w:vAlign w:val="bottom"/>
            <w:gridSpan w:val="6"/>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66"/>
        </w:trPr>
        <w:tc>
          <w:tcPr>
            <w:tcW w:w="720" w:type="dxa"/>
            <w:vAlign w:val="bottom"/>
          </w:tcPr>
          <w:p>
            <w:pPr>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218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auto"/>
              </w:rPr>
              <w:t>XBRL Instance Document.</w:t>
            </w:r>
          </w:p>
        </w:tc>
        <w:tc>
          <w:tcPr>
            <w:tcW w:w="2600" w:type="dxa"/>
            <w:vAlign w:val="bottom"/>
            <w:gridSpan w:val="16"/>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w w:val="98"/>
              </w:rPr>
              <w:t>101.SCH*</w:t>
            </w:r>
          </w:p>
        </w:tc>
        <w:tc>
          <w:tcPr>
            <w:tcW w:w="100" w:type="dxa"/>
            <w:vAlign w:val="bottom"/>
          </w:tcPr>
          <w:p>
            <w:pPr>
              <w:spacing w:after="0"/>
              <w:rPr>
                <w:sz w:val="24"/>
                <w:szCs w:val="24"/>
                <w:color w:val="auto"/>
              </w:rPr>
            </w:pPr>
          </w:p>
        </w:tc>
        <w:tc>
          <w:tcPr>
            <w:tcW w:w="4780" w:type="dxa"/>
            <w:vAlign w:val="bottom"/>
            <w:gridSpan w:val="20"/>
          </w:tcPr>
          <w:p>
            <w:pPr>
              <w:spacing w:after="0"/>
              <w:rPr>
                <w:sz w:val="20"/>
                <w:szCs w:val="20"/>
                <w:color w:val="auto"/>
              </w:rPr>
            </w:pPr>
            <w:r>
              <w:rPr>
                <w:rFonts w:ascii="Arial" w:cs="Arial" w:eastAsia="Arial" w:hAnsi="Arial"/>
                <w:sz w:val="16"/>
                <w:szCs w:val="16"/>
                <w:color w:val="auto"/>
              </w:rPr>
              <w:t>XBRL Taxonomy Extension Schema.</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4780" w:type="dxa"/>
            <w:vAlign w:val="bottom"/>
            <w:gridSpan w:val="20"/>
          </w:tcPr>
          <w:p>
            <w:pPr>
              <w:spacing w:after="0"/>
              <w:rPr>
                <w:sz w:val="20"/>
                <w:szCs w:val="20"/>
                <w:color w:val="auto"/>
              </w:rPr>
            </w:pPr>
            <w:r>
              <w:rPr>
                <w:rFonts w:ascii="Arial" w:cs="Arial" w:eastAsia="Arial" w:hAnsi="Arial"/>
                <w:sz w:val="16"/>
                <w:szCs w:val="16"/>
                <w:color w:val="auto"/>
              </w:rPr>
              <w:t>XBRL Taxonomy Extension Calculation Linkbase.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4780" w:type="dxa"/>
            <w:vAlign w:val="bottom"/>
            <w:gridSpan w:val="20"/>
          </w:tcPr>
          <w:p>
            <w:pPr>
              <w:spacing w:after="0"/>
              <w:rPr>
                <w:sz w:val="20"/>
                <w:szCs w:val="20"/>
                <w:color w:val="auto"/>
              </w:rPr>
            </w:pPr>
            <w:r>
              <w:rPr>
                <w:rFonts w:ascii="Arial" w:cs="Arial" w:eastAsia="Arial" w:hAnsi="Arial"/>
                <w:sz w:val="16"/>
                <w:szCs w:val="16"/>
                <w:color w:val="auto"/>
              </w:rPr>
              <w:t>XBRL Taxonomy Extension Label Linkbase.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w w:val="99"/>
              </w:rPr>
              <w:t>101.PRE*</w:t>
            </w:r>
          </w:p>
        </w:tc>
        <w:tc>
          <w:tcPr>
            <w:tcW w:w="100" w:type="dxa"/>
            <w:vAlign w:val="bottom"/>
          </w:tcPr>
          <w:p>
            <w:pPr>
              <w:spacing w:after="0"/>
              <w:rPr>
                <w:sz w:val="24"/>
                <w:szCs w:val="24"/>
                <w:color w:val="auto"/>
              </w:rPr>
            </w:pPr>
          </w:p>
        </w:tc>
        <w:tc>
          <w:tcPr>
            <w:tcW w:w="4780" w:type="dxa"/>
            <w:vAlign w:val="bottom"/>
            <w:gridSpan w:val="20"/>
          </w:tcPr>
          <w:p>
            <w:pPr>
              <w:spacing w:after="0"/>
              <w:rPr>
                <w:sz w:val="20"/>
                <w:szCs w:val="20"/>
                <w:color w:val="auto"/>
              </w:rPr>
            </w:pPr>
            <w:r>
              <w:rPr>
                <w:rFonts w:ascii="Arial" w:cs="Arial" w:eastAsia="Arial" w:hAnsi="Arial"/>
                <w:sz w:val="16"/>
                <w:szCs w:val="16"/>
                <w:color w:val="auto"/>
              </w:rPr>
              <w:t>XBRL Taxonomy Extension Presentation Linkbase.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4780" w:type="dxa"/>
            <w:vAlign w:val="bottom"/>
            <w:gridSpan w:val="20"/>
          </w:tcPr>
          <w:p>
            <w:pPr>
              <w:spacing w:after="0"/>
              <w:rPr>
                <w:sz w:val="20"/>
                <w:szCs w:val="20"/>
                <w:color w:val="auto"/>
              </w:rPr>
            </w:pPr>
            <w:r>
              <w:rPr>
                <w:rFonts w:ascii="Arial" w:cs="Arial" w:eastAsia="Arial" w:hAnsi="Arial"/>
                <w:sz w:val="16"/>
                <w:szCs w:val="16"/>
                <w:color w:val="auto"/>
              </w:rPr>
              <w:t>XBRL Taxonomy Extension Definition Linkbase.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14408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8" w:lineRule="exact"/>
        <w:rPr>
          <w:sz w:val="20"/>
          <w:szCs w:val="20"/>
          <w:color w:val="auto"/>
        </w:rPr>
      </w:pPr>
    </w:p>
    <w:p>
      <w:pPr>
        <w:ind w:right="5740" w:firstLine="3"/>
        <w:spacing w:after="0" w:line="258" w:lineRule="auto"/>
        <w:tabs>
          <w:tab w:leader="none" w:pos="1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 w:lineRule="exact"/>
        <w:rPr>
          <w:rFonts w:ascii="Arial" w:cs="Arial" w:eastAsia="Arial" w:hAnsi="Arial"/>
          <w:sz w:val="18"/>
          <w:szCs w:val="18"/>
          <w:color w:val="auto"/>
        </w:rPr>
      </w:pPr>
    </w:p>
    <w:p>
      <w:pPr>
        <w:ind w:right="8440"/>
        <w:spacing w:after="0" w:line="281" w:lineRule="auto"/>
        <w:rPr>
          <w:rFonts w:ascii="Arial" w:cs="Arial" w:eastAsia="Arial" w:hAnsi="Arial"/>
          <w:sz w:val="18"/>
          <w:szCs w:val="18"/>
          <w:color w:val="auto"/>
        </w:rPr>
      </w:pPr>
      <w:r>
        <w:rPr>
          <w:rFonts w:ascii="Arial" w:cs="Arial" w:eastAsia="Arial" w:hAnsi="Arial"/>
          <w:sz w:val="16"/>
          <w:szCs w:val="16"/>
          <w:color w:val="auto"/>
        </w:rPr>
        <w:t>* Filed herewith.</w:t>
      </w:r>
    </w:p>
    <w:p>
      <w:pPr>
        <w:spacing w:after="0" w:line="1" w:lineRule="exact"/>
        <w:rPr>
          <w:rFonts w:ascii="Arial" w:cs="Arial" w:eastAsia="Arial" w:hAnsi="Arial"/>
          <w:sz w:val="18"/>
          <w:szCs w:val="18"/>
          <w:color w:val="auto"/>
        </w:rPr>
      </w:pPr>
    </w:p>
    <w:p>
      <w:pPr>
        <w:ind w:right="8140"/>
        <w:spacing w:after="0" w:line="290" w:lineRule="auto"/>
        <w:rPr>
          <w:rFonts w:ascii="Arial" w:cs="Arial" w:eastAsia="Arial" w:hAnsi="Arial"/>
          <w:sz w:val="18"/>
          <w:szCs w:val="18"/>
          <w:color w:val="auto"/>
        </w:rPr>
      </w:pPr>
      <w:r>
        <w:rPr>
          <w:rFonts w:ascii="Arial" w:cs="Arial" w:eastAsia="Arial" w:hAnsi="Arial"/>
          <w:sz w:val="17"/>
          <w:szCs w:val="17"/>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454660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89" w:name="page90"/>
    <w:bookmarkEnd w:id="89"/>
    <w:p>
      <w:pPr>
        <w:jc w:val="right"/>
        <w:ind w:right="139"/>
        <w:spacing w:after="0"/>
        <w:rPr>
          <w:sz w:val="20"/>
          <w:szCs w:val="20"/>
          <w:color w:val="auto"/>
        </w:rPr>
      </w:pPr>
      <w:r>
        <w:rPr>
          <w:rFonts w:ascii="Arial" w:cs="Arial" w:eastAsia="Arial" w:hAnsi="Arial"/>
          <w:sz w:val="20"/>
          <w:szCs w:val="20"/>
          <w:b w:val="1"/>
          <w:bCs w:val="1"/>
          <w:color w:val="auto"/>
        </w:rPr>
        <w:t>Exhibit 3.2</w:t>
      </w:r>
    </w:p>
    <w:p>
      <w:pPr>
        <w:spacing w:after="0" w:line="156"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AMENDED AND RESTATED BYLAWS OF</w:t>
      </w:r>
    </w:p>
    <w:p>
      <w:pPr>
        <w:ind w:left="2660"/>
        <w:spacing w:after="0"/>
        <w:rPr>
          <w:sz w:val="20"/>
          <w:szCs w:val="20"/>
          <w:color w:val="auto"/>
        </w:rPr>
      </w:pPr>
      <w:r>
        <w:rPr>
          <w:rFonts w:ascii="Arial" w:cs="Arial" w:eastAsia="Arial" w:hAnsi="Arial"/>
          <w:sz w:val="20"/>
          <w:szCs w:val="20"/>
          <w:b w:val="1"/>
          <w:bCs w:val="1"/>
          <w:color w:val="auto"/>
        </w:rPr>
        <w:t>PAYLOCITY HOLDING CORPORATION</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I</w:t>
      </w:r>
    </w:p>
    <w:p>
      <w:pPr>
        <w:jc w:val="center"/>
        <w:ind w:right="-20"/>
        <w:spacing w:after="0"/>
        <w:rPr>
          <w:sz w:val="20"/>
          <w:szCs w:val="20"/>
          <w:color w:val="auto"/>
        </w:rPr>
      </w:pPr>
      <w:r>
        <w:rPr>
          <w:rFonts w:ascii="Arial" w:cs="Arial" w:eastAsia="Arial" w:hAnsi="Arial"/>
          <w:sz w:val="20"/>
          <w:szCs w:val="20"/>
          <w:b w:val="1"/>
          <w:bCs w:val="1"/>
          <w:color w:val="auto"/>
        </w:rPr>
        <w:t>STOCKHOLDERS</w:t>
      </w:r>
    </w:p>
    <w:p>
      <w:pPr>
        <w:spacing w:after="0" w:line="159" w:lineRule="exact"/>
        <w:rPr>
          <w:sz w:val="20"/>
          <w:szCs w:val="20"/>
          <w:color w:val="auto"/>
        </w:rPr>
      </w:pPr>
    </w:p>
    <w:p>
      <w:pPr>
        <w:jc w:val="both"/>
        <w:ind w:left="160" w:right="139" w:firstLine="648"/>
        <w:spacing w:after="0" w:line="207"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Place of Meetings</w:t>
      </w:r>
      <w:r>
        <w:rPr>
          <w:rFonts w:ascii="Arial" w:cs="Arial" w:eastAsia="Arial" w:hAnsi="Arial"/>
          <w:sz w:val="20"/>
          <w:szCs w:val="20"/>
          <w:color w:val="auto"/>
        </w:rPr>
        <w:t>. All meetings of stockholders shall be held at such place (if any) within or without the State of Delaware as may be determined from time to time by the Board of Directors or, if not determined by the Board of Directors, by the Chairman of the Board, the President or the Chief Executive Officer; provided that the Board of Directors may, in its sole discretion, determine that any meeting of stockholders shall not be held at any place but shall be held solely by means of remote communication in accordance with Section 1.13.</w:t>
      </w:r>
    </w:p>
    <w:p>
      <w:pPr>
        <w:spacing w:after="0" w:line="160" w:lineRule="exact"/>
        <w:rPr>
          <w:sz w:val="20"/>
          <w:szCs w:val="20"/>
          <w:color w:val="auto"/>
        </w:rPr>
      </w:pPr>
    </w:p>
    <w:p>
      <w:pPr>
        <w:jc w:val="both"/>
        <w:ind w:left="160" w:right="139" w:firstLine="648"/>
        <w:spacing w:after="0" w:line="213"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Annual Meeting</w:t>
      </w:r>
      <w:r>
        <w:rPr>
          <w:rFonts w:ascii="Arial" w:cs="Arial" w:eastAsia="Arial" w:hAnsi="Arial"/>
          <w:sz w:val="20"/>
          <w:szCs w:val="20"/>
          <w:color w:val="auto"/>
        </w:rPr>
        <w:t>. The annual meeting of stockholders for the election of directors and for the transaction of such other business as may properly be brought before the meeting shall be held on a date to be fixed by the Board of Directors at a time to be fixed by the Board of Directors and stated in the notice of the meeting.</w:t>
      </w:r>
    </w:p>
    <w:p>
      <w:pPr>
        <w:spacing w:after="0" w:line="156" w:lineRule="exact"/>
        <w:rPr>
          <w:sz w:val="20"/>
          <w:szCs w:val="20"/>
          <w:color w:val="auto"/>
        </w:rPr>
      </w:pPr>
    </w:p>
    <w:p>
      <w:pPr>
        <w:jc w:val="both"/>
        <w:ind w:left="160" w:right="139" w:firstLine="648"/>
        <w:spacing w:after="0" w:line="21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Special Meetings</w:t>
      </w:r>
      <w:r>
        <w:rPr>
          <w:rFonts w:ascii="Arial" w:cs="Arial" w:eastAsia="Arial" w:hAnsi="Arial"/>
          <w:sz w:val="20"/>
          <w:szCs w:val="20"/>
          <w:color w:val="auto"/>
        </w:rPr>
        <w:t>. Special meetings of stockholders may be called at any time by the Board of Directors, the Chairman of the Board or the Chief Executive Officer, for any purpose or purposes prescribed in the notice of the meeting and shall be held on such date and at such time as the Board may fix. Business transacted at any special meeting of stockholders shall be confined to the purpose or purposes stated in the notice of meeting.</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Notice of Meetings</w:t>
      </w:r>
      <w:r>
        <w:rPr>
          <w:rFonts w:ascii="Arial" w:cs="Arial" w:eastAsia="Arial" w:hAnsi="Arial"/>
          <w:sz w:val="20"/>
          <w:szCs w:val="20"/>
          <w:color w:val="auto"/>
        </w:rPr>
        <w:t>.</w:t>
      </w:r>
    </w:p>
    <w:p>
      <w:pPr>
        <w:spacing w:after="0" w:line="189" w:lineRule="exact"/>
        <w:rPr>
          <w:sz w:val="20"/>
          <w:szCs w:val="20"/>
          <w:color w:val="auto"/>
        </w:rPr>
      </w:pPr>
    </w:p>
    <w:p>
      <w:pPr>
        <w:jc w:val="both"/>
        <w:ind w:left="160" w:right="139" w:firstLine="1287"/>
        <w:spacing w:after="0" w:line="227" w:lineRule="auto"/>
        <w:tabs>
          <w:tab w:leader="none" w:pos="1962" w:val="left"/>
        </w:tabs>
        <w:numPr>
          <w:ilvl w:val="1"/>
          <w:numId w:val="50"/>
        </w:numPr>
        <w:rPr>
          <w:rFonts w:ascii="Arial" w:cs="Arial" w:eastAsia="Arial" w:hAnsi="Arial"/>
          <w:sz w:val="19"/>
          <w:szCs w:val="19"/>
          <w:color w:val="auto"/>
        </w:rPr>
      </w:pPr>
      <w:r>
        <w:rPr>
          <w:rFonts w:ascii="Arial" w:cs="Arial" w:eastAsia="Arial" w:hAnsi="Arial"/>
          <w:sz w:val="18"/>
          <w:szCs w:val="18"/>
          <w:color w:val="auto"/>
        </w:rPr>
        <w:t>Written notice of each meeting of stockholders, whether annual or special, shall be given not less than 10 nor more than 60 days before the date on which the meeting is to be held, to each stockholder entitled to vote at such meeting as of the record date fixed by the Board of Directors for determining the stockholders entitled to notice of the meeting, except as otherwise provided herein or as required by law (meaning here and hereafter, as required from time to time by the Delaware General Corporation Law or the Certificate of Incorporation of the corporation). The notice of any meeting shall state the place, if any, date and hour of the meeting, and the means of remote communication, if any, by which stockholders and proxy holders may be deemed to be present in person and vote at such meeting. The notice of a special meeting shall state, in addition, the purpose or purposes for which the meeting is called.</w:t>
      </w:r>
    </w:p>
    <w:p>
      <w:pPr>
        <w:spacing w:after="0" w:line="171" w:lineRule="exact"/>
        <w:rPr>
          <w:rFonts w:ascii="Arial" w:cs="Arial" w:eastAsia="Arial" w:hAnsi="Arial"/>
          <w:sz w:val="19"/>
          <w:szCs w:val="19"/>
          <w:color w:val="auto"/>
        </w:rPr>
      </w:pPr>
    </w:p>
    <w:p>
      <w:pPr>
        <w:jc w:val="both"/>
        <w:ind w:left="160" w:right="139" w:firstLine="1287"/>
        <w:spacing w:after="0" w:line="221" w:lineRule="auto"/>
        <w:tabs>
          <w:tab w:leader="none" w:pos="1920" w:val="left"/>
        </w:tabs>
        <w:numPr>
          <w:ilvl w:val="1"/>
          <w:numId w:val="50"/>
        </w:numPr>
        <w:rPr>
          <w:rFonts w:ascii="Arial" w:cs="Arial" w:eastAsia="Arial" w:hAnsi="Arial"/>
          <w:sz w:val="19"/>
          <w:szCs w:val="19"/>
          <w:color w:val="auto"/>
        </w:rPr>
      </w:pPr>
      <w:r>
        <w:rPr>
          <w:rFonts w:ascii="Arial" w:cs="Arial" w:eastAsia="Arial" w:hAnsi="Arial"/>
          <w:sz w:val="18"/>
          <w:szCs w:val="18"/>
          <w:color w:val="auto"/>
        </w:rPr>
        <w:t>Notice to stockholders may be given by personal delivery, mail, or, with the consent of the stockholder entitled to receive notice, by facsimile or other means of electronic transmission. If mailed, such notice shall be delivered by postage prepaid envelope directed to each stockholder at such stockholder’s address as it appears in the records of the corporation and shall be deemed given when deposited in the United States mail. Notice given by electronic transmission pursuant to this subsection shall be deemed given: (1) if by facsimile telecommunication, when directed to a facsimile telecommunication number at which the stockholder has consented to receive notice; (2) if by electronic mail, when directed to an electronic mail address at which the stockholder has consented to receive notice; (3) if by posting on an electronic network together with separate notice to the stockholder of such specific posting, upon the later of</w:t>
      </w:r>
    </w:p>
    <w:p>
      <w:pPr>
        <w:spacing w:after="0" w:line="5" w:lineRule="exact"/>
        <w:rPr>
          <w:rFonts w:ascii="Arial" w:cs="Arial" w:eastAsia="Arial" w:hAnsi="Arial"/>
          <w:sz w:val="19"/>
          <w:szCs w:val="19"/>
          <w:color w:val="auto"/>
        </w:rPr>
      </w:pPr>
    </w:p>
    <w:p>
      <w:pPr>
        <w:jc w:val="both"/>
        <w:ind w:left="160" w:right="159" w:hanging="9"/>
        <w:spacing w:after="0" w:line="224" w:lineRule="auto"/>
        <w:tabs>
          <w:tab w:leader="none" w:pos="5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255270</wp:posOffset>
            </wp:positionV>
            <wp:extent cx="554863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0" w:name="page91"/>
    <w:bookmarkEnd w:id="90"/>
    <w:p>
      <w:pPr>
        <w:ind w:left="160" w:right="139"/>
        <w:spacing w:after="0" w:line="230" w:lineRule="auto"/>
        <w:rPr>
          <w:sz w:val="20"/>
          <w:szCs w:val="20"/>
          <w:color w:val="auto"/>
        </w:rPr>
      </w:pPr>
      <w:r>
        <w:rPr>
          <w:rFonts w:ascii="Arial" w:cs="Arial" w:eastAsia="Arial" w:hAnsi="Arial"/>
          <w:sz w:val="20"/>
          <w:szCs w:val="20"/>
          <w:color w:val="auto"/>
        </w:rPr>
        <w:t>by personal delivery, by mail, or by a form of electronic transmission shall, in the absence of fraud, be prima facie evidence of the facts stated therein.</w:t>
      </w:r>
    </w:p>
    <w:p>
      <w:pPr>
        <w:spacing w:after="0" w:line="169" w:lineRule="exact"/>
        <w:rPr>
          <w:sz w:val="20"/>
          <w:szCs w:val="20"/>
          <w:color w:val="auto"/>
        </w:rPr>
      </w:pPr>
    </w:p>
    <w:p>
      <w:pPr>
        <w:jc w:val="both"/>
        <w:ind w:left="160" w:right="139" w:firstLine="1287"/>
        <w:spacing w:after="0" w:line="219" w:lineRule="auto"/>
        <w:tabs>
          <w:tab w:leader="none" w:pos="1948" w:val="left"/>
        </w:tabs>
        <w:numPr>
          <w:ilvl w:val="0"/>
          <w:numId w:val="52"/>
        </w:numPr>
        <w:rPr>
          <w:rFonts w:ascii="Arial" w:cs="Arial" w:eastAsia="Arial" w:hAnsi="Arial"/>
          <w:sz w:val="21"/>
          <w:szCs w:val="21"/>
          <w:color w:val="auto"/>
        </w:rPr>
      </w:pPr>
      <w:r>
        <w:rPr>
          <w:rFonts w:ascii="Arial" w:cs="Arial" w:eastAsia="Arial" w:hAnsi="Arial"/>
          <w:sz w:val="19"/>
          <w:szCs w:val="19"/>
          <w:color w:val="auto"/>
        </w:rPr>
        <w:t>Notice of any meeting of stockholders need not be given to any stockholder if waived by such stockholder either in a writing signed by such stockholder or by electronic transmission, whether such waiver is given before or after such meeting is held. If such a waiver is given by electronic transmission, the electronic transmission must either set forth or be submitted with information from which it can be determined that the electronic transmission was authorized by the stockholder.</w:t>
      </w:r>
    </w:p>
    <w:p>
      <w:pPr>
        <w:spacing w:after="0" w:line="157" w:lineRule="exact"/>
        <w:rPr>
          <w:sz w:val="20"/>
          <w:szCs w:val="20"/>
          <w:color w:val="auto"/>
        </w:rPr>
      </w:pPr>
    </w:p>
    <w:p>
      <w:pPr>
        <w:jc w:val="both"/>
        <w:ind w:left="160" w:right="139" w:firstLine="648"/>
        <w:spacing w:after="0" w:line="223"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Voting List</w:t>
      </w:r>
      <w:r>
        <w:rPr>
          <w:rFonts w:ascii="Arial" w:cs="Arial" w:eastAsia="Arial" w:hAnsi="Arial"/>
          <w:sz w:val="18"/>
          <w:szCs w:val="18"/>
          <w:color w:val="auto"/>
        </w:rPr>
        <w:t>. The officer who has charge of the stock ledger of the corporation shall prepare, at least 10 days before each meeting of stockholders, a complete list of the stockholders entitled to vote at the meeting; the list shall reflect the stockholders entitled to vote as of the tenth day before the meeting date, arranged in alphabetical order for each class of stock and showing the mailing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the notice of the meeting, (b) during ordinary business hours at the principal place of business of the corporation or (c) in any other manner provided by law. If the meeting is to be held at a place, the list shall be produced and kept at the time and place of the meeting during the whole time of the meeting, and may be examined by any stockholder who is present. If the meeting is to be held solely by means of remote communication, such list shall also be open to the examination of any stockholder during the whole time of the meeting on a reasonably accessible electronic network, and the information required to access such list shall be provided with the notice of the meeting. The stock ledger shall be the only evidence as to the stockholders who are entitled to examine the list required by this Section 1.5 or to vote in person or by proxy at any meeting of stockholders.</w:t>
      </w:r>
    </w:p>
    <w:p>
      <w:pPr>
        <w:spacing w:after="0" w:line="161" w:lineRule="exact"/>
        <w:rPr>
          <w:sz w:val="20"/>
          <w:szCs w:val="20"/>
          <w:color w:val="auto"/>
        </w:rPr>
      </w:pPr>
    </w:p>
    <w:p>
      <w:pPr>
        <w:jc w:val="both"/>
        <w:ind w:left="160" w:right="139" w:firstLine="648"/>
        <w:spacing w:after="0" w:line="233"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provided by law or these Bylaws, the holders of a majority of the shares of the capital stock of the corporation entitled to vote at the meeting, present in person or represented by proxy, shall constitute a quorum for the transaction of business. Where a separate class vote by a class or classes or series is required, a majority of the shares of such class or classes or series present in person or represented by proxy shall constitute a quorum entitled to take action with respect to that vote on that matter.</w:t>
      </w:r>
    </w:p>
    <w:p>
      <w:pPr>
        <w:spacing w:after="0" w:line="157" w:lineRule="exact"/>
        <w:rPr>
          <w:sz w:val="20"/>
          <w:szCs w:val="20"/>
          <w:color w:val="auto"/>
        </w:rPr>
      </w:pPr>
    </w:p>
    <w:p>
      <w:pPr>
        <w:jc w:val="both"/>
        <w:ind w:left="160" w:right="139" w:firstLine="648"/>
        <w:spacing w:after="0" w:line="223"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Adjournments</w:t>
      </w:r>
      <w:r>
        <w:rPr>
          <w:rFonts w:ascii="Arial" w:cs="Arial" w:eastAsia="Arial" w:hAnsi="Arial"/>
          <w:sz w:val="18"/>
          <w:szCs w:val="18"/>
          <w:color w:val="auto"/>
        </w:rPr>
        <w:t>. Any meeting of stockholders may be adjourned to any other time and to any other place at which a meeting of stockholders may be held under these Bylaws by the chairman of the meeting or, in the absence of such person, by any officer entitled to preside at or to act as secretary of such meeting, or by the holders of a majority of the shares of stock present or represented at the meeting and entitled to vote, although less than a quorum. When a meeting is adjourned to another place, date or time, written notice need not be given of the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provided, however, that if the date of any adjourned meeting is more than 30 days after the date for which the meeting was originally noticed, or if the Board of Directors fixes a new record date for determining the stockholders entitled to vote at the adjourned meeting in accordance with Section 4.5, written notice of the place, if any, date and time of the adjourned meeting and the means of remote communication, if any, by which stockholders and proxy holders may be deemed to be present in person and vote at such adjourned meeting, shall be given in conformity herewith. At the adjourned meeting, the corporation may transact any business which might have been transacted at the original meeting.</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1" w:name="page92"/>
    <w:bookmarkEnd w:id="91"/>
    <w:p>
      <w:pPr>
        <w:jc w:val="both"/>
        <w:ind w:left="160" w:right="139" w:firstLine="648"/>
        <w:spacing w:after="0" w:line="213"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Voting and Proxies</w:t>
      </w:r>
      <w:r>
        <w:rPr>
          <w:rFonts w:ascii="Arial" w:cs="Arial" w:eastAsia="Arial" w:hAnsi="Arial"/>
          <w:sz w:val="19"/>
          <w:szCs w:val="19"/>
          <w:color w:val="auto"/>
        </w:rPr>
        <w:t>. Each stockholder shall have one vote for each share of stock entitled to vote held of record by such stockholder and a proportionate vote for each fractional share so held, unless otherwise provided by law or in the Certificate of Incorporation. Each stockholder of record entitled to vote at a meeting of stockholders may vote in person or may authorize any other person or persons to vote or act for such stockholder by a written proxy executed by the stockholder or the stockholder’s authorized agent or by an electronic transmission permitted by law and delivered to the Secretary of the corporation. Any copy, facsimile transmission or other reliable reproduction of the writing or electronic transmission created pursuant to this section may be substituted or used in lieu of the original writing or electronic transmission for any and all purposes for which the original writing or transmission could be used, provided that such copy, facsimile transmission or other reproduction shall be a complete reproduction of the entire original writing or electronic transmission.</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1.9  </w:t>
      </w:r>
      <w:r>
        <w:rPr>
          <w:rFonts w:ascii="Arial" w:cs="Arial" w:eastAsia="Arial" w:hAnsi="Arial"/>
          <w:sz w:val="20"/>
          <w:szCs w:val="20"/>
          <w:u w:val="single" w:color="auto"/>
          <w:color w:val="auto"/>
        </w:rPr>
        <w:t>Action at Meeting</w:t>
      </w:r>
      <w:r>
        <w:rPr>
          <w:rFonts w:ascii="Arial" w:cs="Arial" w:eastAsia="Arial" w:hAnsi="Arial"/>
          <w:sz w:val="20"/>
          <w:szCs w:val="20"/>
          <w:color w:val="auto"/>
        </w:rPr>
        <w:t>.</w:t>
      </w:r>
    </w:p>
    <w:p>
      <w:pPr>
        <w:spacing w:after="0" w:line="189" w:lineRule="exact"/>
        <w:rPr>
          <w:sz w:val="20"/>
          <w:szCs w:val="20"/>
          <w:color w:val="auto"/>
        </w:rPr>
      </w:pPr>
    </w:p>
    <w:p>
      <w:pPr>
        <w:jc w:val="both"/>
        <w:ind w:left="160" w:right="139" w:firstLine="1287"/>
        <w:spacing w:after="0" w:line="216" w:lineRule="auto"/>
        <w:tabs>
          <w:tab w:leader="none" w:pos="1948" w:val="left"/>
        </w:tabs>
        <w:numPr>
          <w:ilvl w:val="0"/>
          <w:numId w:val="53"/>
        </w:numPr>
        <w:rPr>
          <w:rFonts w:ascii="Arial" w:cs="Arial" w:eastAsia="Arial" w:hAnsi="Arial"/>
          <w:sz w:val="22"/>
          <w:szCs w:val="22"/>
          <w:color w:val="auto"/>
        </w:rPr>
      </w:pPr>
      <w:r>
        <w:rPr>
          <w:rFonts w:ascii="Arial" w:cs="Arial" w:eastAsia="Arial" w:hAnsi="Arial"/>
          <w:sz w:val="20"/>
          <w:szCs w:val="20"/>
          <w:color w:val="auto"/>
        </w:rPr>
        <w:t>At any meeting of stockholders for the election of one or more directors at which a quorum is present, the election shall be determined by a plurality of the votes cast by the stockholders entitled to vote at the election.</w:t>
      </w:r>
    </w:p>
    <w:p>
      <w:pPr>
        <w:spacing w:after="0" w:line="168" w:lineRule="exact"/>
        <w:rPr>
          <w:rFonts w:ascii="Arial" w:cs="Arial" w:eastAsia="Arial" w:hAnsi="Arial"/>
          <w:sz w:val="22"/>
          <w:szCs w:val="22"/>
          <w:color w:val="auto"/>
        </w:rPr>
      </w:pPr>
    </w:p>
    <w:p>
      <w:pPr>
        <w:jc w:val="both"/>
        <w:ind w:left="160" w:right="139" w:firstLine="1287"/>
        <w:spacing w:after="0" w:line="217" w:lineRule="auto"/>
        <w:tabs>
          <w:tab w:leader="none" w:pos="1947" w:val="left"/>
        </w:tabs>
        <w:numPr>
          <w:ilvl w:val="0"/>
          <w:numId w:val="53"/>
        </w:numPr>
        <w:rPr>
          <w:rFonts w:ascii="Arial" w:cs="Arial" w:eastAsia="Arial" w:hAnsi="Arial"/>
          <w:sz w:val="21"/>
          <w:szCs w:val="21"/>
          <w:color w:val="auto"/>
        </w:rPr>
      </w:pPr>
      <w:r>
        <w:rPr>
          <w:rFonts w:ascii="Arial" w:cs="Arial" w:eastAsia="Arial" w:hAnsi="Arial"/>
          <w:sz w:val="19"/>
          <w:szCs w:val="19"/>
          <w:color w:val="auto"/>
        </w:rPr>
        <w:t>All other matters shall be determined by a majority in voting power of the shares present in person or represented by proxy and entitled to vote on the matter (or if there are two or more classes of stock entitled to vote as separate classes, then in the case of each such class, a majority of the shares of each such class present in person or represented by proxy and entitled to vote on the matter shall decide such matter), provided that a quorum is present, except when a different vote is required by express provision of law, the Certificate of Incorporation or these Bylaws.</w:t>
      </w:r>
    </w:p>
    <w:p>
      <w:pPr>
        <w:spacing w:after="0" w:line="171" w:lineRule="exact"/>
        <w:rPr>
          <w:rFonts w:ascii="Arial" w:cs="Arial" w:eastAsia="Arial" w:hAnsi="Arial"/>
          <w:sz w:val="21"/>
          <w:szCs w:val="21"/>
          <w:color w:val="auto"/>
        </w:rPr>
      </w:pPr>
    </w:p>
    <w:p>
      <w:pPr>
        <w:jc w:val="both"/>
        <w:ind w:left="160" w:right="139" w:firstLine="1287"/>
        <w:spacing w:after="0" w:line="225" w:lineRule="auto"/>
        <w:tabs>
          <w:tab w:leader="none" w:pos="1989" w:val="left"/>
        </w:tabs>
        <w:numPr>
          <w:ilvl w:val="0"/>
          <w:numId w:val="53"/>
        </w:numPr>
        <w:rPr>
          <w:rFonts w:ascii="Arial" w:cs="Arial" w:eastAsia="Arial" w:hAnsi="Arial"/>
          <w:sz w:val="19"/>
          <w:szCs w:val="19"/>
          <w:color w:val="auto"/>
        </w:rPr>
      </w:pPr>
      <w:r>
        <w:rPr>
          <w:rFonts w:ascii="Arial" w:cs="Arial" w:eastAsia="Arial" w:hAnsi="Arial"/>
          <w:sz w:val="18"/>
          <w:szCs w:val="18"/>
          <w:color w:val="auto"/>
        </w:rPr>
        <w:t>All voting, including on the election of directors, but excepting where otherwise required by law, may be by a voice vote; provided, that upon demand therefor by a stockholder entitled to vote or the stockholder’s proxy, a vote by ballot shall be taken. Each ballot shall state the name of the stockholder or proxy voting and such other information as may be required under the procedure established for the meeting. The corporation may, and to the extent required by law, shall, in advance of any meeting of stockholders, appoint one or more inspectors to act at the meeting and make a written report thereof. The corporation may designate one or more persons as an alternate inspector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duties, shall take and sign an oath to faithfully execute the duties of inspector with strict impartiality and according to the best of his ability.</w:t>
      </w:r>
    </w:p>
    <w:p>
      <w:pPr>
        <w:spacing w:after="0" w:line="164" w:lineRule="exact"/>
        <w:rPr>
          <w:sz w:val="20"/>
          <w:szCs w:val="20"/>
          <w:color w:val="auto"/>
        </w:rPr>
      </w:pPr>
    </w:p>
    <w:p>
      <w:pPr>
        <w:ind w:left="800"/>
        <w:spacing w:after="0"/>
        <w:tabs>
          <w:tab w:leader="none" w:pos="15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u w:val="single" w:color="auto"/>
          <w:color w:val="auto"/>
        </w:rPr>
        <w:t>Stockholder Business (Other Than the Election of Directors)</w:t>
      </w:r>
      <w:r>
        <w:rPr>
          <w:rFonts w:ascii="Arial" w:cs="Arial" w:eastAsia="Arial" w:hAnsi="Arial"/>
          <w:sz w:val="18"/>
          <w:szCs w:val="18"/>
          <w:color w:val="auto"/>
        </w:rPr>
        <w:t>.</w:t>
      </w:r>
    </w:p>
    <w:p>
      <w:pPr>
        <w:spacing w:after="0" w:line="189" w:lineRule="exact"/>
        <w:rPr>
          <w:sz w:val="20"/>
          <w:szCs w:val="20"/>
          <w:color w:val="auto"/>
        </w:rPr>
      </w:pPr>
    </w:p>
    <w:p>
      <w:pPr>
        <w:jc w:val="both"/>
        <w:ind w:left="160" w:right="139" w:firstLine="1287"/>
        <w:spacing w:after="0" w:line="225" w:lineRule="auto"/>
        <w:tabs>
          <w:tab w:leader="none" w:pos="1935" w:val="left"/>
        </w:tabs>
        <w:numPr>
          <w:ilvl w:val="0"/>
          <w:numId w:val="54"/>
        </w:numPr>
        <w:rPr>
          <w:rFonts w:ascii="Arial" w:cs="Arial" w:eastAsia="Arial" w:hAnsi="Arial"/>
          <w:sz w:val="19"/>
          <w:szCs w:val="19"/>
          <w:color w:val="auto"/>
        </w:rPr>
      </w:pPr>
      <w:r>
        <w:rPr>
          <w:rFonts w:ascii="Arial" w:cs="Arial" w:eastAsia="Arial" w:hAnsi="Arial"/>
          <w:sz w:val="18"/>
          <w:szCs w:val="18"/>
          <w:color w:val="auto"/>
        </w:rPr>
        <w:t>Only such business (other than nominations for election of directors, which is governed by Section 2.15 of these Bylaws) shall be conducted as shall have been properly brought before an annual meeting. To be properly brought before an annual meeting, business must be either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 who (A) is a stockholder of record (and, with respect to any beneficial owner, if different, on whose behalf such business is proposed, only if such beneficial owner is the beneficial owner of shares of the corporation) both at the time of giving the notice provided for in this Section 1.10 and at the time of the meeting, (B) is entitled to vote at the meeting and (C) has complied with the notice procedures set forth in this Section 1.10 as to such business. For any business to be properly brought before an annual meeting by a stockholder (other than nominations for election of directors, which is governed by Section 2.15 of these Bylaws), it must be a proper matter for</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2" w:name="page93"/>
    <w:bookmarkEnd w:id="92"/>
    <w:p>
      <w:pPr>
        <w:jc w:val="both"/>
        <w:ind w:left="160" w:right="139"/>
        <w:spacing w:after="0" w:line="223" w:lineRule="auto"/>
        <w:rPr>
          <w:sz w:val="20"/>
          <w:szCs w:val="20"/>
          <w:color w:val="auto"/>
        </w:rPr>
      </w:pPr>
      <w:r>
        <w:rPr>
          <w:rFonts w:ascii="Arial" w:cs="Arial" w:eastAsia="Arial" w:hAnsi="Arial"/>
          <w:sz w:val="18"/>
          <w:szCs w:val="18"/>
          <w:color w:val="auto"/>
        </w:rPr>
        <w:t>stockholder action under the Delaware General Corporation Law, and the stockholder must have given timely notice thereof in writing to the Secretary of the corporation. To be timely, a stockholder’s notice shall be in writing and must be received at the corporation’s principal executive offices not later than 90 days nor earlier than 120 days prior to the first anniversary of the date of the preceding year’s annual meeting as first specified in the corporation’s notice of meeting (without regard to any postponements or adjournments of such meeting after such notice was first sent), provided, however, that if no annual meeting was held in the previous year or the date of the annual meeting is advanced by more than thirty (30) days, or delayed (other than as a result of adjournment) by more than thirty (30) days from the anniversary of the previous year’s annual meeting, notice by the stockholder to be timely must be received not later than the close of business on the later of the ninetieth (90</w:t>
      </w:r>
      <w:r>
        <w:rPr>
          <w:rFonts w:ascii="Arial" w:cs="Arial" w:eastAsia="Arial" w:hAnsi="Arial"/>
          <w:sz w:val="18"/>
          <w:szCs w:val="18"/>
          <w:color w:val="auto"/>
          <w:vertAlign w:val="superscript"/>
        </w:rPr>
        <w:t>th</w:t>
      </w:r>
      <w:r>
        <w:rPr>
          <w:rFonts w:ascii="Arial" w:cs="Arial" w:eastAsia="Arial" w:hAnsi="Arial"/>
          <w:sz w:val="18"/>
          <w:szCs w:val="18"/>
          <w:color w:val="auto"/>
        </w:rPr>
        <w:t>) day prior to such annual meeting or the tenth (10</w:t>
      </w:r>
      <w:r>
        <w:rPr>
          <w:rFonts w:ascii="Arial" w:cs="Arial" w:eastAsia="Arial" w:hAnsi="Arial"/>
          <w:sz w:val="18"/>
          <w:szCs w:val="18"/>
          <w:color w:val="auto"/>
          <w:vertAlign w:val="superscript"/>
        </w:rPr>
        <w:t>th</w:t>
      </w:r>
      <w:r>
        <w:rPr>
          <w:rFonts w:ascii="Arial" w:cs="Arial" w:eastAsia="Arial" w:hAnsi="Arial"/>
          <w:sz w:val="18"/>
          <w:szCs w:val="18"/>
          <w:color w:val="auto"/>
        </w:rPr>
        <w:t>) day following the date on which public announcement of the date of such meeting is first made. “</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for purposes hereof shall have the meaning set forth in Section 2.15(c) of these Bylaws. In no event shall the public announcement of an adjournment or postponement of an annual meeting commence a new time period (or extend any time period) for the giving of a stockholder’s notice as described above. For business to be properly brought before a special meeting by a stockholder, the business must be limited to the purpose or purposes set forth in a request under Section 1.3.</w:t>
      </w:r>
    </w:p>
    <w:p>
      <w:pPr>
        <w:spacing w:after="0" w:line="179" w:lineRule="exact"/>
        <w:rPr>
          <w:sz w:val="20"/>
          <w:szCs w:val="20"/>
          <w:color w:val="auto"/>
        </w:rPr>
      </w:pPr>
    </w:p>
    <w:p>
      <w:pPr>
        <w:jc w:val="both"/>
        <w:ind w:left="160" w:right="139" w:firstLine="1287"/>
        <w:spacing w:after="0" w:line="221" w:lineRule="auto"/>
        <w:tabs>
          <w:tab w:leader="none" w:pos="1933" w:val="left"/>
        </w:tabs>
        <w:numPr>
          <w:ilvl w:val="0"/>
          <w:numId w:val="55"/>
        </w:numPr>
        <w:rPr>
          <w:rFonts w:ascii="Arial" w:cs="Arial" w:eastAsia="Arial" w:hAnsi="Arial"/>
          <w:sz w:val="19"/>
          <w:szCs w:val="19"/>
          <w:color w:val="auto"/>
        </w:rPr>
      </w:pPr>
      <w:r>
        <w:rPr>
          <w:rFonts w:ascii="Arial" w:cs="Arial" w:eastAsia="Arial" w:hAnsi="Arial"/>
          <w:sz w:val="18"/>
          <w:szCs w:val="18"/>
          <w:color w:val="auto"/>
        </w:rPr>
        <w:t>A stockholder’s notice to the Secretary of the corporation shall set forth (i) as to each matter the stockholder proposes to bring before the annual meeting, a brief description of the business desired to be brought before the annual meeting and the text of the proposal or business, including the text of any resolutions proposed for consideration and in the event that such business includes a proposal to amend the Bylaws of the corporation, the language of the proposed amendment, and (ii) as to the stockholder giving the notice and the beneficial owner, if any, on whose behalf the proposal is being made, and any of their respective affiliates or associates or others acting in concert therewith (each, a “</w:t>
      </w:r>
      <w:r>
        <w:rPr>
          <w:rFonts w:ascii="Arial" w:cs="Arial" w:eastAsia="Arial" w:hAnsi="Arial"/>
          <w:sz w:val="18"/>
          <w:szCs w:val="18"/>
          <w:b w:val="1"/>
          <w:bCs w:val="1"/>
          <w:i w:val="1"/>
          <w:iCs w:val="1"/>
          <w:color w:val="auto"/>
        </w:rPr>
        <w:t>Proposing Person</w:t>
      </w:r>
      <w:r>
        <w:rPr>
          <w:rFonts w:ascii="Arial" w:cs="Arial" w:eastAsia="Arial" w:hAnsi="Arial"/>
          <w:sz w:val="18"/>
          <w:szCs w:val="18"/>
          <w:color w:val="auto"/>
        </w:rPr>
        <w:t>”), (A) the name and address, as they appear on the corporation’s books, of the stockholder proposing such business and of any other Proposing Person, (B) the class or series and number of shares of the corporation which are owned beneficially and of record by the stockholder and any other Proposing Person as of the date of the notice, and a representation that the stockholder will notify the corporation in writing within five (5) business days after the record date for voting at the meeting of the class or series and number of shares of the corporation owned beneficially and of record by the stockholder and any other Proposing Person as of the record date for voting at the meeting, (C) a representation that the stockholder intends to appear in person or by proxy at the meeting to propose the business specified in the notice, (D) any material interest of the stockholder and any other Proposing Person in such business, (E) the following information regarding the ownership interests of the stockholder and any other Proposing Person which shall be supplemented in writing by the stockholder not later than ten (10) days after the record date for voting at the meeting to disclose such interests as of such record date: (1) a description of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stockholder of record or any other Proposing Person may have entered into transactions that hedge or mitigate the economic effect of such instrument, contract or right (a “</w:t>
      </w:r>
      <w:r>
        <w:rPr>
          <w:rFonts w:ascii="Arial" w:cs="Arial" w:eastAsia="Arial" w:hAnsi="Arial"/>
          <w:sz w:val="18"/>
          <w:szCs w:val="18"/>
          <w:b w:val="1"/>
          <w:bCs w:val="1"/>
          <w:i w:val="1"/>
          <w:iCs w:val="1"/>
          <w:color w:val="auto"/>
        </w:rPr>
        <w:t>Derivative Instrument</w:t>
      </w:r>
      <w:r>
        <w:rPr>
          <w:rFonts w:ascii="Arial" w:cs="Arial" w:eastAsia="Arial" w:hAnsi="Arial"/>
          <w:sz w:val="18"/>
          <w:szCs w:val="18"/>
          <w:color w:val="auto"/>
        </w:rPr>
        <w:t>”) directly or indirectly owned beneficially by such stockholder or other Proposing Person, and any other direct or indirect opportunity to profit or share in any profit derived from any increase or decrease in the value of shares of</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3" w:name="page94"/>
    <w:bookmarkEnd w:id="93"/>
    <w:p>
      <w:pPr>
        <w:jc w:val="both"/>
        <w:ind w:left="160" w:right="139"/>
        <w:spacing w:after="0" w:line="248" w:lineRule="auto"/>
        <w:rPr>
          <w:sz w:val="20"/>
          <w:szCs w:val="20"/>
          <w:color w:val="auto"/>
        </w:rPr>
      </w:pPr>
      <w:r>
        <w:rPr>
          <w:rFonts w:ascii="Arial" w:cs="Arial" w:eastAsia="Arial" w:hAnsi="Arial"/>
          <w:sz w:val="16"/>
          <w:szCs w:val="16"/>
          <w:color w:val="auto"/>
        </w:rPr>
        <w:t>the corporation; (2) a description of any proxy, contract, arrangement, understanding, or relationship pursuant to which such stockholder or other Proposing Person has a right to vote any shares of any security of the corporation; (3) a description of any agreement, arrangement, understanding, relationship or otherwise, including any repurchase or similar so-called “stock borrowing” agreement or arrangement, engaged in, directly or indirectly, by such stockholder or other Proposing Person, the purpose or effect of which is to mitigate loss to, reduce the economic risk (of ownership or otherwise) of any class or series of the shares of the corporation by, manage the risk of share price changes for, or increase or decrease the voting power of, such stockholder or other Proposing Person with respect to any class or series of the shares of the corporation, or which provides, directly or indirectly, the opportunity to profit or share in any profit derived from any decrease in the price or value of any class or series of the shares of the corporation (“Short Interests”); (4) a description of any rights to dividends on the shares of the corporation owned beneficially by such stockholder or other Proposing Person that are separated or separable from the underlying shares of the corporation; (5) a description of any proportionate interest in shares of the corporation or Derivative Instruments held, directly or indirectly, by a general or limited partnership in which such stockholder or other Proposing Person is a general partner or, directly or indirectly, beneficially owns an interest in a general partner; (6) a description of any performance-related fees (other than an asset-based fee) to which such stockholder or other Proposing Person is entitled based on any increase or decrease in the value of shares of the corporation or Derivative Instruments, if any, as of the date of such notice, including, without limitation, any such interests held by members of such stockholder’s or other Proposing Person’s immediate family sharing the same household;</w:t>
      </w:r>
    </w:p>
    <w:p>
      <w:pPr>
        <w:spacing w:after="0" w:line="188" w:lineRule="exact"/>
        <w:rPr>
          <w:sz w:val="20"/>
          <w:szCs w:val="20"/>
          <w:color w:val="auto"/>
        </w:rPr>
      </w:pPr>
    </w:p>
    <w:p>
      <w:pPr>
        <w:jc w:val="both"/>
        <w:ind w:left="160" w:right="139" w:hanging="9"/>
        <w:spacing w:after="0" w:line="21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description of any significant equity interests or any Derivative Instruments or Short Interests in any principal competitor of the corporation held by such stockholder or other Proposing Person; and (8) a description of any direct or indirect interest of such stockholder or other Proposing Person in any contract with the corporation, any affiliate of the corporation or any principal competitor of the corporation (including, in any such case, any employment agreement, collective bargaining agreement or consulting agreement), and</w:t>
      </w:r>
    </w:p>
    <w:p>
      <w:pPr>
        <w:spacing w:after="0" w:line="1" w:lineRule="exact"/>
        <w:rPr>
          <w:rFonts w:ascii="Arial" w:cs="Arial" w:eastAsia="Arial" w:hAnsi="Arial"/>
          <w:sz w:val="18"/>
          <w:szCs w:val="18"/>
          <w:color w:val="auto"/>
        </w:rPr>
      </w:pPr>
    </w:p>
    <w:p>
      <w:pPr>
        <w:jc w:val="both"/>
        <w:ind w:left="160" w:right="139"/>
        <w:spacing w:after="0" w:line="215" w:lineRule="auto"/>
        <w:rPr>
          <w:rFonts w:ascii="Arial" w:cs="Arial" w:eastAsia="Arial" w:hAnsi="Arial"/>
          <w:sz w:val="18"/>
          <w:szCs w:val="18"/>
          <w:color w:val="auto"/>
        </w:rPr>
      </w:pPr>
      <w:r>
        <w:rPr>
          <w:rFonts w:ascii="Arial" w:cs="Arial" w:eastAsia="Arial" w:hAnsi="Arial"/>
          <w:sz w:val="19"/>
          <w:szCs w:val="19"/>
          <w:color w:val="auto"/>
        </w:rPr>
        <w:t>(F) any other information relating to such stockholder or other Proposing Person, if any, that would be required to be disclosed in a proxy statement or other filings required to be made in connection with solicitations of proxies for, as applicable, the proposal and/or for the election of directors in a contested election pursuant to Section 14 of the Securities Exchange Act of 1934, as amended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and the rules and regulations promulgated thereunder. The terms “associate” and “beneficially owned” for purposes hereof shall have the meanings set forth in Section 2.15(e) of these Bylaws.</w:t>
      </w:r>
    </w:p>
    <w:p>
      <w:pPr>
        <w:spacing w:after="0" w:line="173" w:lineRule="exact"/>
        <w:rPr>
          <w:rFonts w:ascii="Arial" w:cs="Arial" w:eastAsia="Arial" w:hAnsi="Arial"/>
          <w:sz w:val="18"/>
          <w:szCs w:val="18"/>
          <w:color w:val="auto"/>
        </w:rPr>
      </w:pPr>
    </w:p>
    <w:p>
      <w:pPr>
        <w:jc w:val="both"/>
        <w:ind w:left="160" w:right="139" w:firstLine="1287"/>
        <w:spacing w:after="0" w:line="214" w:lineRule="auto"/>
        <w:tabs>
          <w:tab w:leader="none" w:pos="1962" w:val="left"/>
        </w:tabs>
        <w:numPr>
          <w:ilvl w:val="1"/>
          <w:numId w:val="56"/>
        </w:numPr>
        <w:rPr>
          <w:rFonts w:ascii="Arial" w:cs="Arial" w:eastAsia="Arial" w:hAnsi="Arial"/>
          <w:sz w:val="21"/>
          <w:szCs w:val="21"/>
          <w:color w:val="auto"/>
        </w:rPr>
      </w:pPr>
      <w:r>
        <w:rPr>
          <w:rFonts w:ascii="Arial" w:cs="Arial" w:eastAsia="Arial" w:hAnsi="Arial"/>
          <w:sz w:val="19"/>
          <w:szCs w:val="19"/>
          <w:color w:val="auto"/>
        </w:rPr>
        <w:t>Unless otherwise required by law, if the stockholder (or a qualified representative of the stockholder) does not appear at the annual meeting of stockholders to present the proposed business, such proposed business shall not be transacted, notwithstanding that proxies in respect of such vote may have been received by the corporation. For purposes of this section,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making of such proposal at such meeting by such stockholder stating that such person is authorized to act for such stockholder as proxy at the meeting of stockholders.</w:t>
      </w:r>
    </w:p>
    <w:p>
      <w:pPr>
        <w:spacing w:after="0" w:line="170" w:lineRule="exact"/>
        <w:rPr>
          <w:rFonts w:ascii="Arial" w:cs="Arial" w:eastAsia="Arial" w:hAnsi="Arial"/>
          <w:sz w:val="21"/>
          <w:szCs w:val="21"/>
          <w:color w:val="auto"/>
        </w:rPr>
      </w:pPr>
    </w:p>
    <w:p>
      <w:pPr>
        <w:jc w:val="both"/>
        <w:ind w:left="160" w:right="139" w:firstLine="1287"/>
        <w:spacing w:after="0" w:line="227" w:lineRule="auto"/>
        <w:tabs>
          <w:tab w:leader="none" w:pos="1920" w:val="left"/>
        </w:tabs>
        <w:numPr>
          <w:ilvl w:val="1"/>
          <w:numId w:val="56"/>
        </w:numPr>
        <w:rPr>
          <w:rFonts w:ascii="Arial" w:cs="Arial" w:eastAsia="Arial" w:hAnsi="Arial"/>
          <w:sz w:val="19"/>
          <w:szCs w:val="19"/>
          <w:color w:val="auto"/>
        </w:rPr>
      </w:pPr>
      <w:r>
        <w:rPr>
          <w:rFonts w:ascii="Arial" w:cs="Arial" w:eastAsia="Arial" w:hAnsi="Arial"/>
          <w:sz w:val="18"/>
          <w:szCs w:val="18"/>
          <w:color w:val="auto"/>
        </w:rPr>
        <w:t>Notwithstanding the foregoing provisions of this Section 1.10, a stockholder shall also comply with all applicable requirements of the Exchange Act and the rules and regulations thereunder with respect to the matters set forth in this Section 1.10; provided however, that any references in this Section 1.10 to the Exchange Act or the rules and regulations promulgated thereunder are not intended to and shall not limit any requirements applicable to proposals as to any business to be considered pursuant to this Section 1.10. Nothing in this Section 1.10 shall be deemed to affect any rights (i) of stockholders to request inclusion of proposals in the corporation’s proxy statement pursuant to Rule 14a-8 under the Exchange Act or (ii) of the holders of any series of Preferred Stock if and to the extent provided for under law, the Certificate of Incorporation or these Bylaws.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4" w:name="page95"/>
    <w:bookmarkEnd w:id="94"/>
    <w:p>
      <w:pPr>
        <w:jc w:val="both"/>
        <w:ind w:left="160" w:right="139" w:firstLine="1287"/>
        <w:spacing w:after="0" w:line="207" w:lineRule="auto"/>
        <w:tabs>
          <w:tab w:leader="none" w:pos="1935" w:val="left"/>
        </w:tabs>
        <w:numPr>
          <w:ilvl w:val="0"/>
          <w:numId w:val="57"/>
        </w:numPr>
        <w:rPr>
          <w:rFonts w:ascii="Arial" w:cs="Arial" w:eastAsia="Arial" w:hAnsi="Arial"/>
          <w:sz w:val="22"/>
          <w:szCs w:val="22"/>
          <w:color w:val="auto"/>
        </w:rPr>
      </w:pPr>
      <w:r>
        <w:rPr>
          <w:rFonts w:ascii="Arial" w:cs="Arial" w:eastAsia="Arial" w:hAnsi="Arial"/>
          <w:sz w:val="20"/>
          <w:szCs w:val="20"/>
          <w:color w:val="auto"/>
        </w:rPr>
        <w:t>Notwithstanding any provisions to the contrary, the notice requirements set forth in subsections (a) and (b) above shall be deemed satisfied by a stockholder if the stockholder has notified the corporation of the stockholder’s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w:t>
      </w:r>
    </w:p>
    <w:p>
      <w:pPr>
        <w:spacing w:after="0" w:line="155" w:lineRule="exact"/>
        <w:rPr>
          <w:sz w:val="20"/>
          <w:szCs w:val="20"/>
          <w:color w:val="auto"/>
        </w:rPr>
      </w:pPr>
    </w:p>
    <w:p>
      <w:pPr>
        <w:jc w:val="both"/>
        <w:ind w:left="160" w:right="139" w:firstLine="648"/>
        <w:spacing w:after="0" w:line="231"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At every meeting of the stockholders, the Chairman of the Board, or, in his absence, the Chief Executive Officer, or, in his absence, such other person as may be appointed by the Board of Directors, shall act as chairman. The Secretary of the corporation or a person designated by the chairman of the meeting shall act as secretary of the meeting. Unless otherwise approved by the chairman of the meeting, attendance at the stockholders’ meeting is restricted to stockholders of record, persons authorized in accordance with Section 1.8 of these Bylaws to act by proxy, and officers of the corporation.</w:t>
      </w:r>
    </w:p>
    <w:p>
      <w:pPr>
        <w:spacing w:after="0" w:line="155" w:lineRule="exact"/>
        <w:rPr>
          <w:sz w:val="20"/>
          <w:szCs w:val="20"/>
          <w:color w:val="auto"/>
        </w:rPr>
      </w:pPr>
    </w:p>
    <w:p>
      <w:pPr>
        <w:jc w:val="both"/>
        <w:ind w:left="160" w:right="139" w:firstLine="648"/>
        <w:spacing w:after="0" w:line="210" w:lineRule="auto"/>
        <w:rPr>
          <w:sz w:val="20"/>
          <w:szCs w:val="20"/>
          <w:color w:val="auto"/>
        </w:rPr>
      </w:pPr>
      <w:r>
        <w:rPr>
          <w:rFonts w:ascii="Arial" w:cs="Arial" w:eastAsia="Arial" w:hAnsi="Arial"/>
          <w:sz w:val="20"/>
          <w:szCs w:val="20"/>
          <w:color w:val="auto"/>
        </w:rPr>
        <w:t>The chairman of the meeting shall call the meeting to order, establish the agenda, and conduct the business of the meeting in accordance therewith or, at the chairman’s discretion, the business of the meeting may be conducted otherwise in accordance with the wishes of the stockholders in attendance. The date and time of the opening and closing of the polls for each matter upon which the stockholders will vote at the meeting shall be announced at the meeting.</w:t>
      </w:r>
    </w:p>
    <w:p>
      <w:pPr>
        <w:spacing w:after="0" w:line="155" w:lineRule="exact"/>
        <w:rPr>
          <w:sz w:val="20"/>
          <w:szCs w:val="20"/>
          <w:color w:val="auto"/>
        </w:rPr>
      </w:pPr>
    </w:p>
    <w:p>
      <w:pPr>
        <w:jc w:val="both"/>
        <w:ind w:left="160" w:right="139" w:firstLine="648"/>
        <w:spacing w:after="0" w:line="223" w:lineRule="auto"/>
        <w:rPr>
          <w:sz w:val="20"/>
          <w:szCs w:val="20"/>
          <w:color w:val="auto"/>
        </w:rPr>
      </w:pPr>
      <w:r>
        <w:rPr>
          <w:rFonts w:ascii="Arial" w:cs="Arial" w:eastAsia="Arial" w:hAnsi="Arial"/>
          <w:sz w:val="18"/>
          <w:szCs w:val="18"/>
          <w:color w:val="auto"/>
        </w:rPr>
        <w:t>The chairman shall also conduct the meeting in an orderly manner, rule on the precedence of, and procedure on, motions and other procedural matters, and exercise discretion with respect to such procedural matters with fairness and good faith toward all those entitled to take part. Without limiting the foregoing, the chairman may (a) restrict attendance at any time to bona fide stockholders of record and their proxies and other persons in attendance at the invitation of the presiding officer or Board of Directors, (b) restrict use of audio or video recording devices at the meeting, and (c) impose reasonable limits on the amount of time taken up at the meeting on discussion in general or on remarks by any one stockholder. Should any person in attendance become unruly or obstruct the meeting proceedings, the chairman shall have the power to have such person removed from the meeting. Notwithstanding anything in the Bylaws to the contrary, no business shall be conducted at a meeting except in accordance with the procedures set forth in Section 1.10, this Section 1.11 and Section 2.15. The chairman of the meeting, in addition to making any other determinations that may be appropriate to the conduct of the meeting, shall have the power and duty to determine whether a nomination or any business proposed to be brought before the meeting was made or proposed, as the case may be, in accordance with the provisions of Section 1.10, this Section 1.11 and Section 2.15, and if he should so determine that any proposed nomination or business is not in compliance with such sections, he shall so declare to the meeting that such defective nomination or proposal shall be disregarded.</w:t>
      </w:r>
    </w:p>
    <w:p>
      <w:pPr>
        <w:spacing w:after="0" w:line="164" w:lineRule="exact"/>
        <w:rPr>
          <w:sz w:val="20"/>
          <w:szCs w:val="20"/>
          <w:color w:val="auto"/>
        </w:rPr>
      </w:pPr>
    </w:p>
    <w:p>
      <w:pPr>
        <w:jc w:val="both"/>
        <w:ind w:left="160" w:right="159" w:firstLine="648"/>
        <w:spacing w:after="0" w:line="24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Stockholder Action Without Meeting</w:t>
      </w:r>
      <w:r>
        <w:rPr>
          <w:rFonts w:ascii="Arial" w:cs="Arial" w:eastAsia="Arial" w:hAnsi="Arial"/>
          <w:sz w:val="18"/>
          <w:szCs w:val="18"/>
          <w:color w:val="auto"/>
        </w:rPr>
        <w:t>.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52" w:lineRule="exact"/>
        <w:rPr>
          <w:sz w:val="20"/>
          <w:szCs w:val="20"/>
          <w:color w:val="auto"/>
        </w:rPr>
      </w:pPr>
    </w:p>
    <w:p>
      <w:pPr>
        <w:jc w:val="both"/>
        <w:ind w:left="160" w:right="139" w:firstLine="648"/>
        <w:spacing w:after="0" w:line="228"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Meetings by Remote Communication</w:t>
      </w:r>
      <w:r>
        <w:rPr>
          <w:rFonts w:ascii="Arial" w:cs="Arial" w:eastAsia="Arial" w:hAnsi="Arial"/>
          <w:sz w:val="18"/>
          <w:szCs w:val="18"/>
          <w:color w:val="auto"/>
        </w:rPr>
        <w:t>. If authorized by the Board of Directors, and subject to such guidelines and procedures as the Board may adopt, stockholders and proxy holders not physically present at a meeting of stockholders may, by means of remote communication, participate in the meeting and be deemed present in person and vote at the meeting,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95" w:name="page96"/>
    <w:bookmarkEnd w:id="95"/>
    <w:p>
      <w:pPr>
        <w:jc w:val="both"/>
        <w:ind w:left="160" w:right="139"/>
        <w:spacing w:after="0" w:line="224" w:lineRule="auto"/>
        <w:rPr>
          <w:sz w:val="20"/>
          <w:szCs w:val="20"/>
          <w:color w:val="auto"/>
        </w:rPr>
      </w:pPr>
      <w:r>
        <w:rPr>
          <w:rFonts w:ascii="Arial" w:cs="Arial" w:eastAsia="Arial" w:hAnsi="Arial"/>
          <w:sz w:val="19"/>
          <w:szCs w:val="19"/>
          <w:color w:val="auto"/>
        </w:rPr>
        <w:t>in the meeting and to vote on matters submitted to the stockholders, including an opportunity to read or hear the proceedings of the meeting substantially concurrently with such proceedings, and (c) if any stockholder or proxy holder votes or takes other action at the meeting by means of remote communication, a record of such vote or other action shall be maintained by the corporation.</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II</w:t>
      </w:r>
    </w:p>
    <w:p>
      <w:pPr>
        <w:jc w:val="center"/>
        <w:ind w:right="-20"/>
        <w:spacing w:after="0"/>
        <w:rPr>
          <w:sz w:val="20"/>
          <w:szCs w:val="20"/>
          <w:color w:val="auto"/>
        </w:rPr>
      </w:pPr>
      <w:r>
        <w:rPr>
          <w:rFonts w:ascii="Arial" w:cs="Arial" w:eastAsia="Arial" w:hAnsi="Arial"/>
          <w:sz w:val="20"/>
          <w:szCs w:val="20"/>
          <w:b w:val="1"/>
          <w:bCs w:val="1"/>
          <w:color w:val="auto"/>
        </w:rPr>
        <w:t>BOARD OF DIRECTORS</w:t>
      </w:r>
    </w:p>
    <w:p>
      <w:pPr>
        <w:spacing w:after="0" w:line="159" w:lineRule="exact"/>
        <w:rPr>
          <w:sz w:val="20"/>
          <w:szCs w:val="20"/>
          <w:color w:val="auto"/>
        </w:rPr>
      </w:pPr>
    </w:p>
    <w:p>
      <w:pPr>
        <w:jc w:val="both"/>
        <w:ind w:left="160" w:right="159" w:firstLine="648"/>
        <w:spacing w:after="0" w:line="210"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u w:val="single" w:color="auto"/>
          <w:color w:val="auto"/>
        </w:rPr>
        <w:t>General Powers</w:t>
      </w:r>
      <w:r>
        <w:rPr>
          <w:rFonts w:ascii="Arial" w:cs="Arial" w:eastAsia="Arial" w:hAnsi="Arial"/>
          <w:sz w:val="20"/>
          <w:szCs w:val="20"/>
          <w:color w:val="auto"/>
        </w:rPr>
        <w:t>. The business and affairs of the corporation shall be managed by or under the direction of a Board of Directors, who may exercise all of the powers of the corporation except as otherwise provided by law or the Certificate of Incorporation. In the event of a vacancy on the Board of Directors, the remaining directors, except as otherwise provided by law, may exercise the powers of the full Board until the vacancy is filled.</w:t>
      </w:r>
    </w:p>
    <w:p>
      <w:pPr>
        <w:spacing w:after="0" w:line="155" w:lineRule="exact"/>
        <w:rPr>
          <w:sz w:val="20"/>
          <w:szCs w:val="20"/>
          <w:color w:val="auto"/>
        </w:rPr>
      </w:pPr>
    </w:p>
    <w:p>
      <w:pPr>
        <w:jc w:val="both"/>
        <w:ind w:left="160" w:right="139" w:firstLine="648"/>
        <w:spacing w:after="0" w:line="248"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Number and Term of Office</w:t>
      </w:r>
      <w:r>
        <w:rPr>
          <w:rFonts w:ascii="Arial" w:cs="Arial" w:eastAsia="Arial" w:hAnsi="Arial"/>
          <w:sz w:val="16"/>
          <w:szCs w:val="16"/>
          <w:color w:val="auto"/>
        </w:rPr>
        <w:t>. Subject to the rights of the holders of any series of preferred stock to elect directors under specified circumstances, the number of directors shall initially be five (5) and, thereafter,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for adoption). Effective upon the date of the closing of the corporation’s initial public offering of its common stock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the directors, other than those who may be elected by the holders of any series of preferred stock under specified circumstances, shall be divided into three classes, with the term of office of the first class to expire at the first annual meeting of stockholders held after the Effective Date; the term of office of the second class to expire at the second annual meeting of stockholders held after the Effective Date; the term of office of the third class to expire at the third annual meeting of stockholders held after the Effective Date; and thereafter for each such term to expire at each third succeeding annual meeting of stockholders after such election. All directors shall hold office until the expiration of the term for which elected and until their respective successors are elected, except in the case of the death, resignation or removal of any director. At each annual meeting of stockholders commencing with the first annual meeting held after the Effective Date,</w:t>
      </w:r>
    </w:p>
    <w:p>
      <w:pPr>
        <w:spacing w:after="0" w:line="190" w:lineRule="exact"/>
        <w:rPr>
          <w:sz w:val="20"/>
          <w:szCs w:val="20"/>
          <w:color w:val="auto"/>
        </w:rPr>
      </w:pPr>
    </w:p>
    <w:p>
      <w:pPr>
        <w:jc w:val="both"/>
        <w:ind w:left="160" w:right="139" w:hanging="9"/>
        <w:spacing w:after="0" w:line="229" w:lineRule="auto"/>
        <w:tabs>
          <w:tab w:leader="none" w:pos="40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successors to the class of directors whose term expires in that year shall be elected to hold office for a term of three years to succeed those whose term expires so that the term of office of one class of directors shall expire in each year, with each director to hold office until his successor shall have been duly elected and qualified, and (ii) if authorized by a resolution of the Board of Directors, directors may be elected to fill any vacancy on the Board of Directors, regardless of how such vacancy shall have been created.</w:t>
      </w:r>
    </w:p>
    <w:p>
      <w:pPr>
        <w:spacing w:after="0" w:line="158" w:lineRule="exact"/>
        <w:rPr>
          <w:sz w:val="20"/>
          <w:szCs w:val="20"/>
          <w:color w:val="auto"/>
        </w:rPr>
      </w:pPr>
    </w:p>
    <w:p>
      <w:pPr>
        <w:jc w:val="both"/>
        <w:ind w:left="160" w:right="139" w:firstLine="648"/>
        <w:spacing w:after="0" w:line="215"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Vacancies and Newly Created Directorships</w:t>
      </w:r>
      <w:r>
        <w:rPr>
          <w:rFonts w:ascii="Arial" w:cs="Arial" w:eastAsia="Arial" w:hAnsi="Arial"/>
          <w:sz w:val="19"/>
          <w:szCs w:val="19"/>
          <w:color w:val="auto"/>
        </w:rPr>
        <w:t>.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or other cause (including removal from office by a vote of the stockholders) may be filled only by a majority vote of the directors then in office, though less than a quorum, or by the sole remaining director, and directors so chosen shall hold office for a term expiring at the next annual meeting of stockholders at which the term of office of the class to which they have been elected expires or until such director’s successor shall have been duly elected and qualified. No decrease in the number of authorized directors shall shorten the term of any incumbent director.</w:t>
      </w:r>
    </w:p>
    <w:p>
      <w:pPr>
        <w:spacing w:after="0" w:line="156" w:lineRule="exact"/>
        <w:rPr>
          <w:sz w:val="20"/>
          <w:szCs w:val="20"/>
          <w:color w:val="auto"/>
        </w:rPr>
      </w:pPr>
    </w:p>
    <w:p>
      <w:pPr>
        <w:jc w:val="both"/>
        <w:ind w:left="160" w:right="139" w:firstLine="648"/>
        <w:spacing w:after="0" w:line="213"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20"/>
          <w:szCs w:val="20"/>
          <w:u w:val="single" w:color="auto"/>
          <w:color w:val="auto"/>
        </w:rPr>
        <w:t>Resignation</w:t>
      </w:r>
      <w:r>
        <w:rPr>
          <w:rFonts w:ascii="Arial" w:cs="Arial" w:eastAsia="Arial" w:hAnsi="Arial"/>
          <w:sz w:val="20"/>
          <w:szCs w:val="20"/>
          <w:color w:val="auto"/>
        </w:rPr>
        <w:t>. Any director may resign by delivering notice in writing or by electronic transmission to the President, Chief Executive Officer, Chairman of the Board or Secretary. Such resignation shall be effective upon receipt unless it is specified to be effective at some other time or upon the happening of some other event.</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6" w:name="page97"/>
    <w:bookmarkEnd w:id="96"/>
    <w:p>
      <w:pPr>
        <w:jc w:val="both"/>
        <w:ind w:left="160" w:right="139" w:firstLine="648"/>
        <w:spacing w:after="0" w:line="216" w:lineRule="auto"/>
        <w:rPr>
          <w:sz w:val="20"/>
          <w:szCs w:val="20"/>
          <w:color w:val="auto"/>
        </w:rPr>
      </w:pPr>
      <w:r>
        <w:rPr>
          <w:rFonts w:ascii="Arial" w:cs="Arial" w:eastAsia="Arial" w:hAnsi="Arial"/>
          <w:sz w:val="19"/>
          <w:szCs w:val="19"/>
          <w:color w:val="auto"/>
        </w:rPr>
        <w:t xml:space="preserve">1.18 </w:t>
      </w:r>
      <w:r>
        <w:rPr>
          <w:rFonts w:ascii="Arial" w:cs="Arial" w:eastAsia="Arial" w:hAnsi="Arial"/>
          <w:sz w:val="19"/>
          <w:szCs w:val="19"/>
          <w:u w:val="single" w:color="auto"/>
          <w:color w:val="auto"/>
        </w:rPr>
        <w:t>Removal</w:t>
      </w:r>
      <w:r>
        <w:rPr>
          <w:rFonts w:ascii="Arial" w:cs="Arial" w:eastAsia="Arial" w:hAnsi="Arial"/>
          <w:sz w:val="19"/>
          <w:szCs w:val="19"/>
          <w:color w:val="auto"/>
        </w:rPr>
        <w:t>. Subject to the rights of the holders of any series of preferred stock then outstanding, any directors, or the entire Board of Directors, may be removed from office at any time, but only for cause, by the affirmative vote of the holders of sixty-six and two-thirds percent (66-2/3%) of the voting power of all of the outstanding shares of capital stock entitled to vote generally in the election of directors, voting together as a single class. Vacancies in the Board of Directors resulting from such removal may be filled by a majority of the directors then in office, though less than a quorum, or by the sole remaining director. Directors so chosen shall hold office until the next annual meeting of stockholders at which the term of office of the class to which they have been elected expires.</w:t>
      </w:r>
    </w:p>
    <w:p>
      <w:pPr>
        <w:spacing w:after="0" w:line="157" w:lineRule="exact"/>
        <w:rPr>
          <w:sz w:val="20"/>
          <w:szCs w:val="20"/>
          <w:color w:val="auto"/>
        </w:rPr>
      </w:pPr>
    </w:p>
    <w:p>
      <w:pPr>
        <w:jc w:val="both"/>
        <w:ind w:left="160" w:right="139" w:firstLine="648"/>
        <w:spacing w:after="0" w:line="221"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Regular Meetings</w:t>
      </w:r>
      <w:r>
        <w:rPr>
          <w:rFonts w:ascii="Arial" w:cs="Arial" w:eastAsia="Arial" w:hAnsi="Arial"/>
          <w:sz w:val="19"/>
          <w:szCs w:val="19"/>
          <w:color w:val="auto"/>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55" w:lineRule="exact"/>
        <w:rPr>
          <w:sz w:val="20"/>
          <w:szCs w:val="20"/>
          <w:color w:val="auto"/>
        </w:rPr>
      </w:pPr>
    </w:p>
    <w:p>
      <w:pPr>
        <w:jc w:val="both"/>
        <w:ind w:left="160" w:right="159" w:firstLine="648"/>
        <w:spacing w:after="0" w:line="218" w:lineRule="auto"/>
        <w:rPr>
          <w:sz w:val="20"/>
          <w:szCs w:val="20"/>
          <w:color w:val="auto"/>
        </w:rPr>
      </w:pPr>
      <w:r>
        <w:rPr>
          <w:rFonts w:ascii="Arial" w:cs="Arial" w:eastAsia="Arial" w:hAnsi="Arial"/>
          <w:sz w:val="20"/>
          <w:szCs w:val="20"/>
          <w:color w:val="auto"/>
        </w:rPr>
        <w:t xml:space="preserve">1.20 </w:t>
      </w:r>
      <w:r>
        <w:rPr>
          <w:rFonts w:ascii="Arial" w:cs="Arial" w:eastAsia="Arial" w:hAnsi="Arial"/>
          <w:sz w:val="20"/>
          <w:szCs w:val="20"/>
          <w:u w:val="single" w:color="auto"/>
          <w:color w:val="auto"/>
        </w:rPr>
        <w:t>Special Meetings</w:t>
      </w:r>
      <w:r>
        <w:rPr>
          <w:rFonts w:ascii="Arial" w:cs="Arial" w:eastAsia="Arial" w:hAnsi="Arial"/>
          <w:sz w:val="20"/>
          <w:szCs w:val="20"/>
          <w:color w:val="auto"/>
        </w:rPr>
        <w:t>. Special meetings of the Board of Directors may be called by the Chairman of the Board, the Chief Executive Officer, the President or two or more directors and may be held at any time and place, within or without the State of Delaware.</w:t>
      </w:r>
    </w:p>
    <w:p>
      <w:pPr>
        <w:spacing w:after="0" w:line="157" w:lineRule="exact"/>
        <w:rPr>
          <w:sz w:val="20"/>
          <w:szCs w:val="20"/>
          <w:color w:val="auto"/>
        </w:rPr>
      </w:pPr>
    </w:p>
    <w:p>
      <w:pPr>
        <w:jc w:val="both"/>
        <w:ind w:left="160" w:right="139" w:firstLine="648"/>
        <w:spacing w:after="0" w:line="223"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Notice of Special Meetings</w:t>
      </w:r>
      <w:r>
        <w:rPr>
          <w:rFonts w:ascii="Arial" w:cs="Arial" w:eastAsia="Arial" w:hAnsi="Arial"/>
          <w:sz w:val="18"/>
          <w:szCs w:val="18"/>
          <w:color w:val="auto"/>
        </w:rPr>
        <w:t>. Notice of any special meeting of directors shall be given to each director by whom it is not waived by the Secretary or by the officer or one of the directors calling the meeting. Notice shall be duly given to each director by (a) giving notice to such director in person or by telephone, electronic transmission or voice message system at least 24 hours in advance of the meeting,</w:t>
      </w:r>
    </w:p>
    <w:p>
      <w:pPr>
        <w:spacing w:after="0" w:line="3" w:lineRule="exact"/>
        <w:rPr>
          <w:sz w:val="20"/>
          <w:szCs w:val="20"/>
          <w:color w:val="auto"/>
        </w:rPr>
      </w:pPr>
    </w:p>
    <w:p>
      <w:pPr>
        <w:jc w:val="both"/>
        <w:ind w:left="160" w:right="159" w:hanging="9"/>
        <w:spacing w:after="0" w:line="229" w:lineRule="auto"/>
        <w:tabs>
          <w:tab w:leader="none" w:pos="4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sending a facsimile to his last known facsimile number, or delivering written notice by hand to his last known business or home address, at least 24 hours in advance of the meeting, or (c) mailing written notice to his last known business or home address at least three days in advance of the meeting. A notice or waiver of notice of a meeting of the Board of Directors need not specify the purposes of the meeting. Unless otherwise indicated in the notice thereof, any and all business may be transacted at a special meeting.</w:t>
      </w:r>
    </w:p>
    <w:p>
      <w:pPr>
        <w:spacing w:after="0" w:line="158" w:lineRule="exact"/>
        <w:rPr>
          <w:sz w:val="20"/>
          <w:szCs w:val="20"/>
          <w:color w:val="auto"/>
        </w:rPr>
      </w:pPr>
    </w:p>
    <w:p>
      <w:pPr>
        <w:jc w:val="both"/>
        <w:ind w:left="160" w:right="139" w:firstLine="648"/>
        <w:spacing w:after="0" w:line="221"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Participation in Meetings by Telephone Conference Calls or Other Methods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Communication</w:t>
      </w:r>
      <w:r>
        <w:rPr>
          <w:rFonts w:ascii="Arial" w:cs="Arial" w:eastAsia="Arial" w:hAnsi="Arial"/>
          <w:sz w:val="19"/>
          <w:szCs w:val="19"/>
          <w:color w:val="auto"/>
        </w:rPr>
        <w:t>. Directors or any members of any committee designated by the directors may participate in a meeting of the Board of Directors or such committee by means of conference telephone or other communications equipment by means of which all persons participating in the meeting can hear each other, and participation by such means shall constitute presence in person at such meeting.</w:t>
      </w:r>
    </w:p>
    <w:p>
      <w:pPr>
        <w:spacing w:after="0" w:line="155" w:lineRule="exact"/>
        <w:rPr>
          <w:sz w:val="20"/>
          <w:szCs w:val="20"/>
          <w:color w:val="auto"/>
        </w:rPr>
      </w:pPr>
    </w:p>
    <w:p>
      <w:pPr>
        <w:jc w:val="both"/>
        <w:ind w:left="160" w:right="139" w:firstLine="648"/>
        <w:spacing w:after="0" w:line="207"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Quorum</w:t>
      </w:r>
      <w:r>
        <w:rPr>
          <w:rFonts w:ascii="Arial" w:cs="Arial" w:eastAsia="Arial" w:hAnsi="Arial"/>
          <w:sz w:val="20"/>
          <w:szCs w:val="20"/>
          <w:color w:val="auto"/>
        </w:rPr>
        <w:t>. A majority of the total number of authorized directors shall constitute a quorum at any meeting of the Board of Directors. In the absence of a quorum at any such meeting, a majority of the directors present may adjourn the meeting from time to time without further notice other than announcement at the meeting, until a quorum shall be present. Interested directors may be counted in determining the presence of a quorum at a meeting of the Board of Directors or at a meeting of a committee which authorizes a particular contract or transaction.</w:t>
      </w:r>
    </w:p>
    <w:p>
      <w:pPr>
        <w:spacing w:after="0" w:line="160" w:lineRule="exact"/>
        <w:rPr>
          <w:sz w:val="20"/>
          <w:szCs w:val="20"/>
          <w:color w:val="auto"/>
        </w:rPr>
      </w:pPr>
    </w:p>
    <w:p>
      <w:pPr>
        <w:jc w:val="both"/>
        <w:ind w:left="160" w:right="139" w:firstLine="648"/>
        <w:spacing w:after="0" w:line="218"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Action at Meeting</w:t>
      </w:r>
      <w:r>
        <w:rPr>
          <w:rFonts w:ascii="Arial" w:cs="Arial" w:eastAsia="Arial" w:hAnsi="Arial"/>
          <w:sz w:val="20"/>
          <w:szCs w:val="20"/>
          <w:color w:val="auto"/>
        </w:rPr>
        <w:t>. At any meeting of the Board of Directors at which a quorum is present, the vote of a majority of those present shall be sufficient to take any action, unless a different vote is specified by law, the Certificate of Incorporation or these Bylaws.</w:t>
      </w:r>
    </w:p>
    <w:p>
      <w:pPr>
        <w:spacing w:after="0" w:line="157" w:lineRule="exact"/>
        <w:rPr>
          <w:sz w:val="20"/>
          <w:szCs w:val="20"/>
          <w:color w:val="auto"/>
        </w:rPr>
      </w:pPr>
    </w:p>
    <w:p>
      <w:pPr>
        <w:jc w:val="both"/>
        <w:ind w:left="160" w:right="139" w:firstLine="648"/>
        <w:spacing w:after="0" w:line="23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Any action required or permitted to be taken at any meeting of the Board of Directors or of any committee of the Board of Directors may be taken without a meeting if all members of the Board or committee, as the case may be, consent to the action in writing or by electronic transmission, and the writings or electronic transmissions are filed with the minutes of proceedings of the</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7" w:name="page98"/>
    <w:bookmarkEnd w:id="97"/>
    <w:p>
      <w:pPr>
        <w:jc w:val="both"/>
        <w:ind w:left="160" w:right="159"/>
        <w:spacing w:after="0" w:line="230" w:lineRule="auto"/>
        <w:rPr>
          <w:sz w:val="20"/>
          <w:szCs w:val="20"/>
          <w:color w:val="auto"/>
        </w:rPr>
      </w:pPr>
      <w:r>
        <w:rPr>
          <w:rFonts w:ascii="Arial" w:cs="Arial" w:eastAsia="Arial" w:hAnsi="Arial"/>
          <w:sz w:val="20"/>
          <w:szCs w:val="20"/>
          <w:color w:val="auto"/>
        </w:rPr>
        <w:t>Board or committee. Such filing shall be in paper form if the minutes are maintained in paper form and shall be in electronic form if the minutes are maintained in electronic form.</w:t>
      </w:r>
    </w:p>
    <w:p>
      <w:pPr>
        <w:spacing w:after="0" w:line="155" w:lineRule="exact"/>
        <w:rPr>
          <w:sz w:val="20"/>
          <w:szCs w:val="20"/>
          <w:color w:val="auto"/>
        </w:rPr>
      </w:pPr>
    </w:p>
    <w:p>
      <w:pPr>
        <w:jc w:val="both"/>
        <w:ind w:left="160" w:right="139" w:firstLine="648"/>
        <w:spacing w:after="0" w:line="223"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may designate one or more committees, each committee to consist of one or more of the directors of the corporation, with such lawfully delegated powers and duties as it therefor confers, to serve at the pleasure of the Board. The Board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the Delaware General Corporation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such rules, its business shall be conducted as nearly as possible in the same manner as is provided in these Bylaws for the Board of Directors.</w:t>
      </w:r>
    </w:p>
    <w:p>
      <w:pPr>
        <w:spacing w:after="0" w:line="164" w:lineRule="exact"/>
        <w:rPr>
          <w:sz w:val="20"/>
          <w:szCs w:val="20"/>
          <w:color w:val="auto"/>
        </w:rPr>
      </w:pPr>
    </w:p>
    <w:p>
      <w:pPr>
        <w:jc w:val="both"/>
        <w:ind w:left="160" w:right="139" w:firstLine="648"/>
        <w:spacing w:after="0" w:line="23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spacing w:after="0" w:line="155" w:lineRule="exact"/>
        <w:rPr>
          <w:sz w:val="20"/>
          <w:szCs w:val="20"/>
          <w:color w:val="auto"/>
        </w:rPr>
      </w:pPr>
    </w:p>
    <w:p>
      <w:pPr>
        <w:ind w:left="800"/>
        <w:spacing w:after="0"/>
        <w:tabs>
          <w:tab w:leader="none" w:pos="152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8"/>
          <w:szCs w:val="18"/>
          <w:u w:val="single" w:color="auto"/>
          <w:color w:val="auto"/>
        </w:rPr>
        <w:t>Nomination of Director Candidates</w:t>
      </w:r>
      <w:r>
        <w:rPr>
          <w:rFonts w:ascii="Arial" w:cs="Arial" w:eastAsia="Arial" w:hAnsi="Arial"/>
          <w:sz w:val="18"/>
          <w:szCs w:val="18"/>
          <w:color w:val="auto"/>
        </w:rPr>
        <w:t>.</w:t>
      </w:r>
    </w:p>
    <w:p>
      <w:pPr>
        <w:spacing w:after="0" w:line="189" w:lineRule="exact"/>
        <w:rPr>
          <w:sz w:val="20"/>
          <w:szCs w:val="20"/>
          <w:color w:val="auto"/>
        </w:rPr>
      </w:pPr>
    </w:p>
    <w:p>
      <w:pPr>
        <w:jc w:val="both"/>
        <w:ind w:left="160" w:right="139" w:firstLine="1287"/>
        <w:spacing w:after="0" w:line="223" w:lineRule="auto"/>
        <w:tabs>
          <w:tab w:leader="none" w:pos="1989" w:val="left"/>
        </w:tabs>
        <w:numPr>
          <w:ilvl w:val="0"/>
          <w:numId w:val="60"/>
        </w:numPr>
        <w:rPr>
          <w:rFonts w:ascii="Arial" w:cs="Arial" w:eastAsia="Arial" w:hAnsi="Arial"/>
          <w:sz w:val="19"/>
          <w:szCs w:val="19"/>
          <w:color w:val="auto"/>
        </w:rPr>
      </w:pPr>
      <w:r>
        <w:rPr>
          <w:rFonts w:ascii="Arial" w:cs="Arial" w:eastAsia="Arial" w:hAnsi="Arial"/>
          <w:sz w:val="18"/>
          <w:szCs w:val="18"/>
          <w:color w:val="auto"/>
        </w:rPr>
        <w:t>Subject to the rights of holders of any class or series of Preferred Stock then outstanding, nominations for the election of directors at an annual meeting may be made by (i) the Board of Directors or a duly authorized committee thereof or (ii) any stockholder of the corporation who is a stockholder of record at the time of giving the notice provided for in paragraphs (b) and (c) of this Section 2.15, who is entitled to vote at the meeting and who complies with the procedures set forth in this Section</w:t>
      </w:r>
    </w:p>
    <w:p>
      <w:pPr>
        <w:spacing w:after="0" w:line="2" w:lineRule="exact"/>
        <w:rPr>
          <w:rFonts w:ascii="Arial" w:cs="Arial" w:eastAsia="Arial" w:hAnsi="Arial"/>
          <w:sz w:val="19"/>
          <w:szCs w:val="19"/>
          <w:color w:val="auto"/>
        </w:rPr>
      </w:pPr>
    </w:p>
    <w:p>
      <w:pPr>
        <w:ind w:left="160"/>
        <w:spacing w:after="0"/>
        <w:rPr>
          <w:rFonts w:ascii="Arial" w:cs="Arial" w:eastAsia="Arial" w:hAnsi="Arial"/>
          <w:sz w:val="19"/>
          <w:szCs w:val="19"/>
          <w:color w:val="auto"/>
        </w:rPr>
      </w:pPr>
      <w:r>
        <w:rPr>
          <w:rFonts w:ascii="Arial" w:cs="Arial" w:eastAsia="Arial" w:hAnsi="Arial"/>
          <w:sz w:val="20"/>
          <w:szCs w:val="20"/>
          <w:color w:val="auto"/>
        </w:rPr>
        <w:t>2.15.</w:t>
      </w:r>
    </w:p>
    <w:p>
      <w:pPr>
        <w:spacing w:after="0" w:line="172" w:lineRule="exact"/>
        <w:rPr>
          <w:rFonts w:ascii="Arial" w:cs="Arial" w:eastAsia="Arial" w:hAnsi="Arial"/>
          <w:sz w:val="19"/>
          <w:szCs w:val="19"/>
          <w:color w:val="auto"/>
        </w:rPr>
      </w:pPr>
    </w:p>
    <w:p>
      <w:pPr>
        <w:jc w:val="both"/>
        <w:ind w:left="160" w:right="139" w:firstLine="1287"/>
        <w:spacing w:after="0" w:line="223" w:lineRule="auto"/>
        <w:tabs>
          <w:tab w:leader="none" w:pos="1947" w:val="left"/>
        </w:tabs>
        <w:numPr>
          <w:ilvl w:val="0"/>
          <w:numId w:val="60"/>
        </w:numPr>
        <w:rPr>
          <w:rFonts w:ascii="Arial" w:cs="Arial" w:eastAsia="Arial" w:hAnsi="Arial"/>
          <w:sz w:val="19"/>
          <w:szCs w:val="19"/>
          <w:color w:val="auto"/>
        </w:rPr>
      </w:pPr>
      <w:r>
        <w:rPr>
          <w:rFonts w:ascii="Arial" w:cs="Arial" w:eastAsia="Arial" w:hAnsi="Arial"/>
          <w:sz w:val="18"/>
          <w:szCs w:val="18"/>
          <w:color w:val="auto"/>
        </w:rPr>
        <w:t>All nominations by stockholders must be made pursuant to timely notice given in writing to the Secretary of the corporation. To be timely, a stockholder’s nomination for a director to be elected at an annual meeting must be received at the corporation’s principal executive offices not later than 90 days nor earlier than 120 days prior to the first anniversary of the date of the preceding year’s annual meeting as first specified in the corporation’s notice of meeting (without regard to any postponements or adjournments of such meeting after such notice was first sent), provided, however, that if no annual meeting was held in the previous year or the date of the annual meeting is advanced by more than thirty (30) days or delayed (other than as a result of adjournment) by more than thirty (30) days from the first anniversary of the previous year’s annual meeting, notice by the stockholder to be timely must be received not later than the close of business on the later of the ninetieth (90</w:t>
      </w:r>
      <w:r>
        <w:rPr>
          <w:rFonts w:ascii="Arial" w:cs="Arial" w:eastAsia="Arial" w:hAnsi="Arial"/>
          <w:sz w:val="18"/>
          <w:szCs w:val="18"/>
          <w:color w:val="auto"/>
          <w:vertAlign w:val="superscript"/>
        </w:rPr>
        <w:t>th</w:t>
      </w:r>
      <w:r>
        <w:rPr>
          <w:rFonts w:ascii="Arial" w:cs="Arial" w:eastAsia="Arial" w:hAnsi="Arial"/>
          <w:sz w:val="18"/>
          <w:szCs w:val="18"/>
          <w:color w:val="auto"/>
        </w:rPr>
        <w:t>) day prior to such annual meeting or the tenth (10</w:t>
      </w:r>
      <w:r>
        <w:rPr>
          <w:rFonts w:ascii="Arial" w:cs="Arial" w:eastAsia="Arial" w:hAnsi="Arial"/>
          <w:sz w:val="18"/>
          <w:szCs w:val="18"/>
          <w:color w:val="auto"/>
          <w:vertAlign w:val="superscript"/>
        </w:rPr>
        <w:t>th</w:t>
      </w:r>
      <w:r>
        <w:rPr>
          <w:rFonts w:ascii="Arial" w:cs="Arial" w:eastAsia="Arial" w:hAnsi="Arial"/>
          <w:sz w:val="18"/>
          <w:szCs w:val="18"/>
          <w:color w:val="auto"/>
        </w:rPr>
        <w:t>) day following the date on which public announcement of the date of such meeting is first made. Each such notice shall set forth (i) as to the stockholder and the beneficial owner, if any, on whose behalf the nomination is being made, and any of their respective affiliates or associates or others acting in concert therewith (each, a “</w:t>
      </w:r>
      <w:r>
        <w:rPr>
          <w:rFonts w:ascii="Arial" w:cs="Arial" w:eastAsia="Arial" w:hAnsi="Arial"/>
          <w:sz w:val="18"/>
          <w:szCs w:val="18"/>
          <w:b w:val="1"/>
          <w:bCs w:val="1"/>
          <w:i w:val="1"/>
          <w:iCs w:val="1"/>
          <w:color w:val="auto"/>
        </w:rPr>
        <w:t>Nominating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the name and address, as they appear on the corporation’s books, of the stockholder who intends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the nomination and of any other Nominating Person, (ii) the class or series and number of shares of the corporation which are owned beneficially and of record by the stockholder and any other Nominating Person as of the date of the notice, and a representation that the</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8" w:name="page99"/>
    <w:bookmarkEnd w:id="98"/>
    <w:p>
      <w:pPr>
        <w:jc w:val="both"/>
        <w:ind w:left="160" w:right="139"/>
        <w:spacing w:after="0" w:line="220" w:lineRule="auto"/>
        <w:rPr>
          <w:sz w:val="20"/>
          <w:szCs w:val="20"/>
          <w:color w:val="auto"/>
        </w:rPr>
      </w:pPr>
      <w:r>
        <w:rPr>
          <w:rFonts w:ascii="Arial" w:cs="Arial" w:eastAsia="Arial" w:hAnsi="Arial"/>
          <w:sz w:val="18"/>
          <w:szCs w:val="18"/>
          <w:color w:val="auto"/>
        </w:rPr>
        <w:t>stockholder will notify the corporation in writing within five (5) business days after the record date for voting at the meeting of the class or series and number of shares of the corporation owned beneficially and of record by the stockholder and any other Nominating Person as of the record date for voting at the meeting, (iii) a representation that the stockholder intends to appear in person or by proxy at the meeting to nominate the nominee specified in the notice, (iv) the following information regarding the ownership interests of the stockholder and any other Nominating Person, which shall be supplemented in writing by the stockholder not later than ten (10) days after the record date for notice of the meeting to disclose such interests as of such record date: (A) a description of any Derivative Instrument directly or indirectly owned beneficially by such stockholder or other Nominating Person, and any other direct or indirect opportunity to profit or share in any profit derived from any increase or decrease in the value of shares of the corporation; (B) a description of any proxy, contract, arrangement, understanding, or relationship pursuant to which such stockholder or other Nominating Person has a right to vote any shares of any security of the corporation; (C) a description of any Short Interests in any securities of the corporation directly or indirectly owned beneficially by such stockholder or other Nominating Person; (D) a description of any rights to dividends on the shares of the corporation owned beneficially by such stockholder or other Nominating Person that are separated or separable from the underlying shares of the corporation; (E) a description of any proportionate interest in shares of the corporation or Derivative Instruments held, directly or indirectly, by a general or limited partnership in which such stockholder or other Nominating Person is a general partner or, directly or indirectly, beneficially owns an interest in a general partner; (F) a description of any performance-related fees (other than an asset-based fee) to which such stockholder or other Nominating Person is entitled based on any increase or decrease in the value of shares of the corporation or Derivative Instruments, if any, as of the date of such notice, including, without limitation, any such interests held by members of such stockholder’s or other Nominating Person’s immediate family sharing the same household; (G) a description of any significant equity interests or any Derivative Instruments or Short Interests in any principal competitor of the corporation held by such stockholder or other Nominating Person; and (H) a description of any direct or indirect interest of such stockholder or other Nominating Person in any contract with the corporation, any affiliate of the corporation or any principal competitor of the corporation (including, in any such case, any employment agreement, collective bargaining agreement or consulting agreement), (v) a description of all arrangements or understandings between the stockholder or other Nominating Person and each nominee and any other person or persons (naming such person or persons) pursuant to which the nomination or nominations are to be made by the stockholder, (vi) a description of all direct and indirect compensation and other material monetary agreements, arrangements and understandings during the past three years, and any other material relationships, between or among such stockholder and any other Nominating Person, on the one hand, and each nominee, and his respective affiliates and associates, or others acting in concert therewith, on the other hand, including, without limitation all information that would be required to be disclosed pursuant to Rule 404 promulgated under Regulation S-K if the stockholder and any Nominating Person, if any, or any affiliate or associate thereof or person acting in concert therewith, were the “registrant” for purposes of such rule and the nominee were a director or executive officer of such registrant, (vii) such other information regarding each nominee as would be required to be included in a proxy statement filed pursuant to the proxy rules of the SEC, had the nominee been nominated, or intended to be nominated, by the Board of Directors, and (viii) the signed consent of each nominee to serve as a director of the corporation if so elected. In no event shall the public announcement of an adjournment or postponement of an annual meeting commence a new time period (or extend any time period) for the giving of a stockholder’s notice as described above. Notwithstanding the second sentence of this Section 2.15(b), in the event that the number of directors to be elected at an annual meeting is increased and there is no public announcement by the corporation naming the nominees for the additional directorships at least 100 days prior to the one-year anniversary of the date of the preceding year’s annual meeting as first specified in the corporation’s notice of meeting (without regard to any postponements or adjournments of such meeting after such notice was first sent), a stockholder’s notice required by this Section 2.15(b) shall also be considered timely, but only with respect to nominees for the additional directorships, if it shall be delivered to the Secretary at the principal executive offices of the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9" w:name="page100"/>
    <w:bookmarkEnd w:id="99"/>
    <w:p>
      <w:pPr>
        <w:ind w:left="160" w:right="159"/>
        <w:spacing w:after="0" w:line="230" w:lineRule="auto"/>
        <w:rPr>
          <w:sz w:val="20"/>
          <w:szCs w:val="20"/>
          <w:color w:val="auto"/>
        </w:rPr>
      </w:pPr>
      <w:r>
        <w:rPr>
          <w:rFonts w:ascii="Arial" w:cs="Arial" w:eastAsia="Arial" w:hAnsi="Arial"/>
          <w:sz w:val="20"/>
          <w:szCs w:val="20"/>
          <w:color w:val="auto"/>
        </w:rPr>
        <w:t>corporation not later than the close of business on the 10th day following the day on which such public announcement is first made by the corporation.</w:t>
      </w:r>
    </w:p>
    <w:p>
      <w:pPr>
        <w:spacing w:after="0" w:line="169" w:lineRule="exact"/>
        <w:rPr>
          <w:sz w:val="20"/>
          <w:szCs w:val="20"/>
          <w:color w:val="auto"/>
        </w:rPr>
      </w:pPr>
    </w:p>
    <w:p>
      <w:pPr>
        <w:jc w:val="both"/>
        <w:ind w:left="160" w:right="139" w:firstLine="1287"/>
        <w:spacing w:after="0" w:line="224" w:lineRule="auto"/>
        <w:tabs>
          <w:tab w:leader="none" w:pos="1948" w:val="left"/>
        </w:tabs>
        <w:numPr>
          <w:ilvl w:val="0"/>
          <w:numId w:val="61"/>
        </w:numPr>
        <w:rPr>
          <w:rFonts w:ascii="Arial" w:cs="Arial" w:eastAsia="Arial" w:hAnsi="Arial"/>
          <w:sz w:val="19"/>
          <w:szCs w:val="19"/>
          <w:color w:val="auto"/>
        </w:rPr>
      </w:pPr>
      <w:r>
        <w:rPr>
          <w:rFonts w:ascii="Arial" w:cs="Arial" w:eastAsia="Arial" w:hAnsi="Arial"/>
          <w:sz w:val="18"/>
          <w:szCs w:val="18"/>
          <w:color w:val="auto"/>
        </w:rPr>
        <w:t>Nominations of persons for election to the Board of Directors may be made at a special meeting of stockholders at which directors are to be elected pursuant to the corporation’s notice of meeting (i) by or at the direction of the Board of Directors or a committee thereof or (ii) by any stockholder who complies with the notice procedures set forth in this Section 2.15 and who is a stockholder of record at the time such notice is delivered to the Secretary of the corporation. In the event the corporation calls a special meeting of stockholders for the purpose of electing one or more directors to the Board of Directors, any such stockholder may nominate a person or persons (as the case may be), for election to such position(s) as are specified in the corporation’s notice of meeting, if the stockholder’s notice as required by Section 2.15(a) is delivered to the Secretary at the principal executive offices of the corporation not earlier than ninety (90) days prior to such special meeting and not later than the close of business on the later of the sixtieth (60</w:t>
      </w:r>
      <w:r>
        <w:rPr>
          <w:rFonts w:ascii="Arial" w:cs="Arial" w:eastAsia="Arial" w:hAnsi="Arial"/>
          <w:sz w:val="18"/>
          <w:szCs w:val="18"/>
          <w:color w:val="auto"/>
          <w:vertAlign w:val="superscript"/>
        </w:rPr>
        <w:t>th</w:t>
      </w:r>
      <w:r>
        <w:rPr>
          <w:rFonts w:ascii="Arial" w:cs="Arial" w:eastAsia="Arial" w:hAnsi="Arial"/>
          <w:sz w:val="18"/>
          <w:szCs w:val="18"/>
          <w:color w:val="auto"/>
        </w:rPr>
        <w:t>) day prior to such special meeting or the tenth (10</w:t>
      </w:r>
      <w:r>
        <w:rPr>
          <w:rFonts w:ascii="Arial" w:cs="Arial" w:eastAsia="Arial" w:hAnsi="Arial"/>
          <w:sz w:val="18"/>
          <w:szCs w:val="18"/>
          <w:color w:val="auto"/>
          <w:vertAlign w:val="superscript"/>
        </w:rPr>
        <w:t>th</w:t>
      </w:r>
      <w:r>
        <w:rPr>
          <w:rFonts w:ascii="Arial" w:cs="Arial" w:eastAsia="Arial" w:hAnsi="Arial"/>
          <w:sz w:val="18"/>
          <w:szCs w:val="18"/>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70" w:lineRule="exact"/>
        <w:rPr>
          <w:rFonts w:ascii="Arial" w:cs="Arial" w:eastAsia="Arial" w:hAnsi="Arial"/>
          <w:sz w:val="19"/>
          <w:szCs w:val="19"/>
          <w:color w:val="auto"/>
        </w:rPr>
      </w:pPr>
    </w:p>
    <w:p>
      <w:pPr>
        <w:jc w:val="both"/>
        <w:ind w:left="160" w:right="139" w:firstLine="1287"/>
        <w:spacing w:after="0" w:line="211" w:lineRule="auto"/>
        <w:tabs>
          <w:tab w:leader="none" w:pos="1920" w:val="left"/>
        </w:tabs>
        <w:numPr>
          <w:ilvl w:val="0"/>
          <w:numId w:val="61"/>
        </w:numPr>
        <w:rPr>
          <w:rFonts w:ascii="Arial" w:cs="Arial" w:eastAsia="Arial" w:hAnsi="Arial"/>
          <w:sz w:val="22"/>
          <w:szCs w:val="22"/>
          <w:color w:val="auto"/>
        </w:rPr>
      </w:pPr>
      <w:r>
        <w:rPr>
          <w:rFonts w:ascii="Arial" w:cs="Arial" w:eastAsia="Arial" w:hAnsi="Arial"/>
          <w:sz w:val="20"/>
          <w:szCs w:val="20"/>
          <w:color w:val="auto"/>
        </w:rPr>
        <w:t>For purposes of these Bylaws, “</w:t>
      </w:r>
      <w:r>
        <w:rPr>
          <w:rFonts w:ascii="Arial" w:cs="Arial" w:eastAsia="Arial" w:hAnsi="Arial"/>
          <w:sz w:val="20"/>
          <w:szCs w:val="20"/>
          <w:b w:val="1"/>
          <w:bCs w:val="1"/>
          <w:i w:val="1"/>
          <w:iCs w:val="1"/>
          <w:color w:val="auto"/>
        </w:rPr>
        <w:t>public announcement</w:t>
      </w:r>
      <w:r>
        <w:rPr>
          <w:rFonts w:ascii="Arial" w:cs="Arial" w:eastAsia="Arial" w:hAnsi="Arial"/>
          <w:sz w:val="20"/>
          <w:szCs w:val="20"/>
          <w:color w:val="auto"/>
        </w:rPr>
        <w:t>” shall mean disclosure in a press release reported by the Dow Jones News Service, Associated Press or comparable national news service or in a document publicly filed or furnished by the corporation with the SEC pursuant to Section 13, 14 or 15(d) of the Exchange Act.</w:t>
      </w:r>
    </w:p>
    <w:p>
      <w:pPr>
        <w:spacing w:after="0" w:line="170" w:lineRule="exact"/>
        <w:rPr>
          <w:rFonts w:ascii="Arial" w:cs="Arial" w:eastAsia="Arial" w:hAnsi="Arial"/>
          <w:sz w:val="22"/>
          <w:szCs w:val="22"/>
          <w:color w:val="auto"/>
        </w:rPr>
      </w:pPr>
    </w:p>
    <w:p>
      <w:pPr>
        <w:jc w:val="both"/>
        <w:ind w:left="160" w:right="139" w:firstLine="1287"/>
        <w:spacing w:after="0" w:line="222" w:lineRule="auto"/>
        <w:tabs>
          <w:tab w:leader="none" w:pos="1921" w:val="left"/>
        </w:tabs>
        <w:numPr>
          <w:ilvl w:val="0"/>
          <w:numId w:val="61"/>
        </w:numPr>
        <w:rPr>
          <w:rFonts w:ascii="Arial" w:cs="Arial" w:eastAsia="Arial" w:hAnsi="Arial"/>
          <w:sz w:val="19"/>
          <w:szCs w:val="19"/>
          <w:color w:val="auto"/>
        </w:rPr>
      </w:pPr>
      <w:r>
        <w:rPr>
          <w:rFonts w:ascii="Arial" w:cs="Arial" w:eastAsia="Arial" w:hAnsi="Arial"/>
          <w:sz w:val="18"/>
          <w:szCs w:val="18"/>
          <w:color w:val="auto"/>
        </w:rPr>
        <w:t>Only those persons who are nominated in accordance with the procedures set forth in this section shall be eligible for election as directors at any meeting of stockholders. The Chairman of the Board of Directors or Secretary may, if the facts warrant, determine that a notice received by the corporation relating to a nomination proposed to be made does not satisfy the requirements of this Section 2.15 (including if the stockholder does not provide the updated information required under Section 2.15(b) to the corporation within five (5) business days following the record date for the meeting), and if it be so determined, shall so declare and any such nomination shall not be introduced at such meeting of stockholders, notwithstanding that proxies in respect of such vote may have been received. The chairman of the meeting shall have the power and duty to determine whether a nomination brought before the meeting was made in accordance with the procedures set forth in this section, and, if any nomination is not in compliance with this section (including if the stockholder does not provide the updated information required under Section 2.15(b) to the corporation within five (5) business days following the record date for the meeting), to declare that such defective nomination shall be disregarded, notwithstanding that proxies in respect of such vote may have been received. Unless otherwise required by law, if the stockholder (or a qualified representative of the stockholder) does not appear at the annual meeting or a special meeting of stockholders of the corporation to present a nomination, such nomination shall be disregarded, notwithstanding that proxies in respect of such vote may have been received by the corporation. For purposes of this Section 2.15,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at such meeting by such stockholder stating that such person is authorized to act for such stockholder as proxy at the meeting of stockholders.</w:t>
      </w:r>
    </w:p>
    <w:p>
      <w:pPr>
        <w:spacing w:after="0" w:line="179" w:lineRule="exact"/>
        <w:rPr>
          <w:rFonts w:ascii="Arial" w:cs="Arial" w:eastAsia="Arial" w:hAnsi="Arial"/>
          <w:sz w:val="19"/>
          <w:szCs w:val="19"/>
          <w:color w:val="auto"/>
        </w:rPr>
      </w:pPr>
    </w:p>
    <w:p>
      <w:pPr>
        <w:jc w:val="both"/>
        <w:ind w:left="160" w:right="139" w:firstLine="1287"/>
        <w:spacing w:after="0" w:line="237" w:lineRule="auto"/>
        <w:tabs>
          <w:tab w:leader="none" w:pos="1924" w:val="left"/>
        </w:tabs>
        <w:numPr>
          <w:ilvl w:val="0"/>
          <w:numId w:val="61"/>
        </w:numPr>
        <w:rPr>
          <w:rFonts w:ascii="Arial" w:cs="Arial" w:eastAsia="Arial" w:hAnsi="Arial"/>
          <w:sz w:val="19"/>
          <w:szCs w:val="19"/>
          <w:color w:val="auto"/>
        </w:rPr>
      </w:pPr>
      <w:r>
        <w:rPr>
          <w:rFonts w:ascii="Arial" w:cs="Arial" w:eastAsia="Arial" w:hAnsi="Arial"/>
          <w:sz w:val="18"/>
          <w:szCs w:val="18"/>
          <w:color w:val="auto"/>
        </w:rPr>
        <w:t>Notwithstanding the foregoing provisions of this Section 2.15, a stockholder shall also comply with all applicable requirements of the Exchange Act and the rules and regulations thereunder with respect to the matters set forth in this Section 2.15; provided however, that any references in this Section 2.15 to the Exchange Act or the rules promulgated thereunder are not intended to and shall not limit any</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0" w:name="page101"/>
    <w:bookmarkEnd w:id="100"/>
    <w:p>
      <w:pPr>
        <w:jc w:val="both"/>
        <w:ind w:left="160" w:right="139"/>
        <w:spacing w:after="0" w:line="219" w:lineRule="auto"/>
        <w:rPr>
          <w:sz w:val="20"/>
          <w:szCs w:val="20"/>
          <w:color w:val="auto"/>
        </w:rPr>
      </w:pPr>
      <w:r>
        <w:rPr>
          <w:rFonts w:ascii="Arial" w:cs="Arial" w:eastAsia="Arial" w:hAnsi="Arial"/>
          <w:sz w:val="20"/>
          <w:szCs w:val="20"/>
          <w:color w:val="auto"/>
        </w:rPr>
        <w:t>requirements applicable to nominations to be considered pursuant to this Section 2.15. Nothing in this Section 2.15 shall be deemed to affect any rights of the holders of any series of preferred stock if and to the extent provided for under law, the Certificate of Incorporation or these Bylaws.</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III</w:t>
      </w:r>
    </w:p>
    <w:p>
      <w:pPr>
        <w:jc w:val="center"/>
        <w:ind w:right="-20"/>
        <w:spacing w:after="0"/>
        <w:rPr>
          <w:sz w:val="20"/>
          <w:szCs w:val="20"/>
          <w:color w:val="auto"/>
        </w:rPr>
      </w:pPr>
      <w:r>
        <w:rPr>
          <w:rFonts w:ascii="Arial" w:cs="Arial" w:eastAsia="Arial" w:hAnsi="Arial"/>
          <w:sz w:val="20"/>
          <w:szCs w:val="20"/>
          <w:b w:val="1"/>
          <w:bCs w:val="1"/>
          <w:color w:val="auto"/>
        </w:rPr>
        <w:t>OFFICERS</w:t>
      </w:r>
    </w:p>
    <w:p>
      <w:pPr>
        <w:spacing w:after="0" w:line="159" w:lineRule="exact"/>
        <w:rPr>
          <w:sz w:val="20"/>
          <w:szCs w:val="20"/>
          <w:color w:val="auto"/>
        </w:rPr>
      </w:pPr>
    </w:p>
    <w:p>
      <w:pPr>
        <w:jc w:val="both"/>
        <w:ind w:left="160" w:right="139" w:firstLine="648"/>
        <w:spacing w:after="0" w:line="210" w:lineRule="auto"/>
        <w:rPr>
          <w:sz w:val="20"/>
          <w:szCs w:val="20"/>
          <w:color w:val="auto"/>
        </w:rPr>
      </w:pPr>
      <w:r>
        <w:rPr>
          <w:rFonts w:ascii="Arial" w:cs="Arial" w:eastAsia="Arial" w:hAnsi="Arial"/>
          <w:sz w:val="20"/>
          <w:szCs w:val="20"/>
          <w:color w:val="auto"/>
        </w:rPr>
        <w:t xml:space="preserve">1.29 </w:t>
      </w:r>
      <w:r>
        <w:rPr>
          <w:rFonts w:ascii="Arial" w:cs="Arial" w:eastAsia="Arial" w:hAnsi="Arial"/>
          <w:sz w:val="20"/>
          <w:szCs w:val="20"/>
          <w:u w:val="single" w:color="auto"/>
          <w:color w:val="auto"/>
        </w:rPr>
        <w:t>Enumeration</w:t>
      </w:r>
      <w:r>
        <w:rPr>
          <w:rFonts w:ascii="Arial" w:cs="Arial" w:eastAsia="Arial" w:hAnsi="Arial"/>
          <w:sz w:val="20"/>
          <w:szCs w:val="20"/>
          <w:color w:val="auto"/>
        </w:rPr>
        <w:t>. The officers of the corporation shall consist of a Chief Executive Officer, a President, a Secretary, a Treasurer, a Chief Financial Officer and such other officers with such other titles as the Board of Directors shall determine, including, at the discretion of the Board of Directors, a Chairman of the Board and one or more Vice Presidents and Assistant Secretaries. The Board of Directors may appoint such other officers as it may deem appropriate.</w:t>
      </w:r>
    </w:p>
    <w:p>
      <w:pPr>
        <w:spacing w:after="0" w:line="155" w:lineRule="exact"/>
        <w:rPr>
          <w:sz w:val="20"/>
          <w:szCs w:val="20"/>
          <w:color w:val="auto"/>
        </w:rPr>
      </w:pPr>
    </w:p>
    <w:p>
      <w:pPr>
        <w:jc w:val="both"/>
        <w:ind w:left="160" w:right="139" w:firstLine="648"/>
        <w:spacing w:after="0" w:line="218" w:lineRule="auto"/>
        <w:rPr>
          <w:sz w:val="20"/>
          <w:szCs w:val="20"/>
          <w:color w:val="auto"/>
        </w:rPr>
      </w:pPr>
      <w:r>
        <w:rPr>
          <w:rFonts w:ascii="Arial" w:cs="Arial" w:eastAsia="Arial" w:hAnsi="Arial"/>
          <w:sz w:val="20"/>
          <w:szCs w:val="20"/>
          <w:color w:val="auto"/>
        </w:rPr>
        <w:t xml:space="preserve">1.30 </w:t>
      </w:r>
      <w:r>
        <w:rPr>
          <w:rFonts w:ascii="Arial" w:cs="Arial" w:eastAsia="Arial" w:hAnsi="Arial"/>
          <w:sz w:val="20"/>
          <w:szCs w:val="20"/>
          <w:u w:val="single" w:color="auto"/>
          <w:color w:val="auto"/>
        </w:rPr>
        <w:t>Election</w:t>
      </w:r>
      <w:r>
        <w:rPr>
          <w:rFonts w:ascii="Arial" w:cs="Arial" w:eastAsia="Arial" w:hAnsi="Arial"/>
          <w:sz w:val="20"/>
          <w:szCs w:val="20"/>
          <w:color w:val="auto"/>
        </w:rPr>
        <w:t>. Officers shall be elected annually by the Board of Directors at its first meeting following the annual meeting of stockholders. Officers may be appointed by the Board of Directors at any other meeting.</w:t>
      </w:r>
    </w:p>
    <w:p>
      <w:pPr>
        <w:spacing w:after="0" w:line="157" w:lineRule="exact"/>
        <w:rPr>
          <w:sz w:val="20"/>
          <w:szCs w:val="20"/>
          <w:color w:val="auto"/>
        </w:rPr>
      </w:pPr>
    </w:p>
    <w:p>
      <w:pPr>
        <w:jc w:val="both"/>
        <w:ind w:left="160" w:right="139" w:firstLine="648"/>
        <w:spacing w:after="0" w:line="229"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u w:val="single" w:color="auto"/>
          <w:color w:val="auto"/>
        </w:rPr>
        <w:t>Qualification</w:t>
      </w:r>
      <w:r>
        <w:rPr>
          <w:rFonts w:ascii="Arial" w:cs="Arial" w:eastAsia="Arial" w:hAnsi="Arial"/>
          <w:sz w:val="20"/>
          <w:szCs w:val="20"/>
          <w:color w:val="auto"/>
        </w:rPr>
        <w:t>. No officer need be a stockholder. Any two or more offices may be held by the same person.</w:t>
      </w:r>
    </w:p>
    <w:p>
      <w:pPr>
        <w:spacing w:after="0" w:line="155" w:lineRule="exact"/>
        <w:rPr>
          <w:sz w:val="20"/>
          <w:szCs w:val="20"/>
          <w:color w:val="auto"/>
        </w:rPr>
      </w:pPr>
    </w:p>
    <w:p>
      <w:pPr>
        <w:jc w:val="both"/>
        <w:ind w:left="160" w:right="159" w:firstLine="648"/>
        <w:spacing w:after="0" w:line="24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officer shall hold office until his successor is elected and qualified, unless a different term is specified in the vote appointing the officer, or until his earlier death, resignation or removal.</w:t>
      </w:r>
    </w:p>
    <w:p>
      <w:pPr>
        <w:spacing w:after="0" w:line="152" w:lineRule="exact"/>
        <w:rPr>
          <w:sz w:val="20"/>
          <w:szCs w:val="20"/>
          <w:color w:val="auto"/>
        </w:rPr>
      </w:pPr>
    </w:p>
    <w:p>
      <w:pPr>
        <w:jc w:val="both"/>
        <w:ind w:left="160" w:right="139" w:firstLine="648"/>
        <w:spacing w:after="0" w:line="210" w:lineRule="auto"/>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u w:val="single" w:color="auto"/>
          <w:color w:val="auto"/>
        </w:rPr>
        <w:t>Resignation and Removal</w:t>
      </w:r>
      <w:r>
        <w:rPr>
          <w:rFonts w:ascii="Arial" w:cs="Arial" w:eastAsia="Arial" w:hAnsi="Arial"/>
          <w:sz w:val="20"/>
          <w:szCs w:val="20"/>
          <w:color w:val="auto"/>
        </w:rPr>
        <w:t>. Any officer may resign by delivering his written resignation to the corporation at its principal office or to the President or Secretary. Such resignation shall be effective upon receipt unless it is specified to be effective at some other time or upon the happening of some other event. Any officer elected by the Board of Directors may be removed at any time, with or without cause, by the Board of Directors.</w:t>
      </w:r>
    </w:p>
    <w:p>
      <w:pPr>
        <w:spacing w:after="0" w:line="155" w:lineRule="exact"/>
        <w:rPr>
          <w:sz w:val="20"/>
          <w:szCs w:val="20"/>
          <w:color w:val="auto"/>
        </w:rPr>
      </w:pPr>
    </w:p>
    <w:p>
      <w:pPr>
        <w:jc w:val="both"/>
        <w:ind w:left="160" w:right="139" w:firstLine="648"/>
        <w:spacing w:after="0" w:line="224"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u w:val="single" w:color="auto"/>
          <w:color w:val="auto"/>
        </w:rPr>
        <w:t>Chairman of the Board</w:t>
      </w:r>
      <w:r>
        <w:rPr>
          <w:rFonts w:ascii="Arial" w:cs="Arial" w:eastAsia="Arial" w:hAnsi="Arial"/>
          <w:sz w:val="19"/>
          <w:szCs w:val="19"/>
          <w:color w:val="auto"/>
        </w:rPr>
        <w:t>. The Board of Directors may appoint a Chairman of the Board. If the Board of Directors appoints a Chairman of the Board, he shall perform such duties and possess such powers as are assigned to the Chairman by the Board of Directors and these Bylaws. Unless otherwise provided by the Board of Directors, he shall preside at all meetings of the Board of Directors.</w:t>
      </w:r>
    </w:p>
    <w:p>
      <w:pPr>
        <w:spacing w:after="0" w:line="157" w:lineRule="exact"/>
        <w:rPr>
          <w:sz w:val="20"/>
          <w:szCs w:val="20"/>
          <w:color w:val="auto"/>
        </w:rPr>
      </w:pPr>
    </w:p>
    <w:p>
      <w:pPr>
        <w:jc w:val="both"/>
        <w:ind w:left="160" w:right="139" w:firstLine="648"/>
        <w:spacing w:after="0" w:line="261"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of the corporation shall, subject to the direction of the Board of Directors, have general supervision, direction and control of the business and the officers of the corporation. He shall preside at all meetings of the stockholders and, in the absence or nonexistence of a Chairman of the Board, at all meetings of the Board of Directors. He shall have the general powers and duties of management usually vested in the chief executive officer of a corporation, including general supervision, direction and control of the business and supervision of other officers of the corporation, and shall have such other powers and duties as may be prescribed by the Board of Directors or these Bylaws.</w:t>
      </w:r>
    </w:p>
    <w:p>
      <w:pPr>
        <w:spacing w:after="0" w:line="139" w:lineRule="exact"/>
        <w:rPr>
          <w:sz w:val="20"/>
          <w:szCs w:val="20"/>
          <w:color w:val="auto"/>
        </w:rPr>
      </w:pPr>
    </w:p>
    <w:p>
      <w:pPr>
        <w:jc w:val="both"/>
        <w:ind w:left="160" w:right="139" w:firstLine="648"/>
        <w:spacing w:after="0" w:line="229"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President</w:t>
      </w:r>
      <w:r>
        <w:rPr>
          <w:rFonts w:ascii="Arial" w:cs="Arial" w:eastAsia="Arial" w:hAnsi="Arial"/>
          <w:sz w:val="18"/>
          <w:szCs w:val="18"/>
          <w:color w:val="auto"/>
        </w:rPr>
        <w:t>. Subject to the direction of the Board of Directors and such supervisory powers as may be given by these Bylaws or the Board of Directors to the Chairman of the Board or the Chief Executive Officer, if such titles be held by other officers, the President shall have general supervision, direction and control of the business and supervision of other officers of the corporation. Unless otherwise designated by the Board of Directors, the President shall be the Chief Executive Officer of the corporation. The President shall have such other powers and duties as may be prescribed by the Board of Directors or these Bylaws. He shall have power to sign stock certificates, contracts and other instruments of the</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1" w:name="page102"/>
    <w:bookmarkEnd w:id="101"/>
    <w:p>
      <w:pPr>
        <w:jc w:val="both"/>
        <w:ind w:left="160" w:right="159"/>
        <w:spacing w:after="0" w:line="219" w:lineRule="auto"/>
        <w:rPr>
          <w:sz w:val="20"/>
          <w:szCs w:val="20"/>
          <w:color w:val="auto"/>
        </w:rPr>
      </w:pPr>
      <w:r>
        <w:rPr>
          <w:rFonts w:ascii="Arial" w:cs="Arial" w:eastAsia="Arial" w:hAnsi="Arial"/>
          <w:sz w:val="20"/>
          <w:szCs w:val="20"/>
          <w:color w:val="auto"/>
        </w:rPr>
        <w:t>corporation which are authorized and shall have general supervision and direction of all of the other officers, employees and agents of the corporation, other than the Chairman of the Board and the Chief Executive Officer.</w:t>
      </w:r>
    </w:p>
    <w:p>
      <w:pPr>
        <w:spacing w:after="0" w:line="155" w:lineRule="exact"/>
        <w:rPr>
          <w:sz w:val="20"/>
          <w:szCs w:val="20"/>
          <w:color w:val="auto"/>
        </w:rPr>
      </w:pPr>
    </w:p>
    <w:p>
      <w:pPr>
        <w:jc w:val="both"/>
        <w:ind w:left="160" w:right="159" w:firstLine="648"/>
        <w:spacing w:after="0" w:line="229"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Vice Presidents</w:t>
      </w:r>
      <w:r>
        <w:rPr>
          <w:rFonts w:ascii="Arial" w:cs="Arial" w:eastAsia="Arial" w:hAnsi="Arial"/>
          <w:sz w:val="18"/>
          <w:szCs w:val="18"/>
          <w:color w:val="auto"/>
        </w:rPr>
        <w:t>. Any Vice President shall perform such duties and possess such powers as the Board of Directors, the Chief Executive Officer or the President may from time to time prescribe. In the event of the absence, inability or refusal to act of the President, the Vice President (or if there shall be more than one, the Vice Presidents in the order determined by the Board of Directors) shall perform the duties of the President and when so performing shall have all the powers of and be subject to all the restrictions upon the President. The Board of Directors may assign to any Vice President the title of Executive Vice President, Senior Vice President or any other title selected by the Board of Directors.</w:t>
      </w:r>
    </w:p>
    <w:p>
      <w:pPr>
        <w:spacing w:after="0" w:line="157" w:lineRule="exact"/>
        <w:rPr>
          <w:sz w:val="20"/>
          <w:szCs w:val="20"/>
          <w:color w:val="auto"/>
        </w:rPr>
      </w:pPr>
    </w:p>
    <w:p>
      <w:pPr>
        <w:jc w:val="both"/>
        <w:ind w:left="160" w:right="139" w:firstLine="648"/>
        <w:spacing w:after="0" w:line="216" w:lineRule="auto"/>
        <w:rPr>
          <w:sz w:val="20"/>
          <w:szCs w:val="20"/>
          <w:color w:val="auto"/>
        </w:rPr>
      </w:pPr>
      <w:r>
        <w:rPr>
          <w:rFonts w:ascii="Arial" w:cs="Arial" w:eastAsia="Arial" w:hAnsi="Arial"/>
          <w:sz w:val="19"/>
          <w:szCs w:val="19"/>
          <w:color w:val="auto"/>
        </w:rPr>
        <w:t xml:space="preserve">1.38 </w:t>
      </w:r>
      <w:r>
        <w:rPr>
          <w:rFonts w:ascii="Arial" w:cs="Arial" w:eastAsia="Arial" w:hAnsi="Arial"/>
          <w:sz w:val="19"/>
          <w:szCs w:val="19"/>
          <w:u w:val="single" w:color="auto"/>
          <w:color w:val="auto"/>
        </w:rPr>
        <w:t>Secretary and Assistant Secretaries</w:t>
      </w:r>
      <w:r>
        <w:rPr>
          <w:rFonts w:ascii="Arial" w:cs="Arial" w:eastAsia="Arial" w:hAnsi="Arial"/>
          <w:sz w:val="19"/>
          <w:szCs w:val="19"/>
          <w:color w:val="auto"/>
        </w:rPr>
        <w:t>. The Secretary shall perform such duties and shall have such powers as the Board of Directors or the President may from time to time prescribe. In addition, the Secretary shall perform such duties and have such powers as are set forth in these Bylaws and as are incident to the office of the Secretary, including, without limitation, the duty and power to give notices of all meetings of stockholders and special meetings of the Board of Directors, to keep a record of the proceedings of all meetings of stockholders and the Board of Directors, to maintain a stock ledger and prepare lists of stockholders and their addresses as required, to be custodian of corporate records and the corporate seal and to affix and attest to the same on documents.</w:t>
      </w:r>
    </w:p>
    <w:p>
      <w:pPr>
        <w:spacing w:after="0" w:line="156" w:lineRule="exact"/>
        <w:rPr>
          <w:sz w:val="20"/>
          <w:szCs w:val="20"/>
          <w:color w:val="auto"/>
        </w:rPr>
      </w:pPr>
    </w:p>
    <w:p>
      <w:pPr>
        <w:jc w:val="both"/>
        <w:ind w:left="160" w:right="139" w:firstLine="648"/>
        <w:spacing w:after="0" w:line="210" w:lineRule="auto"/>
        <w:rPr>
          <w:sz w:val="20"/>
          <w:szCs w:val="20"/>
          <w:color w:val="auto"/>
        </w:rPr>
      </w:pPr>
      <w:r>
        <w:rPr>
          <w:rFonts w:ascii="Arial" w:cs="Arial" w:eastAsia="Arial" w:hAnsi="Arial"/>
          <w:sz w:val="20"/>
          <w:szCs w:val="20"/>
          <w:color w:val="auto"/>
        </w:rPr>
        <w:t>Any Assistant Secretary shall perform such duties and possess such powers as the Board of Directors, the Chief Executive Officer,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55" w:lineRule="exact"/>
        <w:rPr>
          <w:sz w:val="20"/>
          <w:szCs w:val="20"/>
          <w:color w:val="auto"/>
        </w:rPr>
      </w:pPr>
    </w:p>
    <w:p>
      <w:pPr>
        <w:jc w:val="both"/>
        <w:ind w:left="160" w:right="159" w:firstLine="648"/>
        <w:spacing w:after="0" w:line="333" w:lineRule="auto"/>
        <w:rPr>
          <w:sz w:val="20"/>
          <w:szCs w:val="20"/>
          <w:color w:val="auto"/>
        </w:rPr>
      </w:pPr>
      <w:r>
        <w:rPr>
          <w:rFonts w:ascii="Arial" w:cs="Arial" w:eastAsia="Arial" w:hAnsi="Arial"/>
          <w:sz w:val="16"/>
          <w:szCs w:val="16"/>
          <w:color w:val="auto"/>
        </w:rPr>
        <w:t>In the absence of the Secretary or any Assistant Secretary at any meeting of stockholders or directors, the person presiding at the meeting shall designate a temporary secretary to keep a record of the meeting.</w:t>
      </w:r>
    </w:p>
    <w:p>
      <w:pPr>
        <w:spacing w:after="0" w:line="84" w:lineRule="exact"/>
        <w:rPr>
          <w:sz w:val="20"/>
          <w:szCs w:val="20"/>
          <w:color w:val="auto"/>
        </w:rPr>
      </w:pPr>
    </w:p>
    <w:p>
      <w:pPr>
        <w:jc w:val="both"/>
        <w:ind w:left="160" w:right="139" w:firstLine="648"/>
        <w:spacing w:after="0" w:line="218" w:lineRule="auto"/>
        <w:rPr>
          <w:sz w:val="20"/>
          <w:szCs w:val="20"/>
          <w:color w:val="auto"/>
        </w:rPr>
      </w:pPr>
      <w:r>
        <w:rPr>
          <w:rFonts w:ascii="Arial" w:cs="Arial" w:eastAsia="Arial" w:hAnsi="Arial"/>
          <w:sz w:val="19"/>
          <w:szCs w:val="19"/>
          <w:color w:val="auto"/>
        </w:rPr>
        <w:t xml:space="preserve">1.39 </w:t>
      </w:r>
      <w:r>
        <w:rPr>
          <w:rFonts w:ascii="Arial" w:cs="Arial" w:eastAsia="Arial" w:hAnsi="Arial"/>
          <w:sz w:val="19"/>
          <w:szCs w:val="19"/>
          <w:u w:val="single" w:color="auto"/>
          <w:color w:val="auto"/>
        </w:rPr>
        <w:t>Treasurer</w:t>
      </w:r>
      <w:r>
        <w:rPr>
          <w:rFonts w:ascii="Arial" w:cs="Arial" w:eastAsia="Arial" w:hAnsi="Arial"/>
          <w:sz w:val="19"/>
          <w:szCs w:val="19"/>
          <w:color w:val="auto"/>
        </w:rPr>
        <w:t>. The Treasurer shall perform such duties and have such powers as are incident to the office of treasurer, including without limitation, the duty and power to keep and be responsible for all funds and securities of the corporation, to maintain the financial records of the corporation, to deposit funds of the corporation in depositories as authorized, to disburse such funds as authorized, to make proper accounts of such funds, and to render as required by the Board of Directors accounts of all such transactions and of the financial condition of the corporation.</w:t>
      </w:r>
    </w:p>
    <w:p>
      <w:pPr>
        <w:spacing w:after="0" w:line="160" w:lineRule="exact"/>
        <w:rPr>
          <w:sz w:val="20"/>
          <w:szCs w:val="20"/>
          <w:color w:val="auto"/>
        </w:rPr>
      </w:pPr>
    </w:p>
    <w:p>
      <w:pPr>
        <w:jc w:val="both"/>
        <w:ind w:left="160" w:right="139" w:firstLine="648"/>
        <w:spacing w:after="0" w:line="213" w:lineRule="auto"/>
        <w:rPr>
          <w:sz w:val="20"/>
          <w:szCs w:val="20"/>
          <w:color w:val="auto"/>
        </w:rPr>
      </w:pPr>
      <w:r>
        <w:rPr>
          <w:rFonts w:ascii="Arial" w:cs="Arial" w:eastAsia="Arial" w:hAnsi="Arial"/>
          <w:sz w:val="20"/>
          <w:szCs w:val="20"/>
          <w:color w:val="auto"/>
        </w:rPr>
        <w:t xml:space="preserve">1.40 </w:t>
      </w:r>
      <w:r>
        <w:rPr>
          <w:rFonts w:ascii="Arial" w:cs="Arial" w:eastAsia="Arial" w:hAnsi="Arial"/>
          <w:sz w:val="20"/>
          <w:szCs w:val="20"/>
          <w:u w:val="single" w:color="auto"/>
          <w:color w:val="auto"/>
        </w:rPr>
        <w:t>Chief Financial Officer</w:t>
      </w:r>
      <w:r>
        <w:rPr>
          <w:rFonts w:ascii="Arial" w:cs="Arial" w:eastAsia="Arial" w:hAnsi="Arial"/>
          <w:sz w:val="20"/>
          <w:szCs w:val="20"/>
          <w:color w:val="auto"/>
        </w:rPr>
        <w:t>. The Chief Financial Officer shall perform such duties and shall have such powers as may from time to time be assigned to the Chief Financial Officer by the Board of Directors, the Chief Executive Officer or the President. Unless otherwise designated by the Board of Directors, the Chief Financial Officer shall be the Treasurer of the corporation.</w:t>
      </w:r>
    </w:p>
    <w:p>
      <w:pPr>
        <w:spacing w:after="0" w:line="156" w:lineRule="exact"/>
        <w:rPr>
          <w:sz w:val="20"/>
          <w:szCs w:val="20"/>
          <w:color w:val="auto"/>
        </w:rPr>
      </w:pPr>
    </w:p>
    <w:p>
      <w:pPr>
        <w:jc w:val="both"/>
        <w:ind w:left="160" w:right="159" w:firstLine="648"/>
        <w:spacing w:after="0" w:line="229"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u w:val="single" w:color="auto"/>
          <w:color w:val="auto"/>
        </w:rPr>
        <w:t>Salaries</w:t>
      </w:r>
      <w:r>
        <w:rPr>
          <w:rFonts w:ascii="Arial" w:cs="Arial" w:eastAsia="Arial" w:hAnsi="Arial"/>
          <w:sz w:val="20"/>
          <w:szCs w:val="20"/>
          <w:color w:val="auto"/>
        </w:rPr>
        <w:t>. Officers of the corporation shall be entitled to such salaries, compensation or reimbursement as shall be fixed or allowed from time to time by the Board of Directors.</w:t>
      </w:r>
    </w:p>
    <w:p>
      <w:pPr>
        <w:spacing w:after="0" w:line="155" w:lineRule="exact"/>
        <w:rPr>
          <w:sz w:val="20"/>
          <w:szCs w:val="20"/>
          <w:color w:val="auto"/>
        </w:rPr>
      </w:pPr>
    </w:p>
    <w:p>
      <w:pPr>
        <w:jc w:val="both"/>
        <w:ind w:left="160" w:right="139" w:firstLine="648"/>
        <w:spacing w:after="0" w:line="242"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Delegation of Authority</w:t>
      </w:r>
      <w:r>
        <w:rPr>
          <w:rFonts w:ascii="Arial" w:cs="Arial" w:eastAsia="Arial" w:hAnsi="Arial"/>
          <w:sz w:val="19"/>
          <w:szCs w:val="19"/>
          <w:color w:val="auto"/>
        </w:rPr>
        <w:t>. The Board of Directors may from time to time delegate the powers or duties of any officer to any other officers or agents, notwithstanding any provision hereof.</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20"/>
          <w:szCs w:val="20"/>
          <w:b w:val="1"/>
          <w:bCs w:val="1"/>
          <w:color w:val="auto"/>
        </w:rPr>
        <w:t>ARTICLE IV</w:t>
      </w:r>
    </w:p>
    <w:p>
      <w:pPr>
        <w:jc w:val="center"/>
        <w:ind w:right="-20"/>
        <w:spacing w:after="0"/>
        <w:rPr>
          <w:sz w:val="20"/>
          <w:szCs w:val="20"/>
          <w:color w:val="auto"/>
        </w:rPr>
      </w:pPr>
      <w:r>
        <w:rPr>
          <w:rFonts w:ascii="Arial" w:cs="Arial" w:eastAsia="Arial" w:hAnsi="Arial"/>
          <w:sz w:val="20"/>
          <w:szCs w:val="20"/>
          <w:b w:val="1"/>
          <w:bCs w:val="1"/>
          <w:color w:val="auto"/>
        </w:rPr>
        <w:t>CAPITAL STOCK</w:t>
      </w:r>
    </w:p>
    <w:p>
      <w:pPr>
        <w:spacing w:after="0" w:line="159" w:lineRule="exact"/>
        <w:rPr>
          <w:sz w:val="20"/>
          <w:szCs w:val="20"/>
          <w:color w:val="auto"/>
        </w:rPr>
      </w:pPr>
    </w:p>
    <w:p>
      <w:pPr>
        <w:jc w:val="both"/>
        <w:ind w:left="160" w:right="139" w:firstLine="648"/>
        <w:spacing w:after="0" w:line="221"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Issuance of Stock</w:t>
      </w:r>
      <w:r>
        <w:rPr>
          <w:rFonts w:ascii="Arial" w:cs="Arial" w:eastAsia="Arial" w:hAnsi="Arial"/>
          <w:sz w:val="19"/>
          <w:szCs w:val="19"/>
          <w:color w:val="auto"/>
        </w:rPr>
        <w:t>. Subject to the provisions of the Certificate of Incorporation, the whole or any part of any unissued balance of the authorized capital stock of the corporation or the whole or any part of any unissued balance of the authorized capital stock of the corporation held in its treasury may be issued, sold, transferred or otherwise disposed of by vote of the Board of Directors in such manner, for such consideration and on such terms as the Board of Directors may determine.</w:t>
      </w:r>
    </w:p>
    <w:p>
      <w:pPr>
        <w:spacing w:after="0" w:line="156" w:lineRule="exact"/>
        <w:rPr>
          <w:sz w:val="20"/>
          <w:szCs w:val="20"/>
          <w:color w:val="auto"/>
        </w:rPr>
      </w:pPr>
    </w:p>
    <w:p>
      <w:pPr>
        <w:jc w:val="both"/>
        <w:ind w:left="160" w:right="139" w:firstLine="648"/>
        <w:spacing w:after="0" w:line="225"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Stock Certificates</w:t>
      </w:r>
      <w:r>
        <w:rPr>
          <w:rFonts w:ascii="Arial" w:cs="Arial" w:eastAsia="Arial" w:hAnsi="Arial"/>
          <w:sz w:val="18"/>
          <w:szCs w:val="18"/>
          <w:color w:val="auto"/>
        </w:rPr>
        <w:t>. The shares of stock of the corporation shall be represented by certificates, provided that the Board of Directors may provide by resolution or resolutions that some or all of any class or series of stock of the corporation shall be uncertificated shares; provided, however, that no such resolution shall apply to shares represented by a certificate until such certificate is surrendered to the corporation. Every holder of stock of the corporation represented by certificates, and, upon written request to the corporation’s transfer agent or registrar, any holder of uncertificated shares, shall be entitled to have a certificate, in such form as may be prescribed by law and by the Board of Directors, certifying the number and class of shares of stock owned by such stockholder in the corporation. Each such certificate shall be signed by, or in the name of the corporation by, the Chairman or Vice Chairman, if any, of the Board of Directors, or the President or a Vice President, and the Treasurer or an Assistant Treasurer, or the Secretary or an Assistant Secretary of the corporation. Any or all of the signatures on the certificate may be a facsimile.</w:t>
      </w:r>
    </w:p>
    <w:p>
      <w:pPr>
        <w:spacing w:after="0" w:line="161" w:lineRule="exact"/>
        <w:rPr>
          <w:sz w:val="20"/>
          <w:szCs w:val="20"/>
          <w:color w:val="auto"/>
        </w:rPr>
      </w:pPr>
    </w:p>
    <w:p>
      <w:pPr>
        <w:jc w:val="both"/>
        <w:ind w:left="160" w:right="139" w:firstLine="648"/>
        <w:spacing w:after="0" w:line="237" w:lineRule="auto"/>
        <w:rPr>
          <w:sz w:val="20"/>
          <w:szCs w:val="20"/>
          <w:color w:val="auto"/>
        </w:rPr>
      </w:pPr>
      <w:r>
        <w:rPr>
          <w:rFonts w:ascii="Arial" w:cs="Arial" w:eastAsia="Arial" w:hAnsi="Arial"/>
          <w:sz w:val="18"/>
          <w:szCs w:val="18"/>
          <w:color w:val="auto"/>
        </w:rPr>
        <w:t>Each certificate for shares of stock which are subject to any restriction on transfer pursuant to the Certificate of Incorporation, the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30" w:lineRule="exact"/>
        <w:rPr>
          <w:sz w:val="20"/>
          <w:szCs w:val="20"/>
          <w:color w:val="auto"/>
        </w:rPr>
      </w:pPr>
    </w:p>
    <w:p>
      <w:pPr>
        <w:ind w:left="800"/>
        <w:spacing w:after="0"/>
        <w:tabs>
          <w:tab w:leader="none" w:pos="152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6"/>
          <w:szCs w:val="16"/>
          <w:u w:val="single" w:color="auto"/>
          <w:color w:val="auto"/>
        </w:rPr>
        <w:t>Transfers</w:t>
      </w:r>
      <w:r>
        <w:rPr>
          <w:rFonts w:ascii="Arial" w:cs="Arial" w:eastAsia="Arial" w:hAnsi="Arial"/>
          <w:sz w:val="16"/>
          <w:szCs w:val="16"/>
          <w:color w:val="auto"/>
        </w:rPr>
        <w:t>. Except as otherwise established by rules and regulations adopted by the Board of</w:t>
      </w:r>
    </w:p>
    <w:p>
      <w:pPr>
        <w:ind w:left="160"/>
        <w:spacing w:after="0" w:line="219" w:lineRule="auto"/>
        <w:rPr>
          <w:sz w:val="20"/>
          <w:szCs w:val="20"/>
          <w:color w:val="auto"/>
        </w:rPr>
      </w:pPr>
      <w:r>
        <w:rPr>
          <w:rFonts w:ascii="Arial" w:cs="Arial" w:eastAsia="Arial" w:hAnsi="Arial"/>
          <w:sz w:val="18"/>
          <w:szCs w:val="18"/>
          <w:color w:val="auto"/>
        </w:rPr>
        <w:t>Directors, and subject to applicable law, shares of stock may be transferred on the books of the corporation:</w:t>
      </w:r>
    </w:p>
    <w:p>
      <w:pPr>
        <w:jc w:val="both"/>
        <w:ind w:left="160" w:right="139" w:hanging="9"/>
        <w:spacing w:after="0" w:line="212" w:lineRule="auto"/>
        <w:tabs>
          <w:tab w:leader="none" w:pos="4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 the case of shares represented by a certificate, by the surrender to the corporation or its transfer agent of the certificate representing such shares properly endorsed or accompanied by a written assignment or power of attorney properly executed, and with such proof of authority or authenticity of signature as the corporation or its transfer agent may reasonably require; and (ii) in the case of uncertificated shares, upon the receipt of proper transfer instructions from the registered owner thereof. Except as may be otherwise required by law, the Certificate of Incorporation or the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61" w:lineRule="exact"/>
        <w:rPr>
          <w:sz w:val="20"/>
          <w:szCs w:val="20"/>
          <w:color w:val="auto"/>
        </w:rPr>
      </w:pPr>
    </w:p>
    <w:p>
      <w:pPr>
        <w:jc w:val="both"/>
        <w:ind w:left="160" w:right="139" w:firstLine="648"/>
        <w:spacing w:after="0" w:line="206"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Lost, Stolen or Destroyed Certificates</w:t>
      </w:r>
      <w:r>
        <w:rPr>
          <w:rFonts w:ascii="Arial" w:cs="Arial" w:eastAsia="Arial" w:hAnsi="Arial"/>
          <w:sz w:val="20"/>
          <w:szCs w:val="20"/>
          <w:color w:val="auto"/>
        </w:rPr>
        <w:t>. The corporation may issue a new certificate in place of any previously issued certificate alleged to have been lost, stolen, or destroyed, or it may issue uncertificated shares if the shares represented by such certificate have been designated as uncertificated shares in accordance with Section 4.2, upon such terms and conditions as the Board of Directors may prescribe, including the presentation of reasonable evidence of such loss, theft or destruction and the giving of such indemnity as the Board of Directors may require for the protection of the corporation or any transfer agent or registrar.</w:t>
      </w:r>
    </w:p>
    <w:p>
      <w:pPr>
        <w:spacing w:after="0" w:line="158" w:lineRule="exact"/>
        <w:rPr>
          <w:sz w:val="20"/>
          <w:szCs w:val="20"/>
          <w:color w:val="auto"/>
        </w:rPr>
      </w:pPr>
    </w:p>
    <w:p>
      <w:pPr>
        <w:jc w:val="both"/>
        <w:ind w:left="160" w:right="139" w:firstLine="648"/>
        <w:spacing w:after="0" w:line="242" w:lineRule="auto"/>
        <w:rPr>
          <w:sz w:val="20"/>
          <w:szCs w:val="20"/>
          <w:color w:val="auto"/>
        </w:rPr>
      </w:pPr>
      <w:r>
        <w:rPr>
          <w:rFonts w:ascii="Arial" w:cs="Arial" w:eastAsia="Arial" w:hAnsi="Arial"/>
          <w:sz w:val="19"/>
          <w:szCs w:val="19"/>
          <w:color w:val="auto"/>
        </w:rPr>
        <w:t xml:space="preserve">1.47 </w:t>
      </w:r>
      <w:r>
        <w:rPr>
          <w:rFonts w:ascii="Arial" w:cs="Arial" w:eastAsia="Arial" w:hAnsi="Arial"/>
          <w:sz w:val="19"/>
          <w:szCs w:val="19"/>
          <w:u w:val="single" w:color="auto"/>
          <w:color w:val="auto"/>
        </w:rPr>
        <w:t>Record Dates</w:t>
      </w:r>
      <w:r>
        <w:rPr>
          <w:rFonts w:ascii="Arial" w:cs="Arial" w:eastAsia="Arial" w:hAnsi="Arial"/>
          <w:sz w:val="19"/>
          <w:szCs w:val="19"/>
          <w:color w:val="auto"/>
        </w:rPr>
        <w:t>. The Board of Directors may fix in advance a record date for the determination of the stockholders entitled to vote at any meeting of stockholders. Such record date shall</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4" w:right="1440" w:bottom="1440" w:gutter="0" w:footer="0" w:header="0"/>
        </w:sectPr>
      </w:pPr>
    </w:p>
    <w:bookmarkStart w:id="103" w:name="page104"/>
    <w:bookmarkEnd w:id="103"/>
    <w:p>
      <w:pPr>
        <w:jc w:val="both"/>
        <w:ind w:left="160" w:right="159"/>
        <w:spacing w:after="0" w:line="230" w:lineRule="auto"/>
        <w:rPr>
          <w:sz w:val="20"/>
          <w:szCs w:val="20"/>
          <w:color w:val="auto"/>
        </w:rPr>
      </w:pPr>
      <w:r>
        <w:rPr>
          <w:rFonts w:ascii="Arial" w:cs="Arial" w:eastAsia="Arial" w:hAnsi="Arial"/>
          <w:sz w:val="20"/>
          <w:szCs w:val="20"/>
          <w:color w:val="auto"/>
        </w:rPr>
        <w:t>not precede the date on which the resolution fixing the record date is adopted and shall not be more than 60 nor less than 10 days before the date of such meeting.</w:t>
      </w:r>
    </w:p>
    <w:p>
      <w:pPr>
        <w:spacing w:after="0" w:line="155" w:lineRule="exact"/>
        <w:rPr>
          <w:sz w:val="20"/>
          <w:szCs w:val="20"/>
          <w:color w:val="auto"/>
        </w:rPr>
      </w:pPr>
    </w:p>
    <w:p>
      <w:pPr>
        <w:jc w:val="both"/>
        <w:ind w:left="160" w:right="139" w:firstLine="648"/>
        <w:spacing w:after="0" w:line="213" w:lineRule="auto"/>
        <w:rPr>
          <w:sz w:val="20"/>
          <w:szCs w:val="20"/>
          <w:color w:val="auto"/>
        </w:rPr>
      </w:pPr>
      <w:r>
        <w:rPr>
          <w:rFonts w:ascii="Arial" w:cs="Arial" w:eastAsia="Arial" w:hAnsi="Arial"/>
          <w:sz w:val="20"/>
          <w:szCs w:val="20"/>
          <w:color w:val="auto"/>
        </w:rPr>
        <w:t>If no record date is fixed by the Board of Directors, the record date for determining the stockholders entitled to notice of or to vote at a meeting of stockholders shall be the close of business on the day before the date on which notice is given, or, if notice is waived, the close of business on the day before the date on which the meeting is held.</w:t>
      </w:r>
    </w:p>
    <w:p>
      <w:pPr>
        <w:spacing w:after="0" w:line="156" w:lineRule="exact"/>
        <w:rPr>
          <w:sz w:val="20"/>
          <w:szCs w:val="20"/>
          <w:color w:val="auto"/>
        </w:rPr>
      </w:pPr>
    </w:p>
    <w:p>
      <w:pPr>
        <w:jc w:val="both"/>
        <w:ind w:left="160" w:right="139" w:firstLine="648"/>
        <w:spacing w:after="0" w:line="207" w:lineRule="auto"/>
        <w:rPr>
          <w:sz w:val="20"/>
          <w:szCs w:val="20"/>
          <w:color w:val="auto"/>
        </w:rPr>
      </w:pPr>
      <w:r>
        <w:rPr>
          <w:rFonts w:ascii="Arial" w:cs="Arial" w:eastAsia="Arial" w:hAnsi="Arial"/>
          <w:sz w:val="20"/>
          <w:szCs w:val="20"/>
          <w:color w:val="auto"/>
        </w:rPr>
        <w:t>A determination of stockholders of record entitled to notice of or to vote at a meeting of stockholders shall apply to any adjournment of the meeting; provided, however,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the determination of stockholders entitled to vote in accordance with the foregoing provisions.</w:t>
      </w:r>
    </w:p>
    <w:p>
      <w:pPr>
        <w:spacing w:after="0" w:line="160" w:lineRule="exact"/>
        <w:rPr>
          <w:sz w:val="20"/>
          <w:szCs w:val="20"/>
          <w:color w:val="auto"/>
        </w:rPr>
      </w:pPr>
    </w:p>
    <w:p>
      <w:pPr>
        <w:jc w:val="both"/>
        <w:ind w:left="160" w:right="139" w:firstLine="648"/>
        <w:spacing w:after="0" w:line="214" w:lineRule="auto"/>
        <w:rPr>
          <w:sz w:val="20"/>
          <w:szCs w:val="20"/>
          <w:color w:val="auto"/>
        </w:rPr>
      </w:pPr>
      <w:r>
        <w:rPr>
          <w:rFonts w:ascii="Arial" w:cs="Arial" w:eastAsia="Arial" w:hAnsi="Arial"/>
          <w:sz w:val="19"/>
          <w:szCs w:val="19"/>
          <w:color w:val="auto"/>
        </w:rPr>
        <w:t>The Board of Directors may fix in advance a record date (a) for the determination of stockholders entitled to receive payment of any dividend or other distribution or allotment of any rights in respect of any change, concession or exchange of stock, or (b) for the purpose of any other lawful action. Any such record date shall not precede the date on which the resolution fixing the record date is adopted and shall not be more than 60 days prior to the action to which such record date relates. If no record date is fixed by the Board of Directors, the record date for determining stockholders entitled to express consent to corporate action in writing without a meeting when no prior action by the Board of Directors is necessary shall be the date on which the first written consent is expressed. The record date for determining stockholders for any other purpose shall be the close of business on the day on which the Board of Directors adopts the resolution relating to such purpose.</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V</w:t>
      </w:r>
    </w:p>
    <w:p>
      <w:pPr>
        <w:jc w:val="center"/>
        <w:ind w:right="-20"/>
        <w:spacing w:after="0"/>
        <w:rPr>
          <w:sz w:val="20"/>
          <w:szCs w:val="20"/>
          <w:color w:val="auto"/>
        </w:rPr>
      </w:pPr>
      <w:r>
        <w:rPr>
          <w:rFonts w:ascii="Arial" w:cs="Arial" w:eastAsia="Arial" w:hAnsi="Arial"/>
          <w:sz w:val="20"/>
          <w:szCs w:val="20"/>
          <w:b w:val="1"/>
          <w:bCs w:val="1"/>
          <w:color w:val="auto"/>
        </w:rPr>
        <w:t>GENERAL PROVISIONS</w:t>
      </w:r>
    </w:p>
    <w:p>
      <w:pPr>
        <w:spacing w:after="0" w:line="159" w:lineRule="exact"/>
        <w:rPr>
          <w:sz w:val="20"/>
          <w:szCs w:val="20"/>
          <w:color w:val="auto"/>
        </w:rPr>
      </w:pPr>
    </w:p>
    <w:p>
      <w:pPr>
        <w:ind w:left="800"/>
        <w:spacing w:after="0"/>
        <w:tabs>
          <w:tab w:leader="none" w:pos="152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as fixed by the Board of Directors.</w:t>
      </w:r>
    </w:p>
    <w:p>
      <w:pPr>
        <w:spacing w:after="0" w:line="175" w:lineRule="exact"/>
        <w:rPr>
          <w:sz w:val="20"/>
          <w:szCs w:val="20"/>
          <w:color w:val="auto"/>
        </w:rPr>
      </w:pPr>
    </w:p>
    <w:p>
      <w:pPr>
        <w:jc w:val="both"/>
        <w:ind w:left="160" w:right="139" w:firstLine="648"/>
        <w:spacing w:after="0" w:line="216" w:lineRule="auto"/>
        <w:rPr>
          <w:sz w:val="20"/>
          <w:szCs w:val="20"/>
          <w:color w:val="auto"/>
        </w:rPr>
      </w:pPr>
      <w:r>
        <w:rPr>
          <w:rFonts w:ascii="Arial" w:cs="Arial" w:eastAsia="Arial" w:hAnsi="Arial"/>
          <w:sz w:val="19"/>
          <w:szCs w:val="19"/>
          <w:color w:val="auto"/>
        </w:rPr>
        <w:t xml:space="preserve">1.49 </w:t>
      </w:r>
      <w:r>
        <w:rPr>
          <w:rFonts w:ascii="Arial" w:cs="Arial" w:eastAsia="Arial" w:hAnsi="Arial"/>
          <w:sz w:val="19"/>
          <w:szCs w:val="19"/>
          <w:u w:val="single" w:color="auto"/>
          <w:color w:val="auto"/>
        </w:rPr>
        <w:t>Waiver of Notice</w:t>
      </w:r>
      <w:r>
        <w:rPr>
          <w:rFonts w:ascii="Arial" w:cs="Arial" w:eastAsia="Arial" w:hAnsi="Arial"/>
          <w:sz w:val="19"/>
          <w:szCs w:val="19"/>
          <w:color w:val="auto"/>
        </w:rPr>
        <w:t>. Whenever any notice whatsoever is required to be given by law, by the Certificate of Incorporation or by these Bylaws, a waiver of such notice either in writing signed by the person entitled to such notice or such person’s duly authorized attorney, or by electronic transmission or any other method permitted under the Delaware General Corporation Law, whether before, at or after the time stated in such waiver, or the appearance of such person or persons at such meeting in person or by proxy, shall be deemed equivalent to such notice. Neither the business nor the purpose of any meeting need be specified in such a waiver. Attendance at any meeting shall constitute waiver of notice except attendance for the sole purpose of objecting to the timeliness or manner of notice.</w:t>
      </w:r>
    </w:p>
    <w:p>
      <w:pPr>
        <w:spacing w:after="0" w:line="156" w:lineRule="exact"/>
        <w:rPr>
          <w:sz w:val="20"/>
          <w:szCs w:val="20"/>
          <w:color w:val="auto"/>
        </w:rPr>
      </w:pPr>
    </w:p>
    <w:p>
      <w:pPr>
        <w:jc w:val="both"/>
        <w:ind w:left="160" w:right="139" w:firstLine="648"/>
        <w:spacing w:after="0" w:line="215" w:lineRule="auto"/>
        <w:rPr>
          <w:sz w:val="20"/>
          <w:szCs w:val="20"/>
          <w:color w:val="auto"/>
        </w:rPr>
      </w:pPr>
      <w:r>
        <w:rPr>
          <w:rFonts w:ascii="Arial" w:cs="Arial" w:eastAsia="Arial" w:hAnsi="Arial"/>
          <w:sz w:val="19"/>
          <w:szCs w:val="19"/>
          <w:color w:val="auto"/>
        </w:rPr>
        <w:t xml:space="preserve">1.50 </w:t>
      </w:r>
      <w:r>
        <w:rPr>
          <w:rFonts w:ascii="Arial" w:cs="Arial" w:eastAsia="Arial" w:hAnsi="Arial"/>
          <w:sz w:val="19"/>
          <w:szCs w:val="19"/>
          <w:u w:val="single" w:color="auto"/>
          <w:color w:val="auto"/>
        </w:rPr>
        <w:t>Actions with Respect to Securities of Other Corporations</w:t>
      </w:r>
      <w:r>
        <w:rPr>
          <w:rFonts w:ascii="Arial" w:cs="Arial" w:eastAsia="Arial" w:hAnsi="Arial"/>
          <w:sz w:val="19"/>
          <w:szCs w:val="19"/>
          <w:color w:val="auto"/>
        </w:rPr>
        <w:t>. Except as the Board of Directors may otherwise designate, the Chief Executive Officer or President or any officer of the corporation authorized by the Chief Executive Officer or President shall have the power to vote and otherwise act on behalf of the corporation, in person or by proxy, and may waive notice of, and act as, or appoint any person or persons to act as, proxy or attorney-in-fact to this corporation (with or without power of substitution) at any meeting of stockholders or shareholders (or with respect to any action of stockholders) of any other corporation or organization, the securities of which may be held by this corporation and otherwise to exercise any and all rights and powers that this corporation may possess by reason of this corporation’s ownership of securities in such other corporation or other organization.</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4" w:name="page105"/>
    <w:bookmarkEnd w:id="104"/>
    <w:p>
      <w:pPr>
        <w:jc w:val="both"/>
        <w:ind w:left="160" w:right="139" w:firstLine="648"/>
        <w:spacing w:after="0" w:line="213"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Evidence of Authority</w:t>
      </w:r>
      <w:r>
        <w:rPr>
          <w:rFonts w:ascii="Arial" w:cs="Arial" w:eastAsia="Arial" w:hAnsi="Arial"/>
          <w:sz w:val="20"/>
          <w:szCs w:val="20"/>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58" w:lineRule="exact"/>
        <w:rPr>
          <w:sz w:val="20"/>
          <w:szCs w:val="20"/>
          <w:color w:val="auto"/>
        </w:rPr>
      </w:pPr>
    </w:p>
    <w:p>
      <w:pPr>
        <w:jc w:val="both"/>
        <w:ind w:left="160" w:right="139" w:firstLine="648"/>
        <w:spacing w:after="0" w:line="218"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0"/>
          <w:szCs w:val="20"/>
          <w:u w:val="single" w:color="auto"/>
          <w:color w:val="auto"/>
        </w:rPr>
        <w:t>Certificate of Incorporation</w:t>
      </w:r>
      <w:r>
        <w:rPr>
          <w:rFonts w:ascii="Arial" w:cs="Arial" w:eastAsia="Arial" w:hAnsi="Arial"/>
          <w:sz w:val="20"/>
          <w:szCs w:val="20"/>
          <w:color w:val="auto"/>
        </w:rPr>
        <w:t>. All references in these Bylaws to the Certificate of Incorporation shall be deemed to refer to the Certificate of Incorporation of the corporation, as amended and in effect from time to time.</w:t>
      </w:r>
    </w:p>
    <w:p>
      <w:pPr>
        <w:spacing w:after="0" w:line="157" w:lineRule="exact"/>
        <w:rPr>
          <w:sz w:val="20"/>
          <w:szCs w:val="20"/>
          <w:color w:val="auto"/>
        </w:rPr>
      </w:pPr>
    </w:p>
    <w:p>
      <w:pPr>
        <w:jc w:val="both"/>
        <w:ind w:left="160" w:right="159" w:firstLine="648"/>
        <w:spacing w:after="0" w:line="229"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Severability</w:t>
      </w:r>
      <w:r>
        <w:rPr>
          <w:rFonts w:ascii="Arial" w:cs="Arial" w:eastAsia="Arial" w:hAnsi="Arial"/>
          <w:sz w:val="20"/>
          <w:szCs w:val="20"/>
          <w:color w:val="auto"/>
        </w:rPr>
        <w:t>. Any determination that any provision of these Bylaws is for any reason inapplicable, illegal or ineffective shall not affect or invalidate any other provision of these Bylaws.</w:t>
      </w:r>
    </w:p>
    <w:p>
      <w:pPr>
        <w:spacing w:after="0" w:line="155" w:lineRule="exact"/>
        <w:rPr>
          <w:sz w:val="20"/>
          <w:szCs w:val="20"/>
          <w:color w:val="auto"/>
        </w:rPr>
      </w:pPr>
    </w:p>
    <w:p>
      <w:pPr>
        <w:jc w:val="both"/>
        <w:ind w:left="160" w:right="139" w:firstLine="648"/>
        <w:spacing w:after="0" w:line="242" w:lineRule="auto"/>
        <w:rPr>
          <w:sz w:val="20"/>
          <w:szCs w:val="20"/>
          <w:color w:val="auto"/>
        </w:rPr>
      </w:pPr>
      <w:r>
        <w:rPr>
          <w:rFonts w:ascii="Arial" w:cs="Arial" w:eastAsia="Arial" w:hAnsi="Arial"/>
          <w:sz w:val="19"/>
          <w:szCs w:val="19"/>
          <w:color w:val="auto"/>
        </w:rPr>
        <w:t xml:space="preserve">1.54 </w:t>
      </w:r>
      <w:r>
        <w:rPr>
          <w:rFonts w:ascii="Arial" w:cs="Arial" w:eastAsia="Arial" w:hAnsi="Arial"/>
          <w:sz w:val="19"/>
          <w:szCs w:val="19"/>
          <w:u w:val="single" w:color="auto"/>
          <w:color w:val="auto"/>
        </w:rPr>
        <w:t>Pronouns</w:t>
      </w:r>
      <w:r>
        <w:rPr>
          <w:rFonts w:ascii="Arial" w:cs="Arial" w:eastAsia="Arial" w:hAnsi="Arial"/>
          <w:sz w:val="19"/>
          <w:szCs w:val="19"/>
          <w:color w:val="auto"/>
        </w:rPr>
        <w:t>. All pronouns used in these Bylaws shall be deemed to refer to the masculine, feminine or neuter, singular or plural, as the identity of the person or persons may require.</w:t>
      </w:r>
    </w:p>
    <w:p>
      <w:pPr>
        <w:spacing w:after="0" w:line="154" w:lineRule="exact"/>
        <w:rPr>
          <w:sz w:val="20"/>
          <w:szCs w:val="20"/>
          <w:color w:val="auto"/>
        </w:rPr>
      </w:pPr>
    </w:p>
    <w:p>
      <w:pPr>
        <w:jc w:val="both"/>
        <w:ind w:left="160" w:right="139" w:firstLine="648"/>
        <w:spacing w:after="0" w:line="222"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specifically provided herein or required by law, all notices required to be given to any stockholder, director, officer, employee or agent of the corporation shall be in writing and may in every instance be effectively given by hand delivery to the recipient thereof, by depositing such notice in the mails, postage paid, or by sending such notice by commercial courier service, or by facsimile or other electronic transmission, provided that notice to stockholders by electronic transmission shall be given in the manner provided in Section 232 of the Delaware General Corporation Law. Any such notice shall be addressed to such stockholder, director, officer, employee or agent at his last known address as the same appears on the books of the corporation. The time when such notice shall be deemed to be given shall be the time such notice is received by such stockholder, director, officer, employee or agent, or by any person accepting such notice on behalf of such person, if delivered by hand, facsimile, other electronic transmission or commercial courier service, or the time such notice is dispatched, if delivered through the mails. Without limiting the manner by which notice otherwise may be given effectively, notice to any stockholder shall be deemed given: (a) if by facsimile,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specific posting, upon the later of (i) such posting and (ii) the giving of such separate notice; (d) if by any other form of electronic transmission, when directed to the stockholder; and (e) if by mail, when deposited in the mail, postage prepaid, directed to the stockholder at such stockholder’s address as it appears on the records of the corporation.</w:t>
      </w:r>
    </w:p>
    <w:p>
      <w:pPr>
        <w:spacing w:after="0" w:line="171" w:lineRule="exact"/>
        <w:rPr>
          <w:sz w:val="20"/>
          <w:szCs w:val="20"/>
          <w:color w:val="auto"/>
        </w:rPr>
      </w:pPr>
    </w:p>
    <w:p>
      <w:pPr>
        <w:jc w:val="both"/>
        <w:ind w:left="160" w:right="139" w:firstLine="648"/>
        <w:spacing w:after="0" w:line="233"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each member of any committee designated by the Board of Directors, and each officer of the corporation shall, in the performance of his duties, be fully protected in relying in good faith upon the books of account or other records of the corporation as provided by law, including reports made to the corporation by any of its officers, by an independent certified public accountant, or by an appraiser selected with reasonable care.</w:t>
      </w:r>
    </w:p>
    <w:p>
      <w:pPr>
        <w:spacing w:after="0" w:line="157" w:lineRule="exact"/>
        <w:rPr>
          <w:sz w:val="20"/>
          <w:szCs w:val="20"/>
          <w:color w:val="auto"/>
        </w:rPr>
      </w:pPr>
    </w:p>
    <w:p>
      <w:pPr>
        <w:jc w:val="both"/>
        <w:ind w:left="160" w:right="139" w:firstLine="648"/>
        <w:spacing w:after="0" w:line="213" w:lineRule="auto"/>
        <w:rPr>
          <w:sz w:val="20"/>
          <w:szCs w:val="20"/>
          <w:color w:val="auto"/>
        </w:rPr>
      </w:pPr>
      <w:r>
        <w:rPr>
          <w:rFonts w:ascii="Arial" w:cs="Arial" w:eastAsia="Arial" w:hAnsi="Arial"/>
          <w:sz w:val="20"/>
          <w:szCs w:val="20"/>
          <w:color w:val="auto"/>
        </w:rPr>
        <w:t xml:space="preserve">1.57 </w:t>
      </w:r>
      <w:r>
        <w:rPr>
          <w:rFonts w:ascii="Arial" w:cs="Arial" w:eastAsia="Arial" w:hAnsi="Arial"/>
          <w:sz w:val="20"/>
          <w:szCs w:val="20"/>
          <w:u w:val="single" w:color="auto"/>
          <w:color w:val="auto"/>
        </w:rPr>
        <w:t>Time Periods</w:t>
      </w:r>
      <w:r>
        <w:rPr>
          <w:rFonts w:ascii="Arial" w:cs="Arial" w:eastAsia="Arial" w:hAnsi="Arial"/>
          <w:sz w:val="20"/>
          <w:szCs w:val="20"/>
          <w:color w:val="auto"/>
        </w:rPr>
        <w:t>. In applying any provision of these Bylaws which require that an act be done or not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56" w:lineRule="exact"/>
        <w:rPr>
          <w:sz w:val="20"/>
          <w:szCs w:val="20"/>
          <w:color w:val="auto"/>
        </w:rPr>
      </w:pPr>
    </w:p>
    <w:p>
      <w:pPr>
        <w:jc w:val="both"/>
        <w:ind w:left="160" w:right="139" w:firstLine="648"/>
        <w:spacing w:after="0" w:line="230" w:lineRule="auto"/>
        <w:rPr>
          <w:sz w:val="20"/>
          <w:szCs w:val="20"/>
          <w:color w:val="auto"/>
        </w:rPr>
      </w:pPr>
      <w:r>
        <w:rPr>
          <w:rFonts w:ascii="Arial" w:cs="Arial" w:eastAsia="Arial" w:hAnsi="Arial"/>
          <w:sz w:val="19"/>
          <w:szCs w:val="19"/>
          <w:color w:val="auto"/>
        </w:rPr>
        <w:t xml:space="preserve">1.58 </w:t>
      </w:r>
      <w:r>
        <w:rPr>
          <w:rFonts w:ascii="Arial" w:cs="Arial" w:eastAsia="Arial" w:hAnsi="Arial"/>
          <w:sz w:val="19"/>
          <w:szCs w:val="19"/>
          <w:u w:val="single" w:color="auto"/>
          <w:color w:val="auto"/>
        </w:rPr>
        <w:t>Facsimile Signatures</w:t>
      </w:r>
      <w:r>
        <w:rPr>
          <w:rFonts w:ascii="Arial" w:cs="Arial" w:eastAsia="Arial" w:hAnsi="Arial"/>
          <w:sz w:val="19"/>
          <w:szCs w:val="19"/>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20"/>
          <w:szCs w:val="20"/>
          <w:b w:val="1"/>
          <w:bCs w:val="1"/>
          <w:color w:val="auto"/>
        </w:rPr>
        <w:t>ARTICLE VI</w:t>
      </w:r>
    </w:p>
    <w:p>
      <w:pPr>
        <w:jc w:val="center"/>
        <w:ind w:right="-20"/>
        <w:spacing w:after="0"/>
        <w:rPr>
          <w:sz w:val="20"/>
          <w:szCs w:val="20"/>
          <w:color w:val="auto"/>
        </w:rPr>
      </w:pPr>
      <w:r>
        <w:rPr>
          <w:rFonts w:ascii="Arial" w:cs="Arial" w:eastAsia="Arial" w:hAnsi="Arial"/>
          <w:sz w:val="20"/>
          <w:szCs w:val="20"/>
          <w:b w:val="1"/>
          <w:bCs w:val="1"/>
          <w:color w:val="auto"/>
        </w:rPr>
        <w:t>AMENDMENTS</w:t>
      </w:r>
    </w:p>
    <w:p>
      <w:pPr>
        <w:spacing w:after="0" w:line="159" w:lineRule="exact"/>
        <w:rPr>
          <w:sz w:val="20"/>
          <w:szCs w:val="20"/>
          <w:color w:val="auto"/>
        </w:rPr>
      </w:pPr>
    </w:p>
    <w:p>
      <w:pPr>
        <w:jc w:val="both"/>
        <w:ind w:left="160" w:right="139" w:firstLine="648"/>
        <w:spacing w:after="0" w:line="244"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u w:val="single" w:color="auto"/>
          <w:color w:val="auto"/>
        </w:rPr>
        <w:t>By the Board of Directors</w:t>
      </w:r>
      <w:r>
        <w:rPr>
          <w:rFonts w:ascii="Arial" w:cs="Arial" w:eastAsia="Arial" w:hAnsi="Arial"/>
          <w:sz w:val="18"/>
          <w:szCs w:val="18"/>
          <w:color w:val="auto"/>
        </w:rPr>
        <w:t>. Except as otherwise set forth in these Bylaws, these Bylaws may be altered, amended or repealed or new Bylaws may be adopted by the affirmative vote of a majority of the directors present at any regular or special meeting of the Board of Directors at which a quorum is present.</w:t>
      </w:r>
    </w:p>
    <w:p>
      <w:pPr>
        <w:spacing w:after="0" w:line="152" w:lineRule="exact"/>
        <w:rPr>
          <w:sz w:val="20"/>
          <w:szCs w:val="20"/>
          <w:color w:val="auto"/>
        </w:rPr>
      </w:pPr>
    </w:p>
    <w:p>
      <w:pPr>
        <w:jc w:val="both"/>
        <w:ind w:left="160" w:right="139" w:firstLine="648"/>
        <w:spacing w:after="0" w:line="229" w:lineRule="auto"/>
        <w:rPr>
          <w:sz w:val="20"/>
          <w:szCs w:val="20"/>
          <w:color w:val="auto"/>
        </w:rPr>
      </w:pPr>
      <w:r>
        <w:rPr>
          <w:rFonts w:ascii="Arial" w:cs="Arial" w:eastAsia="Arial" w:hAnsi="Arial"/>
          <w:sz w:val="18"/>
          <w:szCs w:val="18"/>
          <w:color w:val="auto"/>
        </w:rPr>
        <w:t xml:space="preserve">1.60 </w:t>
      </w:r>
      <w:r>
        <w:rPr>
          <w:rFonts w:ascii="Arial" w:cs="Arial" w:eastAsia="Arial" w:hAnsi="Arial"/>
          <w:sz w:val="18"/>
          <w:szCs w:val="18"/>
          <w:u w:val="single" w:color="auto"/>
          <w:color w:val="auto"/>
        </w:rPr>
        <w:t>By the Stockholders</w:t>
      </w:r>
      <w:r>
        <w:rPr>
          <w:rFonts w:ascii="Arial" w:cs="Arial" w:eastAsia="Arial" w:hAnsi="Arial"/>
          <w:sz w:val="18"/>
          <w:szCs w:val="18"/>
          <w:color w:val="auto"/>
        </w:rPr>
        <w:t>. Except as otherwise set forth in these Bylaws, these Bylaws may be altered, amended or repealed or new Bylaws may be adopted by the affirmative vote of the holders of at least sixty-six and two-thirds percent (66-2/3%) of the voting power of all of the shares of capital stock of the corporation issued and outstanding and entitled to vote generally in any election of directors, voting together as a single class. Such vote may be held at any annual meeting of stockholders, or at any special meeting of stockholders provided that notice of such alteration, amendment, repeal or adoption of new Bylaws shall have been stated in the notice of such special meeting.</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VII</w:t>
      </w:r>
    </w:p>
    <w:p>
      <w:pPr>
        <w:jc w:val="center"/>
        <w:ind w:right="-20"/>
        <w:spacing w:after="0"/>
        <w:rPr>
          <w:sz w:val="20"/>
          <w:szCs w:val="20"/>
          <w:color w:val="auto"/>
        </w:rPr>
      </w:pPr>
      <w:r>
        <w:rPr>
          <w:rFonts w:ascii="Arial" w:cs="Arial" w:eastAsia="Arial" w:hAnsi="Arial"/>
          <w:sz w:val="20"/>
          <w:szCs w:val="20"/>
          <w:b w:val="1"/>
          <w:bCs w:val="1"/>
          <w:color w:val="auto"/>
        </w:rPr>
        <w:t>INDEMNIFICATION OF DIRECTORS AND OFFICERS</w:t>
      </w:r>
    </w:p>
    <w:p>
      <w:pPr>
        <w:spacing w:after="0" w:line="159" w:lineRule="exact"/>
        <w:rPr>
          <w:sz w:val="20"/>
          <w:szCs w:val="20"/>
          <w:color w:val="auto"/>
        </w:rPr>
      </w:pPr>
    </w:p>
    <w:p>
      <w:pPr>
        <w:jc w:val="both"/>
        <w:ind w:left="160" w:right="139" w:firstLine="648"/>
        <w:spacing w:after="0" w:line="221"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Right to Indemnification</w:t>
      </w:r>
      <w:r>
        <w:rPr>
          <w:rFonts w:ascii="Arial" w:cs="Arial" w:eastAsia="Arial" w:hAnsi="Arial"/>
          <w:sz w:val="18"/>
          <w:szCs w:val="18"/>
          <w:color w:val="auto"/>
        </w:rPr>
        <w:t>. Each person who was or is made a party or is threatened to be made a party to or is involved in any action, suit or proceeding, whether civil, criminal, administrative or investigative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by reason of the fact that he or a person of whom he is the legal representative, is or was a director or officer of the corporation or is or was serving at the request of the corporation as a director or officer of another corporation, or as a controlling person of a partnership, joint venture, trust or other enterprise, including service with respect to employee benefit plans, whether the basis of such proceeding is alleged action in an official capacity as a director or officer, or in any other capacity while serving as a director or officer,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reasonably incurred or suffered by such person in connection therewith and such indemnification shall continue as to a person who has ceased to be a director or officer and shall inure to the benefit of his heirs, executors and administrators; provided, that except as provided in Section 7.2 of this Article VII, the corporation shall indemnify any such person seeking indemnity in connection with a proceeding (or part thereof) initiated by such person only if (a) such indemnification is expressly required to be made by law, (b) the proceeding (or part thereof) was authorized by the Board of Directors, (c) such indemnification is provided by the corporation, in its sole discretion, pursuant to the powers vested in the corporation under the Delaware General Corporation Law, or (d) the proceeding (or part thereof) is brought to establish or enforce a right to indemnification or advancement under an indemnity agreement or any other statute or law or otherwise as required under Section 145 of the Delaware General Corporation Law. The rights hereunder shall be contract rights and shall include the right to be paid expenses incurred in defending any such proceeding in advance of its final disposition; provided, that the payment of such expenses incurred by a director or officer of the corporation in his capacity as a director or officer (and not in any other capacity in which service was or is tendered by such person while a director or officer, including, without limitation, service to an employee benefit plan) in advance of the final disposition of such proceeding, shall be made only upon delivery to the corporation of an undertaking, by or on behalf of such director or officer, to repay all amounts so advanced if it should be determined ultimately by final judicial decision from which there is no further right to appeal that such director or officer is not entitled to be indemnified under this section or otherwise.</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4" w:right="1440" w:bottom="1440" w:gutter="0" w:footer="0" w:header="0"/>
        </w:sectPr>
      </w:pPr>
    </w:p>
    <w:bookmarkStart w:id="106" w:name="page107"/>
    <w:bookmarkEnd w:id="106"/>
    <w:p>
      <w:pPr>
        <w:jc w:val="both"/>
        <w:ind w:left="160" w:right="139" w:firstLine="648"/>
        <w:spacing w:after="0" w:line="222"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Right of Claimant to Bring Suit</w:t>
      </w:r>
      <w:r>
        <w:rPr>
          <w:rFonts w:ascii="Arial" w:cs="Arial" w:eastAsia="Arial" w:hAnsi="Arial"/>
          <w:sz w:val="18"/>
          <w:szCs w:val="18"/>
          <w:color w:val="auto"/>
        </w:rPr>
        <w:t>. If a claim under Section 7.1 is not paid in full by the corporation within 60 days after a written claim has been received by the corporation, or 20 days in the case of a claim for advancement of expenses, the claimant may at any time thereafter bring suit against the corporation to recover the unpaid amount of the claim and, if such suit is not frivolous or brought in bad faith,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has been tendered to this corporation) that the claimant has not met the standards of conduct which make it permissible under the Delaware General Corporation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the corporation to recover an advancement of expenses pursuant to the terms of an undertaking, the corporation shall be entitled to recover such expenses upon a final judicial decision from which there is no further right to appeal that the indemnitee has not met any applicable standard for indemnification set forth in the Delaware General Corporation Law.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shall be on the corporation.</w:t>
      </w:r>
    </w:p>
    <w:p>
      <w:pPr>
        <w:spacing w:after="0" w:line="163" w:lineRule="exact"/>
        <w:rPr>
          <w:sz w:val="20"/>
          <w:szCs w:val="20"/>
          <w:color w:val="auto"/>
        </w:rPr>
      </w:pPr>
    </w:p>
    <w:p>
      <w:pPr>
        <w:jc w:val="both"/>
        <w:ind w:left="160" w:right="139" w:firstLine="648"/>
        <w:spacing w:after="0" w:line="210"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u w:val="single" w:color="auto"/>
          <w:color w:val="auto"/>
        </w:rPr>
        <w:t>Indemnification of Employees and Agents</w:t>
      </w:r>
      <w:r>
        <w:rPr>
          <w:rFonts w:ascii="Arial" w:cs="Arial" w:eastAsia="Arial" w:hAnsi="Arial"/>
          <w:sz w:val="20"/>
          <w:szCs w:val="20"/>
          <w:color w:val="auto"/>
        </w:rPr>
        <w:t>. The corporation may, to the extent authorized from time to time by the Board of Directors, grant rights to indemnification, and to the advancement of related expenses, to any employee or agent of the corporation to the fullest extent of the provisions of this Article VII with respect to the indemnification of and advancement of expenses to directors and officers of the corporation.</w:t>
      </w:r>
    </w:p>
    <w:p>
      <w:pPr>
        <w:spacing w:after="0" w:line="155" w:lineRule="exact"/>
        <w:rPr>
          <w:sz w:val="20"/>
          <w:szCs w:val="20"/>
          <w:color w:val="auto"/>
        </w:rPr>
      </w:pPr>
    </w:p>
    <w:p>
      <w:pPr>
        <w:jc w:val="both"/>
        <w:ind w:left="160" w:right="159" w:firstLine="648"/>
        <w:spacing w:after="0" w:line="213"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20"/>
          <w:szCs w:val="20"/>
          <w:u w:val="single" w:color="auto"/>
          <w:color w:val="auto"/>
        </w:rPr>
        <w:t>Non-Exclusivity of Rights</w:t>
      </w:r>
      <w:r>
        <w:rPr>
          <w:rFonts w:ascii="Arial" w:cs="Arial" w:eastAsia="Arial" w:hAnsi="Arial"/>
          <w:sz w:val="20"/>
          <w:szCs w:val="20"/>
          <w:color w:val="auto"/>
        </w:rPr>
        <w:t>. The rights conferred on any person in this Article VII shall not be exclusive of any other right which such persons may have or hereafter acquire under any statute, provision of the Certificate of Incorporation, Bylaw, agreement, vote of stockholders or disinterested directors or otherwise.</w:t>
      </w:r>
    </w:p>
    <w:p>
      <w:pPr>
        <w:spacing w:after="0" w:line="156" w:lineRule="exact"/>
        <w:rPr>
          <w:sz w:val="20"/>
          <w:szCs w:val="20"/>
          <w:color w:val="auto"/>
        </w:rPr>
      </w:pPr>
    </w:p>
    <w:p>
      <w:pPr>
        <w:jc w:val="both"/>
        <w:ind w:left="160" w:right="159" w:firstLine="648"/>
        <w:spacing w:after="0" w:line="233"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Indemnification Contracts</w:t>
      </w:r>
      <w:r>
        <w:rPr>
          <w:rFonts w:ascii="Arial" w:cs="Arial" w:eastAsia="Arial" w:hAnsi="Arial"/>
          <w:sz w:val="18"/>
          <w:szCs w:val="18"/>
          <w:color w:val="auto"/>
        </w:rPr>
        <w:t>. The Board of Directors is authorized to enter into a contract with any director, officer, employee or agent of the corporation, or any person serving at the request of the corporation as a director, officer, employee or agent of another corporation, partnership, joint venture, trust or other enterprise, including employee benefit plans, providing for indemnification rights equivalent to or, if the Board of Directors so determines, greater than, those provided for in this Article VII.</w:t>
      </w:r>
    </w:p>
    <w:p>
      <w:pPr>
        <w:spacing w:after="0" w:line="157" w:lineRule="exact"/>
        <w:rPr>
          <w:sz w:val="20"/>
          <w:szCs w:val="20"/>
          <w:color w:val="auto"/>
        </w:rPr>
      </w:pPr>
    </w:p>
    <w:p>
      <w:pPr>
        <w:jc w:val="both"/>
        <w:ind w:left="160" w:right="159" w:firstLine="648"/>
        <w:spacing w:after="0" w:line="210" w:lineRule="auto"/>
        <w:rPr>
          <w:sz w:val="20"/>
          <w:szCs w:val="20"/>
          <w:color w:val="auto"/>
        </w:rPr>
      </w:pPr>
      <w:r>
        <w:rPr>
          <w:rFonts w:ascii="Arial" w:cs="Arial" w:eastAsia="Arial" w:hAnsi="Arial"/>
          <w:sz w:val="20"/>
          <w:szCs w:val="20"/>
          <w:color w:val="auto"/>
        </w:rPr>
        <w:t xml:space="preserve">1.66 </w:t>
      </w:r>
      <w:r>
        <w:rPr>
          <w:rFonts w:ascii="Arial" w:cs="Arial" w:eastAsia="Arial" w:hAnsi="Arial"/>
          <w:sz w:val="20"/>
          <w:szCs w:val="20"/>
          <w:u w:val="single" w:color="auto"/>
          <w:color w:val="auto"/>
        </w:rPr>
        <w:t>Insurance</w:t>
      </w:r>
      <w:r>
        <w:rPr>
          <w:rFonts w:ascii="Arial" w:cs="Arial" w:eastAsia="Arial" w:hAnsi="Arial"/>
          <w:sz w:val="20"/>
          <w:szCs w:val="20"/>
          <w:color w:val="auto"/>
        </w:rPr>
        <w:t>. The corporation shall maintain insurance to the extent reasonably available, at its expense, to protect itself and any such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155" w:lineRule="exact"/>
        <w:rPr>
          <w:sz w:val="20"/>
          <w:szCs w:val="20"/>
          <w:color w:val="auto"/>
        </w:rPr>
      </w:pPr>
    </w:p>
    <w:p>
      <w:pPr>
        <w:jc w:val="both"/>
        <w:ind w:left="160" w:right="159" w:firstLine="648"/>
        <w:spacing w:after="0" w:line="218" w:lineRule="auto"/>
        <w:rPr>
          <w:sz w:val="20"/>
          <w:szCs w:val="20"/>
          <w:color w:val="auto"/>
        </w:rPr>
      </w:pPr>
      <w:r>
        <w:rPr>
          <w:rFonts w:ascii="Arial" w:cs="Arial" w:eastAsia="Arial" w:hAnsi="Arial"/>
          <w:sz w:val="20"/>
          <w:szCs w:val="20"/>
          <w:color w:val="auto"/>
        </w:rPr>
        <w:t xml:space="preserve">1.67 </w:t>
      </w:r>
      <w:r>
        <w:rPr>
          <w:rFonts w:ascii="Arial" w:cs="Arial" w:eastAsia="Arial" w:hAnsi="Arial"/>
          <w:sz w:val="20"/>
          <w:szCs w:val="20"/>
          <w:u w:val="single" w:color="auto"/>
          <w:color w:val="auto"/>
        </w:rPr>
        <w:t>Effect of Amendment</w:t>
      </w:r>
      <w:r>
        <w:rPr>
          <w:rFonts w:ascii="Arial" w:cs="Arial" w:eastAsia="Arial" w:hAnsi="Arial"/>
          <w:sz w:val="20"/>
          <w:szCs w:val="20"/>
          <w:color w:val="auto"/>
        </w:rPr>
        <w:t>. Any amendment, repeal or modification of any provision of this Article VII shall not adversely affect any right or protection of an indemnitee or his successor in respect of any act or omission occurring prior to such amendment, repeal or modification.</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20"/>
          <w:szCs w:val="20"/>
          <w:b w:val="1"/>
          <w:bCs w:val="1"/>
          <w:color w:val="auto"/>
        </w:rPr>
        <w:t>ARTICLE VIII</w:t>
      </w:r>
    </w:p>
    <w:p>
      <w:pPr>
        <w:jc w:val="center"/>
        <w:ind w:right="-20"/>
        <w:spacing w:after="0"/>
        <w:rPr>
          <w:sz w:val="20"/>
          <w:szCs w:val="20"/>
          <w:color w:val="auto"/>
        </w:rPr>
      </w:pPr>
      <w:r>
        <w:rPr>
          <w:rFonts w:ascii="Arial" w:cs="Arial" w:eastAsia="Arial" w:hAnsi="Arial"/>
          <w:sz w:val="20"/>
          <w:szCs w:val="20"/>
          <w:b w:val="1"/>
          <w:bCs w:val="1"/>
          <w:color w:val="auto"/>
        </w:rPr>
        <w:t>FORUM FOR ADJUDICATION OF DISPUTES</w:t>
      </w:r>
    </w:p>
    <w:p>
      <w:pPr>
        <w:spacing w:after="0" w:line="132" w:lineRule="exact"/>
        <w:rPr>
          <w:sz w:val="20"/>
          <w:szCs w:val="20"/>
          <w:color w:val="auto"/>
        </w:rPr>
      </w:pPr>
    </w:p>
    <w:p>
      <w:pPr>
        <w:jc w:val="both"/>
        <w:ind w:left="160" w:right="139" w:firstLine="648"/>
        <w:spacing w:after="0" w:line="22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Forum for Adjudication of Disputes</w:t>
      </w:r>
      <w:r>
        <w:rPr>
          <w:rFonts w:ascii="Arial" w:cs="Arial" w:eastAsia="Arial" w:hAnsi="Arial"/>
          <w:sz w:val="18"/>
          <w:szCs w:val="18"/>
          <w:color w:val="auto"/>
        </w:rPr>
        <w:t>. Unless the corporation consents in writing to the selection of an alternative forum,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arising pursuant to any provision of the Delaware General Corporation Law, or (iv) any action asserting a claim governed by the internal affairs doctrine (each, an “Action”) shall be a state or federal court located within the state of Delaware (a “Chosen Court”), in all cases subject to the court’s having personal jurisdiction over the indispensable parties named as defendants. Any person or entity purchasing or otherwise acquiring any interest in shares of capital stock of the corporation shall be deemed to have notice of and consented to the provisions of this bylaw.</w:t>
      </w:r>
    </w:p>
    <w:p>
      <w:pPr>
        <w:spacing w:after="0" w:line="13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4"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rPr>
          <w:sz w:val="20"/>
          <w:szCs w:val="20"/>
          <w:color w:val="auto"/>
        </w:rPr>
      </w:pPr>
      <w:r>
        <w:rPr>
          <w:rFonts w:ascii="Arial" w:cs="Arial" w:eastAsia="Arial" w:hAnsi="Arial"/>
          <w:sz w:val="18"/>
          <w:szCs w:val="18"/>
          <w:color w:val="auto"/>
        </w:rPr>
        <w:t>Paylocity Holding Corporation:</w:t>
      </w:r>
    </w:p>
    <w:p>
      <w:pPr>
        <w:spacing w:after="0" w:line="277" w:lineRule="exact"/>
        <w:rPr>
          <w:sz w:val="20"/>
          <w:szCs w:val="20"/>
          <w:color w:val="auto"/>
        </w:rPr>
      </w:pPr>
    </w:p>
    <w:p>
      <w:pPr>
        <w:jc w:val="both"/>
        <w:spacing w:after="0" w:line="178" w:lineRule="exact"/>
        <w:rPr>
          <w:sz w:val="20"/>
          <w:szCs w:val="20"/>
          <w:color w:val="auto"/>
        </w:rPr>
      </w:pPr>
      <w:r>
        <w:rPr>
          <w:rFonts w:ascii="Arial" w:cs="Arial" w:eastAsia="Arial" w:hAnsi="Arial"/>
          <w:sz w:val="18"/>
          <w:szCs w:val="18"/>
          <w:color w:val="auto"/>
        </w:rPr>
        <w:t>We consent to the incorporation by reference in the registration statements (No. 333</w:t>
      </w:r>
      <w:r>
        <w:rPr>
          <w:rFonts w:ascii="MS PGothic" w:cs="MS PGothic" w:eastAsia="MS PGothic" w:hAnsi="MS PGothic"/>
          <w:sz w:val="18"/>
          <w:szCs w:val="18"/>
          <w:color w:val="auto"/>
        </w:rPr>
        <w:t>‑</w:t>
      </w:r>
      <w:r>
        <w:rPr>
          <w:rFonts w:ascii="Arial" w:cs="Arial" w:eastAsia="Arial" w:hAnsi="Arial"/>
          <w:sz w:val="18"/>
          <w:szCs w:val="18"/>
          <w:color w:val="auto"/>
        </w:rPr>
        <w:t>194840, No. 333-201983, No. 333-209520 and No. 333-216001) on Form S-8 of Paylocity Holding Corporation and subsidiary (the Company) of our report dated August 11, 2017, with respect to the consolidated balance sheets of the Company as of June 30, 2016 and 2017, and the related consolidated statements of operations, stockholders’ equity, and cash flows for each of the years in the three-year period ended June 30, 2017, and the effectiveness of internal control over financial reporting as of June 30, 2017, which report appears in the June 30, 2017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Paylocity Holding Corporation and subsidiary.</w:t>
      </w:r>
    </w:p>
    <w:p>
      <w:pPr>
        <w:jc w:val="center"/>
        <w:spacing w:after="0" w:line="207" w:lineRule="auto"/>
        <w:rPr>
          <w:sz w:val="20"/>
          <w:szCs w:val="20"/>
          <w:color w:val="auto"/>
        </w:rPr>
      </w:pPr>
      <w:r>
        <w:rPr>
          <w:rFonts w:ascii="Arial" w:cs="Arial" w:eastAsia="Arial" w:hAnsi="Arial"/>
          <w:sz w:val="18"/>
          <w:szCs w:val="18"/>
          <w:color w:val="auto"/>
        </w:rPr>
        <w:t>/s/ KPMG LLP</w:t>
      </w:r>
    </w:p>
    <w:p>
      <w:pPr>
        <w:spacing w:after="0" w:line="204" w:lineRule="auto"/>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August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690880</wp:posOffset>
            </wp:positionV>
            <wp:extent cx="6388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right="240" w:firstLine="651"/>
        <w:spacing w:after="0" w:line="235" w:lineRule="auto"/>
        <w:tabs>
          <w:tab w:leader="none" w:pos="10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Paylocity Holding Corporation (the “Company”) for the year ended June 30, 2017;</w:t>
      </w:r>
    </w:p>
    <w:p>
      <w:pPr>
        <w:spacing w:after="0" w:line="121" w:lineRule="exact"/>
        <w:rPr>
          <w:rFonts w:ascii="Arial" w:cs="Arial" w:eastAsia="Arial" w:hAnsi="Arial"/>
          <w:sz w:val="18"/>
          <w:szCs w:val="18"/>
          <w:color w:val="auto"/>
        </w:rPr>
      </w:pPr>
    </w:p>
    <w:p>
      <w:pPr>
        <w:jc w:val="both"/>
        <w:ind w:right="160" w:firstLine="651"/>
        <w:spacing w:after="0" w:line="224" w:lineRule="auto"/>
        <w:tabs>
          <w:tab w:leader="none" w:pos="10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right="40" w:firstLine="651"/>
        <w:spacing w:after="0" w:line="224" w:lineRule="auto"/>
        <w:tabs>
          <w:tab w:leader="none" w:pos="10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40" w:firstLine="651"/>
        <w:spacing w:after="0" w:line="259" w:lineRule="auto"/>
        <w:tabs>
          <w:tab w:leader="none" w:pos="100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660" w:right="120" w:firstLine="639"/>
        <w:spacing w:after="0" w:line="219" w:lineRule="auto"/>
        <w:tabs>
          <w:tab w:leader="none" w:pos="165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60" w:firstLine="639"/>
        <w:spacing w:after="0" w:line="219" w:lineRule="auto"/>
        <w:tabs>
          <w:tab w:leader="none" w:pos="16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80" w:firstLine="639"/>
        <w:spacing w:after="0" w:line="224" w:lineRule="auto"/>
        <w:tabs>
          <w:tab w:leader="none" w:pos="1658"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60" w:firstLine="639"/>
        <w:spacing w:after="0" w:line="238" w:lineRule="auto"/>
        <w:tabs>
          <w:tab w:leader="none" w:pos="1668" w:val="left"/>
        </w:tabs>
        <w:numPr>
          <w:ilvl w:val="1"/>
          <w:numId w:val="6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year ended June 30, 2017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ind w:right="180" w:firstLine="651"/>
        <w:spacing w:after="0" w:line="224" w:lineRule="auto"/>
        <w:tabs>
          <w:tab w:leader="none" w:pos="10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60" w:firstLine="639"/>
        <w:spacing w:after="0" w:line="224" w:lineRule="auto"/>
        <w:tabs>
          <w:tab w:leader="none" w:pos="16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40" w:firstLine="639"/>
        <w:spacing w:after="0" w:line="235" w:lineRule="auto"/>
        <w:tabs>
          <w:tab w:leader="none" w:pos="165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20"/>
                <w:szCs w:val="20"/>
                <w:color w:val="auto"/>
              </w:rPr>
            </w:pPr>
            <w:r>
              <w:rPr>
                <w:rFonts w:ascii="Arial" w:cs="Arial" w:eastAsia="Arial" w:hAnsi="Arial"/>
                <w:sz w:val="18"/>
                <w:szCs w:val="18"/>
                <w:color w:val="auto"/>
              </w:rPr>
              <w:t>Date: August 11, 2017</w:t>
            </w:r>
          </w:p>
        </w:tc>
        <w:tc>
          <w:tcPr>
            <w:tcW w:w="3920" w:type="dxa"/>
            <w:vAlign w:val="bottom"/>
          </w:tcPr>
          <w:p>
            <w:pPr>
              <w:jc w:val="center"/>
              <w:spacing w:after="0"/>
              <w:rPr>
                <w:sz w:val="20"/>
                <w:szCs w:val="20"/>
                <w:color w:val="auto"/>
              </w:rPr>
            </w:pPr>
            <w:r>
              <w:rPr>
                <w:rFonts w:ascii="Arial" w:cs="Arial" w:eastAsia="Arial" w:hAnsi="Arial"/>
                <w:sz w:val="18"/>
                <w:szCs w:val="18"/>
                <w:color w:val="auto"/>
                <w:w w:val="88"/>
              </w:rPr>
              <w:t>/s/ Steven R. Beauchamp</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540"/>
              <w:spacing w:after="0" w:line="189" w:lineRule="exact"/>
              <w:rPr>
                <w:sz w:val="20"/>
                <w:szCs w:val="20"/>
                <w:color w:val="auto"/>
              </w:rPr>
            </w:pPr>
            <w:r>
              <w:rPr>
                <w:rFonts w:ascii="Arial" w:cs="Arial" w:eastAsia="Arial" w:hAnsi="Arial"/>
                <w:sz w:val="18"/>
                <w:szCs w:val="18"/>
                <w:b w:val="1"/>
                <w:bCs w:val="1"/>
                <w:color w:val="auto"/>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39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9"/>
              </w:rPr>
              <w:t>Steven R. Beauchamp</w:t>
            </w:r>
          </w:p>
        </w:tc>
        <w:tc>
          <w:tcPr>
            <w:tcW w:w="0" w:type="dxa"/>
            <w:vAlign w:val="bottom"/>
          </w:tcPr>
          <w:p>
            <w:pPr>
              <w:spacing w:after="0"/>
              <w:rPr>
                <w:sz w:val="1"/>
                <w:szCs w:val="1"/>
                <w:color w:val="auto"/>
              </w:rPr>
            </w:pPr>
          </w:p>
        </w:tc>
      </w:tr>
      <w:tr>
        <w:trPr>
          <w:trHeight w:val="176"/>
        </w:trPr>
        <w:tc>
          <w:tcPr>
            <w:tcW w:w="5140" w:type="dxa"/>
            <w:vAlign w:val="bottom"/>
          </w:tcPr>
          <w:p>
            <w:pPr>
              <w:ind w:left="4640"/>
              <w:spacing w:after="0" w:line="176" w:lineRule="exact"/>
              <w:rPr>
                <w:sz w:val="20"/>
                <w:szCs w:val="20"/>
                <w:color w:val="auto"/>
              </w:rPr>
            </w:pPr>
            <w:r>
              <w:rPr>
                <w:rFonts w:ascii="Arial" w:cs="Arial" w:eastAsia="Arial" w:hAnsi="Arial"/>
                <w:sz w:val="18"/>
                <w:szCs w:val="18"/>
                <w:b w:val="1"/>
                <w:bCs w:val="1"/>
                <w:color w:val="auto"/>
              </w:rPr>
              <w:t>Title</w:t>
            </w:r>
          </w:p>
        </w:tc>
        <w:tc>
          <w:tcPr>
            <w:tcW w:w="3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President, Chief Executive Officer and Chief</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3"/>
              </w:rPr>
              <w:t>Financial Officer</w:t>
            </w:r>
          </w:p>
        </w:tc>
        <w:tc>
          <w:tcPr>
            <w:tcW w:w="0" w:type="dxa"/>
            <w:vAlign w:val="bottom"/>
          </w:tcPr>
          <w:p>
            <w:pPr>
              <w:spacing w:after="0"/>
              <w:rPr>
                <w:sz w:val="1"/>
                <w:szCs w:val="1"/>
                <w:color w:val="auto"/>
              </w:rPr>
            </w:pPr>
          </w:p>
        </w:tc>
      </w:tr>
      <w:tr>
        <w:trPr>
          <w:trHeight w:val="380"/>
        </w:trPr>
        <w:tc>
          <w:tcPr>
            <w:tcW w:w="5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right="240" w:firstLine="651"/>
        <w:spacing w:after="0" w:line="235" w:lineRule="auto"/>
        <w:tabs>
          <w:tab w:leader="none" w:pos="10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Paylocity Holding Corporation (the “Company”) for the year ended June 30, 2017;</w:t>
      </w:r>
    </w:p>
    <w:p>
      <w:pPr>
        <w:spacing w:after="0" w:line="121" w:lineRule="exact"/>
        <w:rPr>
          <w:rFonts w:ascii="Arial" w:cs="Arial" w:eastAsia="Arial" w:hAnsi="Arial"/>
          <w:sz w:val="18"/>
          <w:szCs w:val="18"/>
          <w:color w:val="auto"/>
        </w:rPr>
      </w:pPr>
    </w:p>
    <w:p>
      <w:pPr>
        <w:jc w:val="both"/>
        <w:ind w:right="160" w:firstLine="651"/>
        <w:spacing w:after="0" w:line="224" w:lineRule="auto"/>
        <w:tabs>
          <w:tab w:leader="none" w:pos="10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right="40" w:firstLine="651"/>
        <w:spacing w:after="0" w:line="224" w:lineRule="auto"/>
        <w:tabs>
          <w:tab w:leader="none" w:pos="10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40" w:firstLine="651"/>
        <w:spacing w:after="0" w:line="259" w:lineRule="auto"/>
        <w:tabs>
          <w:tab w:leader="none" w:pos="10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660" w:right="120" w:firstLine="639"/>
        <w:spacing w:after="0" w:line="219" w:lineRule="auto"/>
        <w:tabs>
          <w:tab w:leader="none" w:pos="165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60" w:firstLine="639"/>
        <w:spacing w:after="0" w:line="219" w:lineRule="auto"/>
        <w:tabs>
          <w:tab w:leader="none" w:pos="166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80" w:firstLine="639"/>
        <w:spacing w:after="0" w:line="224" w:lineRule="auto"/>
        <w:tabs>
          <w:tab w:leader="none" w:pos="1658"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60" w:firstLine="639"/>
        <w:spacing w:after="0" w:line="238" w:lineRule="auto"/>
        <w:tabs>
          <w:tab w:leader="none" w:pos="1668" w:val="left"/>
        </w:tabs>
        <w:numPr>
          <w:ilvl w:val="1"/>
          <w:numId w:val="6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year ended June 30, 2017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ind w:right="180" w:firstLine="651"/>
        <w:spacing w:after="0" w:line="224" w:lineRule="auto"/>
        <w:tabs>
          <w:tab w:leader="none" w:pos="10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60" w:firstLine="639"/>
        <w:spacing w:after="0" w:line="224" w:lineRule="auto"/>
        <w:tabs>
          <w:tab w:leader="none" w:pos="164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40" w:firstLine="639"/>
        <w:spacing w:after="0" w:line="235" w:lineRule="auto"/>
        <w:tabs>
          <w:tab w:leader="none" w:pos="165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20"/>
                <w:szCs w:val="20"/>
                <w:color w:val="auto"/>
              </w:rPr>
            </w:pPr>
            <w:r>
              <w:rPr>
                <w:rFonts w:ascii="Arial" w:cs="Arial" w:eastAsia="Arial" w:hAnsi="Arial"/>
                <w:sz w:val="18"/>
                <w:szCs w:val="18"/>
                <w:color w:val="auto"/>
              </w:rPr>
              <w:t>Date: August 11, 2017</w:t>
            </w:r>
          </w:p>
        </w:tc>
        <w:tc>
          <w:tcPr>
            <w:tcW w:w="3920" w:type="dxa"/>
            <w:vAlign w:val="bottom"/>
          </w:tcPr>
          <w:p>
            <w:pPr>
              <w:jc w:val="center"/>
              <w:spacing w:after="0"/>
              <w:rPr>
                <w:sz w:val="20"/>
                <w:szCs w:val="20"/>
                <w:color w:val="auto"/>
              </w:rPr>
            </w:pPr>
            <w:r>
              <w:rPr>
                <w:rFonts w:ascii="Arial" w:cs="Arial" w:eastAsia="Arial" w:hAnsi="Arial"/>
                <w:sz w:val="18"/>
                <w:szCs w:val="18"/>
                <w:color w:val="auto"/>
                <w:w w:val="90"/>
              </w:rPr>
              <w:t>/s/ Steven R. Beauchamp</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580"/>
              <w:spacing w:after="0" w:line="189" w:lineRule="exact"/>
              <w:rPr>
                <w:sz w:val="20"/>
                <w:szCs w:val="20"/>
                <w:color w:val="auto"/>
              </w:rPr>
            </w:pPr>
            <w:r>
              <w:rPr>
                <w:rFonts w:ascii="Arial" w:cs="Arial" w:eastAsia="Arial" w:hAnsi="Arial"/>
                <w:sz w:val="18"/>
                <w:szCs w:val="18"/>
                <w:b w:val="1"/>
                <w:bCs w:val="1"/>
                <w:color w:val="auto"/>
                <w:w w:val="98"/>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39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Steven R. Beauchamp</w:t>
            </w:r>
          </w:p>
        </w:tc>
        <w:tc>
          <w:tcPr>
            <w:tcW w:w="0" w:type="dxa"/>
            <w:vAlign w:val="bottom"/>
          </w:tcPr>
          <w:p>
            <w:pPr>
              <w:spacing w:after="0"/>
              <w:rPr>
                <w:sz w:val="1"/>
                <w:szCs w:val="1"/>
                <w:color w:val="auto"/>
              </w:rPr>
            </w:pPr>
          </w:p>
        </w:tc>
      </w:tr>
      <w:tr>
        <w:trPr>
          <w:trHeight w:val="176"/>
        </w:trPr>
        <w:tc>
          <w:tcPr>
            <w:tcW w:w="5140" w:type="dxa"/>
            <w:vAlign w:val="bottom"/>
          </w:tcPr>
          <w:p>
            <w:pPr>
              <w:ind w:left="4680"/>
              <w:spacing w:after="0" w:line="176" w:lineRule="exact"/>
              <w:rPr>
                <w:sz w:val="20"/>
                <w:szCs w:val="20"/>
                <w:color w:val="auto"/>
              </w:rPr>
            </w:pPr>
            <w:r>
              <w:rPr>
                <w:rFonts w:ascii="Arial" w:cs="Arial" w:eastAsia="Arial" w:hAnsi="Arial"/>
                <w:sz w:val="18"/>
                <w:szCs w:val="18"/>
                <w:b w:val="1"/>
                <w:bCs w:val="1"/>
                <w:color w:val="auto"/>
              </w:rPr>
              <w:t>Title</w:t>
            </w:r>
          </w:p>
        </w:tc>
        <w:tc>
          <w:tcPr>
            <w:tcW w:w="3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President, Chief Executive Officer and Chief</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3"/>
              </w:rPr>
              <w:t>Financial Officer</w:t>
            </w:r>
          </w:p>
        </w:tc>
        <w:tc>
          <w:tcPr>
            <w:tcW w:w="0" w:type="dxa"/>
            <w:vAlign w:val="bottom"/>
          </w:tcPr>
          <w:p>
            <w:pPr>
              <w:spacing w:after="0"/>
              <w:rPr>
                <w:sz w:val="1"/>
                <w:szCs w:val="1"/>
                <w:color w:val="auto"/>
              </w:rPr>
            </w:pPr>
          </w:p>
        </w:tc>
      </w:tr>
      <w:tr>
        <w:trPr>
          <w:trHeight w:val="380"/>
        </w:trPr>
        <w:tc>
          <w:tcPr>
            <w:tcW w:w="5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298" w:lineRule="exact"/>
        <w:rPr>
          <w:sz w:val="20"/>
          <w:szCs w:val="20"/>
          <w:color w:val="auto"/>
        </w:rPr>
      </w:pPr>
    </w:p>
    <w:p>
      <w:pPr>
        <w:ind w:right="60" w:firstLine="441"/>
        <w:spacing w:after="0" w:line="214" w:lineRule="auto"/>
        <w:rPr>
          <w:sz w:val="20"/>
          <w:szCs w:val="20"/>
          <w:color w:val="auto"/>
        </w:rPr>
      </w:pPr>
      <w:r>
        <w:rPr>
          <w:rFonts w:ascii="Arial" w:cs="Arial" w:eastAsia="Arial" w:hAnsi="Arial"/>
          <w:sz w:val="18"/>
          <w:szCs w:val="18"/>
          <w:color w:val="auto"/>
        </w:rPr>
        <w:t>The undersigned, the President, Chief Executive Officer and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2017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jc w:val="right"/>
              <w:ind w:right="3510"/>
              <w:spacing w:after="0"/>
              <w:rPr>
                <w:sz w:val="20"/>
                <w:szCs w:val="20"/>
                <w:color w:val="auto"/>
              </w:rPr>
            </w:pPr>
            <w:r>
              <w:rPr>
                <w:rFonts w:ascii="Arial" w:cs="Arial" w:eastAsia="Arial" w:hAnsi="Arial"/>
                <w:sz w:val="18"/>
                <w:szCs w:val="18"/>
                <w:color w:val="auto"/>
                <w:w w:val="89"/>
              </w:rPr>
              <w:t>Date: August 11, 2017</w:t>
            </w:r>
          </w:p>
        </w:tc>
        <w:tc>
          <w:tcPr>
            <w:tcW w:w="3840" w:type="dxa"/>
            <w:vAlign w:val="bottom"/>
          </w:tcPr>
          <w:p>
            <w:pPr>
              <w:jc w:val="center"/>
              <w:spacing w:after="0"/>
              <w:rPr>
                <w:sz w:val="20"/>
                <w:szCs w:val="20"/>
                <w:color w:val="auto"/>
              </w:rPr>
            </w:pPr>
            <w:r>
              <w:rPr>
                <w:rFonts w:ascii="Arial" w:cs="Arial" w:eastAsia="Arial" w:hAnsi="Arial"/>
                <w:sz w:val="18"/>
                <w:szCs w:val="18"/>
                <w:color w:val="auto"/>
                <w:w w:val="88"/>
              </w:rPr>
              <w:t>/s/ Steven R. Beauchamp</w:t>
            </w:r>
          </w:p>
        </w:tc>
        <w:tc>
          <w:tcPr>
            <w:tcW w:w="0" w:type="dxa"/>
            <w:vAlign w:val="bottom"/>
          </w:tcPr>
          <w:p>
            <w:pPr>
              <w:spacing w:after="0"/>
              <w:rPr>
                <w:sz w:val="1"/>
                <w:szCs w:val="1"/>
                <w:color w:val="auto"/>
              </w:rPr>
            </w:pPr>
          </w:p>
        </w:tc>
      </w:tr>
      <w:tr>
        <w:trPr>
          <w:trHeight w:val="27"/>
        </w:trPr>
        <w:tc>
          <w:tcPr>
            <w:tcW w:w="5220" w:type="dxa"/>
            <w:vAlign w:val="bottom"/>
            <w:vMerge w:val="restart"/>
          </w:tcPr>
          <w:p>
            <w:pPr>
              <w:jc w:val="right"/>
              <w:spacing w:after="0" w:line="189" w:lineRule="exact"/>
              <w:rPr>
                <w:sz w:val="20"/>
                <w:szCs w:val="20"/>
                <w:color w:val="auto"/>
              </w:rPr>
            </w:pPr>
            <w:r>
              <w:rPr>
                <w:rFonts w:ascii="Arial" w:cs="Arial" w:eastAsia="Arial" w:hAnsi="Arial"/>
                <w:sz w:val="18"/>
                <w:szCs w:val="18"/>
                <w:b w:val="1"/>
                <w:bCs w:val="1"/>
                <w:color w:val="auto"/>
              </w:rPr>
              <w:t>Name:</w:t>
            </w: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384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9"/>
              </w:rPr>
              <w:t>Steven R. Beauchamp</w:t>
            </w:r>
          </w:p>
        </w:tc>
        <w:tc>
          <w:tcPr>
            <w:tcW w:w="0" w:type="dxa"/>
            <w:vAlign w:val="bottom"/>
          </w:tcPr>
          <w:p>
            <w:pPr>
              <w:spacing w:after="0"/>
              <w:rPr>
                <w:sz w:val="1"/>
                <w:szCs w:val="1"/>
                <w:color w:val="auto"/>
              </w:rPr>
            </w:pPr>
          </w:p>
        </w:tc>
      </w:tr>
      <w:tr>
        <w:trPr>
          <w:trHeight w:val="176"/>
        </w:trPr>
        <w:tc>
          <w:tcPr>
            <w:tcW w:w="52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President, Chief Executive Officer and Chief</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3"/>
              </w:rPr>
              <w:t>Financial Officer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98" w:lineRule="exact"/>
        <w:rPr>
          <w:sz w:val="20"/>
          <w:szCs w:val="20"/>
          <w:color w:val="auto"/>
        </w:rPr>
      </w:pPr>
    </w:p>
    <w:p>
      <w:pPr>
        <w:ind w:right="60" w:firstLine="441"/>
        <w:spacing w:after="0" w:line="214" w:lineRule="auto"/>
        <w:rPr>
          <w:sz w:val="20"/>
          <w:szCs w:val="20"/>
          <w:color w:val="auto"/>
        </w:rPr>
      </w:pPr>
      <w:r>
        <w:rPr>
          <w:rFonts w:ascii="Arial" w:cs="Arial" w:eastAsia="Arial" w:hAnsi="Arial"/>
          <w:sz w:val="18"/>
          <w:szCs w:val="18"/>
          <w:color w:val="auto"/>
        </w:rPr>
        <w:t>The undersigned, the President, Chief Executive Officer and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2017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jc w:val="right"/>
              <w:ind w:right="3510"/>
              <w:spacing w:after="0"/>
              <w:rPr>
                <w:sz w:val="20"/>
                <w:szCs w:val="20"/>
                <w:color w:val="auto"/>
              </w:rPr>
            </w:pPr>
            <w:r>
              <w:rPr>
                <w:rFonts w:ascii="Arial" w:cs="Arial" w:eastAsia="Arial" w:hAnsi="Arial"/>
                <w:sz w:val="18"/>
                <w:szCs w:val="18"/>
                <w:color w:val="auto"/>
                <w:w w:val="89"/>
              </w:rPr>
              <w:t>Date: August 11, 2017</w:t>
            </w:r>
          </w:p>
        </w:tc>
        <w:tc>
          <w:tcPr>
            <w:tcW w:w="3840" w:type="dxa"/>
            <w:vAlign w:val="bottom"/>
          </w:tcPr>
          <w:p>
            <w:pPr>
              <w:jc w:val="center"/>
              <w:spacing w:after="0"/>
              <w:rPr>
                <w:sz w:val="20"/>
                <w:szCs w:val="20"/>
                <w:color w:val="auto"/>
              </w:rPr>
            </w:pPr>
            <w:r>
              <w:rPr>
                <w:rFonts w:ascii="Arial" w:cs="Arial" w:eastAsia="Arial" w:hAnsi="Arial"/>
                <w:sz w:val="18"/>
                <w:szCs w:val="18"/>
                <w:color w:val="auto"/>
                <w:w w:val="90"/>
              </w:rPr>
              <w:t>/s/ Steven R. Beauchamp</w:t>
            </w:r>
          </w:p>
        </w:tc>
        <w:tc>
          <w:tcPr>
            <w:tcW w:w="0" w:type="dxa"/>
            <w:vAlign w:val="bottom"/>
          </w:tcPr>
          <w:p>
            <w:pPr>
              <w:spacing w:after="0"/>
              <w:rPr>
                <w:sz w:val="1"/>
                <w:szCs w:val="1"/>
                <w:color w:val="auto"/>
              </w:rPr>
            </w:pPr>
          </w:p>
        </w:tc>
      </w:tr>
      <w:tr>
        <w:trPr>
          <w:trHeight w:val="27"/>
        </w:trPr>
        <w:tc>
          <w:tcPr>
            <w:tcW w:w="5220" w:type="dxa"/>
            <w:vAlign w:val="bottom"/>
            <w:vMerge w:val="restart"/>
          </w:tcPr>
          <w:p>
            <w:pPr>
              <w:jc w:val="right"/>
              <w:spacing w:after="0" w:line="189" w:lineRule="exact"/>
              <w:rPr>
                <w:sz w:val="20"/>
                <w:szCs w:val="20"/>
                <w:color w:val="auto"/>
              </w:rPr>
            </w:pPr>
            <w:r>
              <w:rPr>
                <w:rFonts w:ascii="Arial" w:cs="Arial" w:eastAsia="Arial" w:hAnsi="Arial"/>
                <w:sz w:val="18"/>
                <w:szCs w:val="18"/>
                <w:b w:val="1"/>
                <w:bCs w:val="1"/>
                <w:color w:val="auto"/>
              </w:rPr>
              <w:t>Name:</w:t>
            </w: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384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9"/>
              </w:rPr>
              <w:t>Steven R. Beauchamp</w:t>
            </w:r>
          </w:p>
        </w:tc>
        <w:tc>
          <w:tcPr>
            <w:tcW w:w="0" w:type="dxa"/>
            <w:vAlign w:val="bottom"/>
          </w:tcPr>
          <w:p>
            <w:pPr>
              <w:spacing w:after="0"/>
              <w:rPr>
                <w:sz w:val="1"/>
                <w:szCs w:val="1"/>
                <w:color w:val="auto"/>
              </w:rPr>
            </w:pPr>
          </w:p>
        </w:tc>
      </w:tr>
      <w:tr>
        <w:trPr>
          <w:trHeight w:val="176"/>
        </w:trPr>
        <w:tc>
          <w:tcPr>
            <w:tcW w:w="52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President, Chief Executive Officer and Chief</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3"/>
              </w:rPr>
              <w:t>Financial Officer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x"/>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1)"/>
      <w:numFmt w:val="decimal"/>
      <w:start w:val="1"/>
    </w:lvl>
    <w:lvl w:ilvl="1">
      <w:lvlJc w:val="left"/>
      <w:lvlText w:val="·"/>
      <w:numFmt w:val="bullet"/>
      <w:start w:val="1"/>
    </w:lvl>
  </w:abstractNum>
  <w:abstractNum w:abstractNumId="19">
    <w:nsid w:val="70A64E2A"/>
    <w:multiLevelType w:val="hybridMultilevel"/>
    <w:lvl w:ilvl="0">
      <w:lvlJc w:val="left"/>
      <w:lvlText w:val="(%1)"/>
      <w:numFmt w:val="decimal"/>
      <w:start w:val="2"/>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1)"/>
      <w:numFmt w:val="lowerRoman"/>
      <w:start w:val="2"/>
    </w:lvl>
  </w:abstractNum>
  <w:abstractNum w:abstractNumId="22">
    <w:nsid w:val="1D4ED43B"/>
    <w:multiLevelType w:val="hybridMultilevel"/>
    <w:lvl w:ilvl="0">
      <w:lvlJc w:val="left"/>
      <w:lvlText w:val="(%1)"/>
      <w:numFmt w:val="decimal"/>
      <w:start w:val="2"/>
    </w:lvl>
    <w:lvl w:ilvl="1">
      <w:lvlJc w:val="left"/>
      <w:lvlText w:val="(%2)"/>
      <w:numFmt w:val="lowerLetter"/>
      <w:start w:val="1"/>
    </w:lvl>
  </w:abstractNum>
  <w:abstractNum w:abstractNumId="23">
    <w:nsid w:val="725A06FB"/>
    <w:multiLevelType w:val="hybridMultilevel"/>
    <w:lvl w:ilvl="0">
      <w:lvlJc w:val="left"/>
      <w:lvlText w:val="(%1)"/>
      <w:numFmt w:val="lowerLetter"/>
      <w:start w:val="2"/>
    </w:lvl>
  </w:abstractNum>
  <w:abstractNum w:abstractNumId="24">
    <w:nsid w:val="2CD89A32"/>
    <w:multiLevelType w:val="hybridMultilevel"/>
    <w:lvl w:ilvl="0">
      <w:lvlJc w:val="left"/>
      <w:lvlText w:val="(%1)"/>
      <w:numFmt w:val="lowerLetter"/>
      <w:start w:val="3"/>
    </w:lvl>
  </w:abstractNum>
  <w:abstractNum w:abstractNumId="25">
    <w:nsid w:val="57E4CCAF"/>
    <w:multiLevelType w:val="hybridMultilevel"/>
    <w:lvl w:ilvl="0">
      <w:lvlJc w:val="left"/>
      <w:lvlText w:val="(%1)"/>
      <w:numFmt w:val="lowerLetter"/>
      <w:start w:val="4"/>
    </w:lvl>
  </w:abstractNum>
  <w:abstractNum w:abstractNumId="26">
    <w:nsid w:val="7A6D8D3C"/>
    <w:multiLevelType w:val="hybridMultilevel"/>
    <w:lvl w:ilvl="0">
      <w:lvlJc w:val="left"/>
      <w:lvlText w:val="(%1)"/>
      <w:numFmt w:val="lowerLetter"/>
      <w:start w:val="6"/>
    </w:lvl>
  </w:abstractNum>
  <w:abstractNum w:abstractNumId="27">
    <w:nsid w:val="4B588F54"/>
    <w:multiLevelType w:val="hybridMultilevel"/>
    <w:lvl w:ilvl="0">
      <w:lvlJc w:val="left"/>
      <w:lvlText w:val="(%1)"/>
      <w:numFmt w:val="lowerLetter"/>
      <w:start w:val="7"/>
    </w:lvl>
  </w:abstractNum>
  <w:abstractNum w:abstractNumId="28">
    <w:nsid w:val="542289EC"/>
    <w:multiLevelType w:val="hybridMultilevel"/>
    <w:lvl w:ilvl="0">
      <w:lvlJc w:val="left"/>
      <w:lvlText w:val="(%1)"/>
      <w:numFmt w:val="lowerLetter"/>
      <w:start w:val="8"/>
    </w:lvl>
  </w:abstractNum>
  <w:abstractNum w:abstractNumId="29">
    <w:nsid w:val="6DE91B18"/>
    <w:multiLevelType w:val="hybridMultilevel"/>
    <w:lvl w:ilvl="0">
      <w:lvlJc w:val="left"/>
      <w:lvlText w:val="(%1)"/>
      <w:numFmt w:val="lowerRoman"/>
      <w:start w:val="1"/>
    </w:lvl>
  </w:abstractNum>
  <w:abstractNum w:abstractNumId="30">
    <w:nsid w:val="38437FDB"/>
    <w:multiLevelType w:val="hybridMultilevel"/>
    <w:lvl w:ilvl="0">
      <w:lvlJc w:val="left"/>
      <w:lvlText w:val="(%1)"/>
      <w:numFmt w:val="lowerLetter"/>
      <w:start w:val="10"/>
    </w:lvl>
  </w:abstractNum>
  <w:abstractNum w:abstractNumId="31">
    <w:nsid w:val="7644A45C"/>
    <w:multiLevelType w:val="hybridMultilevel"/>
    <w:lvl w:ilvl="0">
      <w:lvlJc w:val="left"/>
      <w:lvlText w:val="(%1)"/>
      <w:numFmt w:val="lowerLetter"/>
      <w:start w:val="11"/>
    </w:lvl>
  </w:abstractNum>
  <w:abstractNum w:abstractNumId="32">
    <w:nsid w:val="32FFF902"/>
    <w:multiLevelType w:val="hybridMultilevel"/>
    <w:lvl w:ilvl="0">
      <w:lvlJc w:val="left"/>
      <w:lvlText w:val="(%1)"/>
      <w:numFmt w:val="lowerLetter"/>
      <w:start w:val="12"/>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1)"/>
      <w:numFmt w:val="lowerLetter"/>
      <w:start w:val="13"/>
    </w:lvl>
  </w:abstractNum>
  <w:abstractNum w:abstractNumId="35">
    <w:nsid w:val="749ABB43"/>
    <w:multiLevelType w:val="hybridMultilevel"/>
    <w:lvl w:ilvl="0">
      <w:lvlJc w:val="left"/>
      <w:lvlText w:val="(%1)"/>
      <w:numFmt w:val="lowerLetter"/>
      <w:start w:val="14"/>
    </w:lvl>
  </w:abstractNum>
  <w:abstractNum w:abstractNumId="36">
    <w:nsid w:val="3DC240FB"/>
    <w:multiLevelType w:val="hybridMultilevel"/>
    <w:lvl w:ilvl="0">
      <w:lvlJc w:val="left"/>
      <w:lvlText w:val="(%1)"/>
      <w:numFmt w:val="lowerLetter"/>
      <w:start w:val="15"/>
    </w:lvl>
  </w:abstractNum>
  <w:abstractNum w:abstractNumId="37">
    <w:nsid w:val="1BA026FA"/>
    <w:multiLevelType w:val="hybridMultilevel"/>
    <w:lvl w:ilvl="0">
      <w:lvlJc w:val="left"/>
      <w:lvlText w:val="(%1)"/>
      <w:numFmt w:val="lowerLetter"/>
      <w:start w:val="16"/>
    </w:lvl>
  </w:abstractNum>
  <w:abstractNum w:abstractNumId="38">
    <w:nsid w:val="79A1DEAA"/>
    <w:multiLevelType w:val="hybridMultilevel"/>
    <w:lvl w:ilvl="0">
      <w:lvlJc w:val="left"/>
      <w:lvlText w:val="(%1)"/>
      <w:numFmt w:val="lowerLetter"/>
      <w:start w:val="17"/>
    </w:lvl>
  </w:abstractNum>
  <w:abstractNum w:abstractNumId="39">
    <w:nsid w:val="75C6C33A"/>
    <w:multiLevelType w:val="hybridMultilevel"/>
    <w:lvl w:ilvl="0">
      <w:lvlJc w:val="left"/>
      <w:lvlText w:val="(%1)"/>
      <w:numFmt w:val="lowerLetter"/>
      <w:start w:val="18"/>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lowerLetter"/>
      <w:start w:val="2"/>
    </w:lvl>
  </w:abstractNum>
  <w:abstractNum w:abstractNumId="42">
    <w:nsid w:val="520EEDD1"/>
    <w:multiLevelType w:val="hybridMultilevel"/>
    <w:lvl w:ilvl="0">
      <w:lvlJc w:val="left"/>
      <w:lvlText w:val="(%1)"/>
      <w:numFmt w:val="lowerLetter"/>
      <w:start w:val="3"/>
    </w:lvl>
  </w:abstractNum>
  <w:abstractNum w:abstractNumId="43">
    <w:nsid w:val="374A3FE6"/>
    <w:multiLevelType w:val="hybridMultilevel"/>
    <w:lvl w:ilvl="0">
      <w:lvlJc w:val="left"/>
      <w:lvlText w:val="(%1)"/>
      <w:numFmt w:val="decimal"/>
      <w:start w:val="13"/>
    </w:lvl>
    <w:lvl w:ilvl="1">
      <w:lvlJc w:val="left"/>
      <w:lvlText w:val="(%2)"/>
      <w:numFmt w:val="lowerLetter"/>
      <w:start w:val="1"/>
    </w:lvl>
  </w:abstractNum>
  <w:abstractNum w:abstractNumId="44">
    <w:nsid w:val="4F4EF005"/>
    <w:multiLevelType w:val="hybridMultilevel"/>
    <w:lvl w:ilvl="0">
      <w:lvlJc w:val="left"/>
      <w:lvlText w:val="(%1)"/>
      <w:numFmt w:val="lowerLetter"/>
      <w:start w:val="2"/>
    </w:lvl>
  </w:abstractNum>
  <w:abstractNum w:abstractNumId="45">
    <w:nsid w:val="23F9C13C"/>
    <w:multiLevelType w:val="hybridMultilevel"/>
    <w:lvl w:ilvl="0">
      <w:lvlJc w:val="left"/>
      <w:lvlText w:val="(%1)"/>
      <w:numFmt w:val="lowerLetter"/>
      <w:start w:val="3"/>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Letter"/>
      <w:start w:val="2"/>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upperLetter"/>
      <w:start w:val="1"/>
    </w:lvl>
    <w:lvl w:ilvl="1">
      <w:lvlJc w:val="left"/>
      <w:lvlText w:val="(%2)"/>
      <w:numFmt w:val="lowerLetter"/>
      <w:start w:val="1"/>
    </w:lvl>
  </w:abstractNum>
  <w:abstractNum w:abstractNumId="50">
    <w:nsid w:val="180115BE"/>
    <w:multiLevelType w:val="hybridMultilevel"/>
    <w:lvl w:ilvl="0">
      <w:lvlJc w:val="left"/>
      <w:lvlText w:val="(%1)"/>
      <w:numFmt w:val="upperLetter"/>
      <w:start w:val="1"/>
    </w:lvl>
    <w:lvl w:ilvl="1">
      <w:lvlJc w:val="left"/>
      <w:lvlText w:val="%2"/>
      <w:numFmt w:val="lowerLetter"/>
      <w:start w:val="1"/>
    </w:lvl>
  </w:abstractNum>
  <w:abstractNum w:abstractNumId="51">
    <w:nsid w:val="235BA861"/>
    <w:multiLevelType w:val="hybridMultilevel"/>
    <w:lvl w:ilvl="0">
      <w:lvlJc w:val="left"/>
      <w:lvlText w:val="(%1)"/>
      <w:numFmt w:val="lowerLetter"/>
      <w:start w:val="3"/>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lowerLetter"/>
      <w:start w:val="1"/>
    </w:lvl>
  </w:abstractNum>
  <w:abstractNum w:abstractNumId="54">
    <w:nsid w:val="15B5AF5C"/>
    <w:multiLevelType w:val="hybridMultilevel"/>
    <w:lvl w:ilvl="0">
      <w:lvlJc w:val="left"/>
      <w:lvlText w:val="(%1)"/>
      <w:numFmt w:val="lowerLetter"/>
      <w:start w:val="2"/>
    </w:lvl>
  </w:abstractNum>
  <w:abstractNum w:abstractNumId="55">
    <w:nsid w:val="741226BB"/>
    <w:multiLevelType w:val="hybridMultilevel"/>
    <w:lvl w:ilvl="0">
      <w:lvlJc w:val="left"/>
      <w:lvlText w:val="(%1)"/>
      <w:numFmt w:val="decimal"/>
      <w:start w:val="7"/>
    </w:lvl>
    <w:lvl w:ilvl="1">
      <w:lvlJc w:val="left"/>
      <w:lvlText w:val="(%2)"/>
      <w:numFmt w:val="lowerLetter"/>
      <w:start w:val="3"/>
    </w:lvl>
  </w:abstractNum>
  <w:abstractNum w:abstractNumId="56">
    <w:nsid w:val="D34B6A8"/>
    <w:multiLevelType w:val="hybridMultilevel"/>
    <w:lvl w:ilvl="0">
      <w:lvlJc w:val="left"/>
      <w:lvlText w:val="(%1)"/>
      <w:numFmt w:val="lowerLetter"/>
      <w:start w:val="5"/>
    </w:lvl>
  </w:abstractNum>
  <w:abstractNum w:abstractNumId="57">
    <w:nsid w:val="10233C99"/>
    <w:multiLevelType w:val="hybridMultilevel"/>
    <w:lvl w:ilvl="0">
      <w:lvlJc w:val="left"/>
      <w:lvlText w:val="(%1)"/>
      <w:numFmt w:val="lowerRoman"/>
      <w:start w:val="1"/>
    </w:lvl>
  </w:abstractNum>
  <w:abstractNum w:abstractNumId="58">
    <w:nsid w:val="3F6AB60F"/>
    <w:multiLevelType w:val="hybridMultilevel"/>
    <w:lvl w:ilvl="0">
      <w:lvlJc w:val="left"/>
      <w:lvlText w:val="(%1)"/>
      <w:numFmt w:val="lowerLetter"/>
      <w:start w:val="2"/>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lowerLetter"/>
      <w:start w:val="3"/>
    </w:lvl>
  </w:abstractNum>
  <w:abstractNum w:abstractNumId="61">
    <w:nsid w:val="77AE35EB"/>
    <w:multiLevelType w:val="hybridMultilevel"/>
    <w:lvl w:ilvl="0">
      <w:lvlJc w:val="left"/>
      <w:lvlText w:val="(%1)"/>
      <w:numFmt w:val="lowerRoman"/>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5"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08" Type="http://schemas.openxmlformats.org/officeDocument/2006/relationships/hyperlink" Target="http://www.sec.gov/Archives/edgar/data/1591698/000104746914000464/a2218017zex-2_1.htm" TargetMode="External"/><Relationship Id="rId109" Type="http://schemas.openxmlformats.org/officeDocument/2006/relationships/hyperlink" Target="http://www.sec.gov/Archives/edgar/data/1591698/000104746914000931/a2218171zex-3_2.htm" TargetMode="External"/><Relationship Id="rId110" Type="http://schemas.openxmlformats.org/officeDocument/2006/relationships/hyperlink" Target="http://www.sec.gov/Archives/edgar/data/1591698/000104746914000464/a2218017zex-4_1.htm" TargetMode="External"/><Relationship Id="rId111" Type="http://schemas.openxmlformats.org/officeDocument/2006/relationships/hyperlink" Target="http://www.sec.gov/Archives/edgar/data/1591698/000104746914000464/a2218017zex-10_2.htm" TargetMode="External"/><Relationship Id="rId112" Type="http://schemas.openxmlformats.org/officeDocument/2006/relationships/hyperlink" Target="http://www.sec.gov/Archives/edgar/data/1591698/000104746914000464/a2218017zex-10_3.htm" TargetMode="External"/><Relationship Id="rId113" Type="http://schemas.openxmlformats.org/officeDocument/2006/relationships/hyperlink" Target="http://www.sec.gov/Archives/edgar/data/1591698/000104746914000464/a2218017zex-10_31.htm" TargetMode="External"/><Relationship Id="rId114" Type="http://schemas.openxmlformats.org/officeDocument/2006/relationships/hyperlink" Target="http://www.sec.gov/Archives/edgar/data/1591698/000104746914000464/a2218017zex-10_32.htm" TargetMode="External"/><Relationship Id="rId115" Type="http://schemas.openxmlformats.org/officeDocument/2006/relationships/hyperlink" Target="http://www.sec.gov/Archives/edgar/data/1591698/000104746914000931/a2218171zex-10_4.htm" TargetMode="External"/><Relationship Id="rId116" Type="http://schemas.openxmlformats.org/officeDocument/2006/relationships/hyperlink" Target="http://www.sec.gov/Archives/edgar/data/1591698/000104746914000931/a2218171zex-10_5.htm" TargetMode="External"/><Relationship Id="rId117" Type="http://schemas.openxmlformats.org/officeDocument/2006/relationships/hyperlink" Target="http://www.sec.gov/Archives/edgar/data/1591698/000104746914000931/a2218171zex-10_7.htm" TargetMode="External"/><Relationship Id="rId118" Type="http://schemas.openxmlformats.org/officeDocument/2006/relationships/hyperlink" Target="http://www.sec.gov/Archives/edgar/data/1591698/000104746914000464/a2218017zex-10_8.htm" TargetMode="External"/><Relationship Id="rId119" Type="http://schemas.openxmlformats.org/officeDocument/2006/relationships/hyperlink" Target="http://www.sec.gov/Archives/edgar/data/1591698/000104746914000464/a2218017zex-10_81.htm" TargetMode="External"/><Relationship Id="rId120" Type="http://schemas.openxmlformats.org/officeDocument/2006/relationships/hyperlink" Target="http://www.sec.gov/Archives/edgar/data/1591698/000104746914000464/a2218017zex-10_82.htm" TargetMode="External"/><Relationship Id="rId121" Type="http://schemas.openxmlformats.org/officeDocument/2006/relationships/hyperlink" Target="http://www.sec.gov/Archives/edgar/data/1591698/000110465916125126/a16-12426_1ex10d1.htm" TargetMode="External"/><Relationship Id="rId122" Type="http://schemas.openxmlformats.org/officeDocument/2006/relationships/hyperlink" Target="http://www.sec.gov/Archives/edgar/data/1591698/000104746914000931/a2218171zex-10_9.htm" TargetMode="External"/><Relationship Id="rId123" Type="http://schemas.openxmlformats.org/officeDocument/2006/relationships/hyperlink" Target="http://www.sec.gov/Archives/edgar/data/1591698/000110465915060024/a15-12835_1ex10d10.htm" TargetMode="External"/><Relationship Id="rId124" Type="http://schemas.openxmlformats.org/officeDocument/2006/relationships/hyperlink" Target="http://www.sec.gov/Archives/edgar/data/1591698/000110465916139345/a16-12777_1ex10d11.htm" TargetMode="External"/><Relationship Id="rId126" Type="http://schemas.openxmlformats.org/officeDocument/2006/relationships/hyperlink" Target="http://www.sec.gov/Archives/edgar/data/1591698/000110465916138278/a16-16221_1ex10d1.htm" TargetMode="External"/><Relationship Id="rId127" Type="http://schemas.openxmlformats.org/officeDocument/2006/relationships/hyperlink" Target="http://www.sec.gov/Archives/edgar/data/1591698/000110465914062738/a14-14198_1ex14d1.htm" TargetMode="External"/><Relationship Id="rId128" Type="http://schemas.openxmlformats.org/officeDocument/2006/relationships/hyperlink" Target="http://www.sec.gov/Archives/edgar/data/1591698/000104746914000464/a2218017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2019-12-29T04:56:52Z</dcterms:created>
  <dcterms:modified xsi:type="dcterms:W3CDTF">2019-12-29T04:56:52Z</dcterms:modified>
</cp:coreProperties>
</file>