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3"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2022</w:t>
      </w:r>
    </w:p>
    <w:p>
      <w:pPr>
        <w:spacing w:after="0" w:line="179" w:lineRule="exact"/>
        <w:rPr>
          <w:sz w:val="24"/>
          <w:szCs w:val="24"/>
          <w:color w:val="auto"/>
        </w:rPr>
      </w:pPr>
    </w:p>
    <w:p>
      <w:pPr>
        <w:ind w:left="440" w:hanging="414"/>
        <w:spacing w:after="0"/>
        <w:tabs>
          <w:tab w:leader="none" w:pos="44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2"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46-4066644</w:t>
            </w: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1"/>
        </w:trPr>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960" w:type="dxa"/>
            <w:vAlign w:val="bottom"/>
          </w:tcPr>
          <w:p>
            <w:pPr>
              <w:spacing w:after="0"/>
              <w:rPr>
                <w:sz w:val="24"/>
                <w:szCs w:val="24"/>
                <w:color w:val="auto"/>
              </w:rPr>
            </w:pPr>
          </w:p>
        </w:tc>
      </w:tr>
      <w:tr>
        <w:trPr>
          <w:trHeight w:val="204"/>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Schaumburg, Illinois</w:t>
            </w:r>
          </w:p>
        </w:tc>
        <w:tc>
          <w:tcPr>
            <w:tcW w:w="4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(Zip Code)</w:t>
            </w:r>
          </w:p>
        </w:tc>
      </w:tr>
      <w:tr>
        <w:trPr>
          <w:trHeight w:val="257"/>
        </w:trPr>
        <w:tc>
          <w:tcPr>
            <w:tcW w:w="2380" w:type="dxa"/>
            <w:vAlign w:val="bottom"/>
          </w:tcPr>
          <w:p>
            <w:pPr>
              <w:spacing w:after="0"/>
              <w:rPr>
                <w:sz w:val="22"/>
                <w:szCs w:val="22"/>
                <w:color w:val="auto"/>
              </w:rPr>
            </w:pPr>
          </w:p>
        </w:tc>
        <w:tc>
          <w:tcPr>
            <w:tcW w:w="4960" w:type="dxa"/>
            <w:vAlign w:val="bottom"/>
          </w:tcPr>
          <w:p>
            <w:pPr>
              <w:jc w:val="right"/>
              <w:ind w:right="2828"/>
              <w:spacing w:after="0"/>
              <w:rPr>
                <w:sz w:val="20"/>
                <w:szCs w:val="20"/>
                <w:color w:val="auto"/>
              </w:rPr>
            </w:pPr>
            <w:r>
              <w:rPr>
                <w:rFonts w:ascii="Times New Roman" w:cs="Times New Roman" w:eastAsia="Times New Roman" w:hAnsi="Times New Roman"/>
                <w:sz w:val="14"/>
                <w:szCs w:val="14"/>
                <w:b w:val="1"/>
                <w:bCs w:val="1"/>
                <w:color w:val="auto"/>
              </w:rPr>
              <w:t>(847) 463-3200</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6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PCTY</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0" w:lineRule="exact"/>
        <w:rPr>
          <w:sz w:val="24"/>
          <w:szCs w:val="24"/>
          <w:color w:val="auto"/>
        </w:rPr>
      </w:pPr>
    </w:p>
    <w:p>
      <w:pPr>
        <w:ind w:right="80" w:firstLine="324"/>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37" w:lineRule="exact"/>
        <w:rPr>
          <w:sz w:val="24"/>
          <w:szCs w:val="24"/>
          <w:color w:val="auto"/>
        </w:rPr>
      </w:pPr>
    </w:p>
    <w:p>
      <w:pPr>
        <w:ind w:right="220" w:firstLine="324"/>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24"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76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60" w:type="dxa"/>
            <w:vAlign w:val="bottom"/>
          </w:tcPr>
          <w:p>
            <w:pPr>
              <w:ind w:left="760"/>
              <w:spacing w:after="0"/>
              <w:rPr>
                <w:sz w:val="20"/>
                <w:szCs w:val="20"/>
                <w:color w:val="auto"/>
              </w:rPr>
            </w:pPr>
            <w:r>
              <w:rPr>
                <w:rFonts w:ascii="Arial" w:cs="Arial" w:eastAsia="Arial" w:hAnsi="Arial"/>
                <w:sz w:val="14"/>
                <w:szCs w:val="14"/>
                <w:color w:val="auto"/>
              </w:rPr>
              <w:t>x</w:t>
            </w:r>
          </w:p>
        </w:tc>
        <w:tc>
          <w:tcPr>
            <w:tcW w:w="424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Accelerated Filer</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r>
      <w:tr>
        <w:trPr>
          <w:trHeight w:val="336"/>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60" w:type="dxa"/>
            <w:vAlign w:val="bottom"/>
          </w:tcPr>
          <w:p>
            <w:pPr>
              <w:ind w:left="760"/>
              <w:spacing w:after="0"/>
              <w:rPr>
                <w:sz w:val="20"/>
                <w:szCs w:val="20"/>
                <w:color w:val="auto"/>
              </w:rPr>
            </w:pPr>
            <w:r>
              <w:rPr>
                <w:rFonts w:ascii="Arial" w:cs="Arial" w:eastAsia="Arial" w:hAnsi="Arial"/>
                <w:sz w:val="18"/>
                <w:szCs w:val="18"/>
                <w:color w:val="auto"/>
              </w:rPr>
              <w:t>o</w:t>
            </w:r>
          </w:p>
        </w:tc>
        <w:tc>
          <w:tcPr>
            <w:tcW w:w="424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r>
      <w:tr>
        <w:trPr>
          <w:trHeight w:val="299"/>
        </w:trPr>
        <w:tc>
          <w:tcPr>
            <w:tcW w:w="2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4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r>
    </w:tbl>
    <w:p>
      <w:pPr>
        <w:spacing w:after="0" w:line="188" w:lineRule="exact"/>
        <w:rPr>
          <w:sz w:val="24"/>
          <w:szCs w:val="24"/>
          <w:color w:val="auto"/>
        </w:rPr>
      </w:pPr>
    </w:p>
    <w:p>
      <w:pPr>
        <w:ind w:right="220" w:firstLine="324"/>
        <w:spacing w:after="0" w:line="30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41" w:lineRule="exact"/>
        <w:rPr>
          <w:sz w:val="24"/>
          <w:szCs w:val="24"/>
          <w:color w:val="auto"/>
        </w:rPr>
      </w:pPr>
    </w:p>
    <w:p>
      <w:pPr>
        <w:ind w:left="34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x</w:t>
      </w:r>
    </w:p>
    <w:p>
      <w:pPr>
        <w:spacing w:after="0" w:line="145" w:lineRule="exact"/>
        <w:rPr>
          <w:sz w:val="24"/>
          <w:szCs w:val="24"/>
          <w:color w:val="auto"/>
        </w:rPr>
      </w:pPr>
    </w:p>
    <w:p>
      <w:pPr>
        <w:ind w:right="40" w:firstLine="324"/>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55,124,761 shares of Common Stock, $0.001 par value per share, as of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20" w:type="dxa"/>
            <w:vAlign w:val="bottom"/>
            <w:gridSpan w:val="12"/>
            <w:vMerge w:val="restart"/>
          </w:tcPr>
          <w:p>
            <w:pPr>
              <w:jc w:val="center"/>
              <w:ind w:right="366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7"/>
          </w:tcPr>
          <w:p>
            <w:pPr>
              <w:spacing w:after="0"/>
              <w:rPr>
                <w:sz w:val="24"/>
                <w:szCs w:val="24"/>
                <w:color w:val="auto"/>
              </w:rPr>
            </w:pPr>
          </w:p>
        </w:tc>
        <w:tc>
          <w:tcPr>
            <w:tcW w:w="380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62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39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3. DEFAULTS UPON SENIOR SECURITIES</w:t>
            </w:r>
          </w:p>
        </w:tc>
        <w:tc>
          <w:tcPr>
            <w:tcW w:w="66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PAYLOCITY HOLDING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96,465</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54,735</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23,430</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192,424</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4,324,567</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2,032,883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4,516,991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209,580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21,804</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5,079,238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108,820</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113,871</w:t>
            </w: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Client fund obligations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1,759,677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4,324,567</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4,438,438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1,937,955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4,513,819</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5"/>
        </w:trPr>
        <w:tc>
          <w:tcPr>
            <w:tcW w:w="81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2021 and</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31, 2022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2021 and March 31, 2022; 54,594</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at June 30, 2021 and 55,120 shares issued and outstanding at March 31, 2022</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256,204</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310,722</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565,419</w:t>
            </w:r>
          </w:p>
        </w:tc>
      </w:tr>
      <w:tr>
        <w:trPr>
          <w:trHeight w:val="248"/>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5,079,238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0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195"/>
        </w:trPr>
        <w:tc>
          <w:tcPr>
            <w:tcW w:w="6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184,927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244,962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465,195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620,827</w:t>
            </w:r>
          </w:p>
        </w:tc>
      </w:tr>
      <w:tr>
        <w:trPr>
          <w:trHeight w:val="230"/>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186,053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468,176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623,704</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209,608</w:t>
            </w:r>
          </w:p>
        </w:tc>
      </w:tr>
      <w:tr>
        <w:trPr>
          <w:trHeight w:val="22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128,727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307,928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414,096</w:t>
            </w: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154,856</w:t>
            </w:r>
          </w:p>
        </w:tc>
      </w:tr>
      <w:tr>
        <w:trPr>
          <w:trHeight w:val="229"/>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74,024</w:t>
            </w:r>
          </w:p>
        </w:tc>
      </w:tr>
      <w:tr>
        <w:trPr>
          <w:trHeight w:val="230"/>
        </w:trPr>
        <w:tc>
          <w:tcPr>
            <w:tcW w:w="6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87,038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119,448</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258,985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348,328</w:t>
            </w:r>
          </w:p>
        </w:tc>
      </w:tr>
      <w:tr>
        <w:trPr>
          <w:trHeight w:val="223"/>
        </w:trPr>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65,768</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3"/>
        </w:trPr>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64,968</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75,631</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74,003</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4"/>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2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0.65</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5"/>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2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56,414</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56,367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56,338</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56,437</w:t>
            </w:r>
          </w:p>
        </w:tc>
      </w:tr>
      <w:tr>
        <w:trPr>
          <w:trHeight w:val="21"/>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10"/>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 2021</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4760" w:type="dxa"/>
            <w:vAlign w:val="bottom"/>
          </w:tcPr>
          <w:p>
            <w:pPr>
              <w:spacing w:after="0"/>
              <w:rPr>
                <w:sz w:val="22"/>
                <w:szCs w:val="22"/>
                <w:color w:val="auto"/>
              </w:rPr>
            </w:pPr>
          </w:p>
        </w:tc>
        <w:tc>
          <w:tcPr>
            <w:tcW w:w="1680" w:type="dxa"/>
            <w:vAlign w:val="bottom"/>
            <w:gridSpan w:val="4"/>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1"/>
        </w:trPr>
        <w:tc>
          <w:tcPr>
            <w:tcW w:w="476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vMerge w:val="restart"/>
          </w:tcPr>
          <w:p>
            <w:pPr>
              <w:jc w:val="center"/>
              <w:ind w:right="260"/>
              <w:spacing w:after="0" w:line="10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3"/>
            <w:vMerge w:val="restart"/>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restart"/>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 w:type="dxa"/>
            <w:vAlign w:val="bottom"/>
          </w:tcPr>
          <w:p>
            <w:pPr>
              <w:spacing w:after="0"/>
              <w:rPr>
                <w:sz w:val="12"/>
                <w:szCs w:val="12"/>
                <w:color w:val="auto"/>
              </w:rPr>
            </w:pP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Comprehensive Income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54,370</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563"/>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221,525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186,374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losses on securities, net of tax</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2021</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54,451</w:t>
            </w:r>
          </w:p>
        </w:tc>
        <w:tc>
          <w:tcPr>
            <w:tcW w:w="80" w:type="dxa"/>
            <w:vAlign w:val="bottom"/>
          </w:tcPr>
          <w:p>
            <w:pPr>
              <w:spacing w:after="0"/>
              <w:rPr>
                <w:sz w:val="16"/>
                <w:szCs w:val="16"/>
                <w:color w:val="auto"/>
              </w:rPr>
            </w:pPr>
          </w:p>
        </w:tc>
        <w:tc>
          <w:tcPr>
            <w:tcW w:w="700" w:type="dxa"/>
            <w:vAlign w:val="bottom"/>
            <w:tcBorders>
              <w:top w:val="single" w:sz="8" w:color="auto"/>
              <w:bottom w:val="single" w:sz="8" w:color="auto"/>
            </w:tcBorders>
            <w:gridSpan w:val="2"/>
          </w:tcPr>
          <w:p>
            <w:pPr>
              <w:jc w:val="right"/>
              <w:ind w:right="563"/>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231,208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223,208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454,609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4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10"/>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 2022</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4760" w:type="dxa"/>
            <w:vAlign w:val="bottom"/>
          </w:tcPr>
          <w:p>
            <w:pPr>
              <w:spacing w:after="0"/>
              <w:rPr>
                <w:sz w:val="22"/>
                <w:szCs w:val="22"/>
                <w:color w:val="auto"/>
              </w:rPr>
            </w:pPr>
          </w:p>
        </w:tc>
        <w:tc>
          <w:tcPr>
            <w:tcW w:w="1680" w:type="dxa"/>
            <w:vAlign w:val="bottom"/>
            <w:gridSpan w:val="4"/>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1"/>
        </w:trPr>
        <w:tc>
          <w:tcPr>
            <w:tcW w:w="476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vMerge w:val="restart"/>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3"/>
            <w:vMerge w:val="restart"/>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restart"/>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Comprehensive Loss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55,105</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54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231,106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275,876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506,693</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26,498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(1,560)</w:t>
            </w: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losses on securities, net of tax</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(1,218)</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34,846</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256,204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310,722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565,419</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4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10"/>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March 31, 2021</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4760" w:type="dxa"/>
            <w:vAlign w:val="bottom"/>
          </w:tcPr>
          <w:p>
            <w:pPr>
              <w:spacing w:after="0"/>
              <w:rPr>
                <w:sz w:val="22"/>
                <w:szCs w:val="22"/>
                <w:color w:val="auto"/>
              </w:rPr>
            </w:pPr>
          </w:p>
        </w:tc>
        <w:tc>
          <w:tcPr>
            <w:tcW w:w="1680" w:type="dxa"/>
            <w:vAlign w:val="bottom"/>
            <w:gridSpan w:val="4"/>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1"/>
        </w:trPr>
        <w:tc>
          <w:tcPr>
            <w:tcW w:w="476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vMerge w:val="restart"/>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3"/>
            <w:vMerge w:val="restart"/>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restart"/>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 w:type="dxa"/>
            <w:vAlign w:val="bottom"/>
          </w:tcPr>
          <w:p>
            <w:pPr>
              <w:spacing w:after="0"/>
              <w:rPr>
                <w:sz w:val="12"/>
                <w:szCs w:val="12"/>
                <w:color w:val="auto"/>
              </w:rPr>
            </w:pPr>
          </w:p>
        </w:tc>
        <w:tc>
          <w:tcPr>
            <w:tcW w:w="132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Comprehensive Income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53,792</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54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227,907</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164,272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392,908</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2,477</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2,477</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(54,172)</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losses on securities, net of tax</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(536)</w:t>
            </w: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58,936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54,451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231,208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223,208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454,609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10"/>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March 31, 2022</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4760" w:type="dxa"/>
            <w:vAlign w:val="bottom"/>
          </w:tcPr>
          <w:p>
            <w:pPr>
              <w:spacing w:after="0"/>
              <w:rPr>
                <w:sz w:val="22"/>
                <w:szCs w:val="22"/>
                <w:color w:val="auto"/>
              </w:rPr>
            </w:pPr>
          </w:p>
        </w:tc>
        <w:tc>
          <w:tcPr>
            <w:tcW w:w="1680" w:type="dxa"/>
            <w:vAlign w:val="bottom"/>
            <w:gridSpan w:val="4"/>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1"/>
        </w:trPr>
        <w:tc>
          <w:tcPr>
            <w:tcW w:w="476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vMerge w:val="restart"/>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3"/>
            <w:vMerge w:val="restart"/>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 w:type="dxa"/>
            <w:vAlign w:val="bottom"/>
          </w:tcPr>
          <w:p>
            <w:pPr>
              <w:spacing w:after="0"/>
              <w:rPr>
                <w:sz w:val="5"/>
                <w:szCs w:val="5"/>
                <w:color w:val="auto"/>
              </w:rPr>
            </w:pPr>
          </w:p>
        </w:tc>
        <w:tc>
          <w:tcPr>
            <w:tcW w:w="1320" w:type="dxa"/>
            <w:vAlign w:val="bottom"/>
            <w:gridSpan w:val="4"/>
            <w:vMerge w:val="restart"/>
          </w:tcPr>
          <w:p>
            <w:pPr>
              <w:jc w:val="center"/>
              <w:ind w:right="80"/>
              <w:spacing w:after="0" w:line="102" w:lineRule="exact"/>
              <w:rPr>
                <w:sz w:val="20"/>
                <w:szCs w:val="20"/>
                <w:color w:val="auto"/>
              </w:rPr>
            </w:pPr>
            <w:r>
              <w:rPr>
                <w:rFonts w:ascii="Times New Roman" w:cs="Times New Roman" w:eastAsia="Times New Roman" w:hAnsi="Times New Roman"/>
                <w:sz w:val="11"/>
                <w:szCs w:val="11"/>
                <w:b w:val="1"/>
                <w:bCs w:val="1"/>
                <w:color w:val="auto"/>
                <w:w w:val="97"/>
              </w:rPr>
              <w:t>Comprehensive Income</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54,594</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54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241,718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235,091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476,930</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7,216</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(70,428)</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losses on securities, net of tax</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(1,628)</w:t>
            </w:r>
          </w:p>
        </w:tc>
        <w:tc>
          <w:tcPr>
            <w:tcW w:w="0" w:type="dxa"/>
            <w:vAlign w:val="bottom"/>
          </w:tcPr>
          <w:p>
            <w:pPr>
              <w:spacing w:after="0"/>
              <w:rPr>
                <w:sz w:val="1"/>
                <w:szCs w:val="1"/>
                <w:color w:val="auto"/>
              </w:rPr>
            </w:pPr>
          </w:p>
        </w:tc>
      </w:tr>
      <w:tr>
        <w:trPr>
          <w:trHeight w:val="173"/>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55,120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4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256,204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310,722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565,419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58,936</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75,631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70,197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36,419</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accretion of discounts and amortization of premiums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(49,205)</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105,394</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(215,538)</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85,875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(107,576)</w:t>
            </w:r>
          </w:p>
        </w:tc>
        <w:tc>
          <w:tcPr>
            <w:tcW w:w="0" w:type="dxa"/>
            <w:vAlign w:val="bottom"/>
          </w:tcPr>
          <w:p>
            <w:pPr>
              <w:spacing w:after="0"/>
              <w:rPr>
                <w:sz w:val="1"/>
                <w:szCs w:val="1"/>
                <w:color w:val="auto"/>
              </w:rPr>
            </w:pPr>
          </w:p>
        </w:tc>
      </w:tr>
      <w:tr>
        <w:trPr>
          <w:trHeight w:val="19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203"/>
        </w:trPr>
        <w:tc>
          <w:tcPr>
            <w:tcW w:w="81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37,677</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(281,379)</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2,564,829</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(68,509)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578,972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2,503,472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702,409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2,327,487</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period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1,492,133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1,945,881</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period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2,194,542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4,273,368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 accrued but not paid</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Liabilities assumed for acquisitions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Refunds received for income taxes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 Balance Sheets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96,465</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2,019,089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4,176,903</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2,194,542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4,273,368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payroll and human capital management software solutions. Services are provided in a Software-as-a-Service (“SaaS”) delivery model utilizing the Company’s cloud-based platform. The Company’s comprehensive product suite, comprised of payroll, human capital management, workforce management, talent management, benefits, modern workforce solutions and analytics &amp; insights, delivers a unified platform that allows clients to make strategic decisions while promoting a modern workplace and improving employee engagement.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4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three and nine months ended March 31, 2022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2021 included in the Company’s Annual Report on Form 10-K.</w:t>
      </w:r>
    </w:p>
    <w:p>
      <w:pPr>
        <w:spacing w:after="0" w:line="158"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0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its revenue from contracts predominantly from recurring and non-recurring service fees. While the majority of its agreements are generally cancellable by the client on 60 days’ notice or less, the Company also offers term agreements to its clients,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HR related services, the Company recognizes the applicable recurring fees over time each month with the fee charged and collected based on a per employee per month fee. 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revenue by Recurring fees and Implementation services and other, which the Company believes depicts the nature, amount and timing of its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6"/>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599,513</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21,314</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620,827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consistent with the timing of invoicing as they occur simultaneously based on the client’s payroll frequency or by month for subscription-based fees. As such, the Company does not recognize contract assets or liabilities related to recurring revenue.</w:t>
      </w:r>
    </w:p>
    <w:p>
      <w:pPr>
        <w:spacing w:after="0" w:line="135"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nonrefundable upfront fees related to implementation services are invoiced with the client’s first payroll period. The Company defers and amortizes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18,865</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(4,097)</w:t>
            </w:r>
          </w:p>
        </w:tc>
        <w:tc>
          <w:tcPr>
            <w:tcW w:w="8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w:t>
            </w:r>
          </w:p>
        </w:tc>
      </w:tr>
      <w:tr>
        <w:trPr>
          <w:trHeight w:val="25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12,402</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of $4,982 in fiscal 2022, $6,127 in fiscal 2023 and $1,293 in fiscal 2024 and thereafter.</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5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135,742</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61,922</w:t>
            </w:r>
          </w:p>
        </w:tc>
        <w:tc>
          <w:tcPr>
            <w:tcW w:w="0" w:type="dxa"/>
            <w:vAlign w:val="bottom"/>
          </w:tcPr>
          <w:p>
            <w:pPr>
              <w:spacing w:after="0"/>
              <w:rPr>
                <w:sz w:val="1"/>
                <w:szCs w:val="1"/>
                <w:color w:val="auto"/>
              </w:rPr>
            </w:pP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181,474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1"/>
                <w:szCs w:val="11"/>
                <w:color w:val="auto"/>
              </w:rPr>
            </w:pPr>
          </w:p>
        </w:tc>
        <w:tc>
          <w:tcPr>
            <w:tcW w:w="134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22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1"/>
                <w:szCs w:val="11"/>
                <w:color w:val="auto"/>
              </w:rPr>
            </w:pPr>
          </w:p>
        </w:tc>
        <w:tc>
          <w:tcPr>
            <w:tcW w:w="118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168,638</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95,677</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264,315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 March 31, 2021</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135,742</w:t>
            </w: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61,922</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 March 31, 2022</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1"/>
                <w:szCs w:val="11"/>
                <w:color w:val="auto"/>
              </w:rPr>
            </w:pPr>
          </w:p>
        </w:tc>
        <w:tc>
          <w:tcPr>
            <w:tcW w:w="134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22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1"/>
                <w:szCs w:val="11"/>
                <w:color w:val="auto"/>
              </w:rPr>
            </w:pPr>
          </w:p>
        </w:tc>
        <w:tc>
          <w:tcPr>
            <w:tcW w:w="118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168,638</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95,677</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264,315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recorded in Cost of revenues, Sales and marketing, and General and administrative in the Unaudited Consolidated Statements of Operations and Comprehensive Income.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$49,698 as of March 31, 2022,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8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August 31, 2021, the Company entered into an Equity Purchase Agreement (the “Purchase Agreement”) with Blue Marble Payroll, LLC (“Blue Marble”) and its equity holders and acquired all of the issued and outstanding equity interests of Blue Marble for cash consideration of $60,961, subject to customary purchase price adjustments. Blue Marble’s payroll platform enables U.S.-based companies to manage payroll for employees outside the U.S. in line with complex local and country-specific requirements across many countries. This acquisition enables the Company to better serve its clients in managing their international workforces through a unified solution to pay employees, automate processes and stay compliant with regulations in other countries.</w:t>
      </w:r>
    </w:p>
    <w:p>
      <w:pPr>
        <w:spacing w:after="0" w:line="14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An entity affiliated with Steven I. Sarowitz, the Chairman of the board of directors and the largest shareholder of the Company, was the largest equity holder of Blue Marble. The board of directors of the Company appointed the Audit Committee, which is comprised solely of directors who are independent of the management of Blue Marble, the Blue Marble equity holders and the Company, to evaluate, assess and negotiate on its behalf the terms and conditions in the Purchase Agreement. The Audit Committee and the disinterested directors of the Company’s board of directors unanimously approved the Purchase Agreement and transactions specified within it.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preliminary allocation of the purchase price for Blue Marble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August 31, 2021</w:t>
            </w:r>
          </w:p>
        </w:tc>
      </w:tr>
      <w:tr>
        <w:trPr>
          <w:trHeight w:val="23"/>
        </w:trPr>
        <w:tc>
          <w:tcPr>
            <w:tcW w:w="9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34,776</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January 18, 2022, the Company acquired all of the shares outstanding of Cloudsnap, Inc., ("Cloudsnap") through a merger for cash consideration of $50,002, which was paid upon closing. Cloudsnap is a provider of a flexible, low-code solution for integrating disparate business applications. This transaction enables the Company to deliver modern integrations and seamless data sharing between critical systems more efficiently and effectively, while helping to unify and automate business processes across clients' HR, finance, benefits, and other systems.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preliminary allocation of the purchase price for Cloudsnap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January 18, 2022</w:t>
            </w:r>
          </w:p>
        </w:tc>
      </w:tr>
      <w:tr>
        <w:trPr>
          <w:trHeight w:val="23"/>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33,757</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The Company applied the acquisition method of accounting and recorded the assets acquired and liabilities assumed at their respective estimated fair values as of the dates of the acquisitions with the excess consideration paid recorded as goodwill. The fair values of assets acquired and liabilities assumed are currently provisional and are subject to change over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measurement periods as the Company continues to evaluate and analyze the estimates and assumptions used in the valuation. The measurement periods will end no later than one year from the respective acquisition dates.</w:t>
      </w:r>
    </w:p>
    <w:p>
      <w:pPr>
        <w:spacing w:after="0" w:line="121"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results from these acquisitions have been included in the Company’s consolidated financial statements since the closing of the acquisitions and are not material to the Company. Pro forma information is not presented because the effects of the acquisitions are not material to the Company’s consolidated financial statements. The goodwill related to these transactions is primarily attributable to the assembled workforce and growth opportunities from the expansion and enhancement of the Company’s product offerings. The goodwill associated with the Blue Marble acquisition is deductible for income tax purposes. The goodwill associated with the Cloudsnap acquisition is not deductible for income tax purposes. Direct costs related to the acquisitions were immaterial and were expensed as incurred as General and administrative in the Unaudited Consolidated Statements of Operations and Comprehensive Income.</w:t>
      </w:r>
    </w:p>
    <w:p>
      <w:pPr>
        <w:sectPr>
          <w:pgSz w:w="11900" w:h="16838" w:orient="portrait"/>
          <w:cols w:equalWidth="0" w:num="1">
            <w:col w:w="11240"/>
          </w:cols>
          <w:pgMar w:left="320" w:top="256"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Activity in the allowance for credit losses related to accounts receivable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2022</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280" w:hanging="1167"/>
        <w:spacing w:after="0"/>
        <w:tabs>
          <w:tab w:leader="none" w:pos="2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w:t>
      </w:r>
    </w:p>
    <w:p>
      <w:pPr>
        <w:spacing w:after="0" w:line="49"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43" w:lineRule="exact"/>
        <w:rPr>
          <w:sz w:val="20"/>
          <w:szCs w:val="20"/>
          <w:color w:val="auto"/>
        </w:rPr>
      </w:pPr>
    </w:p>
    <w:p>
      <w:pPr>
        <w:ind w:left="2280" w:hanging="1167"/>
        <w:spacing w:after="0"/>
        <w:tabs>
          <w:tab w:leader="none" w:pos="2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51435</wp:posOffset>
            </wp:positionV>
            <wp:extent cx="9429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March 31,</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150,922</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182,140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(124,427)</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costs is included in Cost of revenues and amounted to $6,005 and $6,308 for the three months ended March 31, 2021 and 2022, respectively, and $17,273 and $18,523 for the nine months ended March 31, 2021 and 2022,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(69,280)</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$3,966 and $4,098 for the three months ended March 31, 2021 and 2022, respectively, and $11,985 and $11,914 for the nine months ended March 31, 2021 and 2022,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nine months ended March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33,650</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 attributable to acquisitions</w:t>
            </w:r>
          </w:p>
        </w:tc>
        <w:tc>
          <w:tcPr>
            <w:tcW w:w="4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68,533</w:t>
            </w:r>
          </w:p>
        </w:tc>
        <w:tc>
          <w:tcPr>
            <w:tcW w:w="0" w:type="dxa"/>
            <w:vAlign w:val="bottom"/>
          </w:tcPr>
          <w:p>
            <w:pPr>
              <w:spacing w:after="0"/>
              <w:rPr>
                <w:sz w:val="1"/>
                <w:szCs w:val="1"/>
                <w:color w:val="auto"/>
              </w:rPr>
            </w:pPr>
          </w:p>
        </w:tc>
      </w:tr>
      <w:tr>
        <w:trPr>
          <w:trHeight w:val="27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102,183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Refer to Note 4 for further details on current year acquisitions.</w:t>
            </w:r>
          </w:p>
        </w:tc>
        <w:tc>
          <w:tcPr>
            <w:tcW w:w="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are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4"/>
                <w:szCs w:val="14"/>
                <w:color w:val="auto"/>
              </w:rPr>
            </w:pPr>
          </w:p>
        </w:tc>
        <w:tc>
          <w:tcPr>
            <w:tcW w:w="160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204"/>
        </w:trPr>
        <w:tc>
          <w:tcPr>
            <w:tcW w:w="6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(20,324)</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48,245</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was $1,028 and $2,630 for the three months ended March 31, 2021 and 2022, respectively, and $2,812 and $5,982 for the nine months ended March 31, 2021 and 2022,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amortization expense for acquired intangible assets as of March 31, 2022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2022</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0" w:type="dxa"/>
            <w:vAlign w:val="bottom"/>
          </w:tcPr>
          <w:p>
            <w:pPr>
              <w:spacing w:after="0"/>
              <w:rPr>
                <w:sz w:val="1"/>
                <w:szCs w:val="1"/>
                <w:color w:val="auto"/>
              </w:rPr>
            </w:pPr>
          </w:p>
        </w:tc>
      </w:tr>
      <w:tr>
        <w:trPr>
          <w:trHeight w:val="28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tc>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60" w:type="dxa"/>
            <w:vAlign w:val="bottom"/>
            <w:vMerge w:val="continue"/>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24"/>
                <w:szCs w:val="24"/>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3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67,965</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0" w:type="dxa"/>
            <w:vAlign w:val="bottom"/>
          </w:tcPr>
          <w:p>
            <w:pPr>
              <w:spacing w:after="0"/>
              <w:rPr>
                <w:sz w:val="1"/>
                <w:szCs w:val="1"/>
                <w:color w:val="auto"/>
              </w:rPr>
            </w:pPr>
          </w:p>
        </w:tc>
      </w:tr>
      <w:tr>
        <w:trPr>
          <w:trHeight w:val="27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0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Corporate Investments and Funds Held for Clients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Corporate investments and funds held for clients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8"/>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left="321"/>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ind w:left="241"/>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0"/>
        </w:trPr>
        <w:tc>
          <w:tcPr>
            <w:tcW w:w="504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202,287</w:t>
            </w: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1,743,594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1,743,594</w:t>
            </w: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w:t>
            </w: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 (1)</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20,452</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20,539</w:t>
            </w:r>
          </w:p>
        </w:tc>
      </w:tr>
      <w:tr>
        <w:trPr>
          <w:trHeight w:val="27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1,966,333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1,966,420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940" w:right="400" w:hanging="455"/>
        <w:spacing w:after="0" w:line="266"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fair value of total available-for-sale securities above is $4,456 of corporate investments and $16,083 of funds held for clients.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6"/>
          </w:tcPr>
          <w:p>
            <w:pPr>
              <w:ind w:left="10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8"/>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242"/>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0"/>
        </w:trPr>
        <w:tc>
          <w:tcPr>
            <w:tcW w:w="504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96,465</w:t>
            </w: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4,176,903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4,176,903</w:t>
            </w: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49,327</w:t>
            </w: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54,607</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53,319</w:t>
            </w: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w:t>
            </w: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23,785</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 (2)</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149,773</w:t>
            </w:r>
          </w:p>
        </w:tc>
        <w:tc>
          <w:tcPr>
            <w:tcW w:w="10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147,664</w:t>
            </w:r>
          </w:p>
        </w:tc>
      </w:tr>
      <w:tr>
        <w:trPr>
          <w:trHeight w:val="256"/>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4,423,141</w:t>
            </w: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4,421,032</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940" w:hanging="455"/>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available-for-sale securities are included in funds held for clients.</w:t>
      </w:r>
    </w:p>
    <w:p>
      <w:pPr>
        <w:spacing w:after="0" w:line="29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 demand deposit accounts and money market funds at June 30, 2021 and March 31, 2022.</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80" w:type="dxa"/>
            <w:vAlign w:val="bottom"/>
          </w:tcPr>
          <w:p>
            <w:pPr>
              <w:spacing w:after="0"/>
              <w:rPr>
                <w:sz w:val="16"/>
                <w:szCs w:val="16"/>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4"/>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investments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1,759,677</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4,324,567</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1,966,420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4,421,032</w:t>
            </w:r>
          </w:p>
        </w:tc>
      </w:tr>
      <w:tr>
        <w:trPr>
          <w:trHeight w:val="21"/>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Available-for-sale securities that have been in an unrealized loss position for a period of less than 12 months as of March 31, 2022 had fair market value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9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158"/>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0" w:type="dxa"/>
            <w:vAlign w:val="bottom"/>
            <w:gridSpan w:val="4"/>
          </w:tcPr>
          <w:p>
            <w:pPr>
              <w:jc w:val="right"/>
              <w:ind w:right="514"/>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r>
      <w:tr>
        <w:trPr>
          <w:trHeight w:val="23"/>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8"/>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30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500" w:type="dxa"/>
            <w:vAlign w:val="bottom"/>
          </w:tcPr>
          <w:p>
            <w:pPr>
              <w:spacing w:after="0"/>
              <w:rPr>
                <w:sz w:val="14"/>
                <w:szCs w:val="14"/>
                <w:color w:val="auto"/>
              </w:rPr>
            </w:pPr>
          </w:p>
        </w:tc>
        <w:tc>
          <w:tcPr>
            <w:tcW w:w="9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09"/>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500" w:type="dxa"/>
            <w:vAlign w:val="bottom"/>
          </w:tcPr>
          <w:p>
            <w:pPr>
              <w:spacing w:after="0"/>
              <w:rPr>
                <w:sz w:val="18"/>
                <w:szCs w:val="18"/>
                <w:color w:val="auto"/>
              </w:rPr>
            </w:pPr>
          </w:p>
        </w:tc>
        <w:tc>
          <w:tcPr>
            <w:tcW w:w="9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55"/>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145,132</w:t>
            </w: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available-for-sale securities in an unrealized loss position at June 30, 2021. As a result, no securities have been in an unrealized loss position for more than 12 months as of March 31, 2022.</w:t>
      </w:r>
    </w:p>
    <w:p>
      <w:pPr>
        <w:spacing w:after="0" w:line="13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three or nine months ended March 31, 2021 or 2022. All securities in the Company’s portfolio held an A-1 rating or better as of March 31, 2022.</w:t>
      </w:r>
    </w:p>
    <w:p>
      <w:pPr>
        <w:spacing w:after="0" w:line="13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three or nine months ended March 31, 2021 or 2022. There were no realized gains or losses on the sale of available-for-sale securities for the three or nine months ended March 31, 2021 or 2022.</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March 31, 2022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40" w:type="dxa"/>
            <w:vAlign w:val="bottom"/>
          </w:tcPr>
          <w:p>
            <w:pPr>
              <w:spacing w:after="0"/>
              <w:rPr>
                <w:sz w:val="14"/>
                <w:szCs w:val="14"/>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147,664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189"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98"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certain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2021 and March 31, 2022 based upon the short-term nature of these assets and liabilities.</w:t>
      </w:r>
    </w:p>
    <w:p>
      <w:pPr>
        <w:spacing w:after="0" w:line="13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certificate of deposit, U.S. treasury securities, U.S. government agency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2021 or March 31,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202,287</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1,743,594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1,743,594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1,966,420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64"/>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96,465</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4,176,903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4,176,903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147,664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147,664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4,421,032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4,273,368</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147,664</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July 2019, the Company entered into a five-year revolving credit agreement with PNC Bank, National Association, and other lenders, which is secured by substantially all of the Company’s assets, subject to certain restrictions. The revolving credit agreement provides for a senior secured revolving credit facility (the “credit facility”) under which the Company may borrow up to $250,000, which may be increased up to $375,000, subject to obtaining additional lender commitments and certain approvals and satisfying other requirements. The credit facility is scheduled to expire in July 2024. In January 2022, the Company borrowed $50,000 under the credit facility in connection with its acquisition of Cloudsnap, which it repaid prior to March 31, 2022. Refer to Note 4 for additional details on this acquisition. There were no borrowings under the credit facility at June 30, 2021 or March 31,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 with respect to London Interbank Offered Rate (“LIBOR”) revolving loans.</w:t>
      </w:r>
    </w:p>
    <w:p>
      <w:pPr>
        <w:spacing w:after="0" w:line="139"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Any borrowings under the credit facility will generally bear interest, at the Company’s option, at a rate per annum determined by reference to either the LIBOR (or a replacement index for the LIBOR rate) or an adjusted base rate, in each case plus an applicable margin ranging from 0.875% to 1.375% and 0.0% to 0.375%, respectively, based on the then-applicable net senior secured leverage ratio. Additionally, the Company is required to pay certain commitment, letter of credit fronting and letter of credit participation fees on available and/or undrawn portions of the credit facility.</w:t>
      </w:r>
    </w:p>
    <w:p>
      <w:pPr>
        <w:spacing w:after="0" w:line="15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Under the credit facility, the Company is required to comply with certain customary affirmative and negative covenants, including a requirement to maintain a maximum net total leverage ratio of not greater than 4.00 to 1.00, a maximum net senior secured leverage ratio of not greater than 3.50 to 1.00 and a minimum interest coverage ratio of not less than 3.00 to 1.00. As of March 31, 2022, the Company was in compliance with all of the aforementioned covenants.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 The Company's board of directors approved the increase in the number of common shares in reserve for issuance under the 2014 Plan by 2,400 shares, effective January 1, 2022.</w:t>
      </w:r>
    </w:p>
    <w:p>
      <w:pPr>
        <w:spacing w:after="0" w:line="161"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had 14,391 shares allocated to the plans, of which 1,999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3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number of shares available for grant under the Company’s equity incentive plans during the nine months ended March 31,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95"/>
        </w:trPr>
        <w:tc>
          <w:tcPr>
            <w:tcW w:w="9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for grant at July 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2022 Evergreen provision increase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in settlement of taxes and/or exercise price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removed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grant at March 31,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12,392</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firstLine="648"/>
        <w:spacing w:after="0" w:line="312" w:lineRule="auto"/>
        <w:rPr>
          <w:sz w:val="20"/>
          <w:szCs w:val="20"/>
          <w:color w:val="auto"/>
        </w:rPr>
      </w:pPr>
      <w:r>
        <w:rPr>
          <w:rFonts w:ascii="Times New Roman" w:cs="Times New Roman" w:eastAsia="Times New Roman" w:hAnsi="Times New Roman"/>
          <w:sz w:val="17"/>
          <w:szCs w:val="17"/>
          <w:color w:val="auto"/>
        </w:rPr>
        <w:t>Stock-based compensation expense related to restricted stock units (“RSUs”), market share units (“MSUs”) and the Employee Stock Purchase Plan is included in the following line items in the accompanying unaudited consolidated statements of operations and comprehensive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c>
          <w:tcPr>
            <w:tcW w:w="272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15,994</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31,380</w:t>
            </w: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16,011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In addition, the Company capitalized $652 and $1,886 of stock-based compensation expense in its capitalized internal-use software costs in the three months ended March 31, 2021 and 2022, respectively, and $1,949 and $5,312 during the nine months ended March 31, 2021 and 2022, respectively.</w:t>
      </w:r>
    </w:p>
    <w:p>
      <w:pPr>
        <w:spacing w:after="0" w:line="11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August 2020, the compensation committee of the Company’s board of directors approved the modification of the performance targets for vesting of the performance-based restricted stock units granted in fiscal 2020. The Company recorded $1,776 and $1,819 in stock-based compensation expense during the three months ended March 31, 2021 and 2022, respectively, and $4,560 and $4,877 during the nine months ended March 31, 2021 and 2022, respectively, related to these modified performance-based restricted stock units.</w:t>
      </w:r>
    </w:p>
    <w:p>
      <w:pPr>
        <w:spacing w:after="0" w:line="13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March 2022, Michael Haske announced his intent to resign from his position effective September 1, 2022. In connection with his resignation, the Company’s board of directors approved a Transition and Separation Agreement and a Consulting Services Agreement whereby Mr. Haske will provide consulting services to the Company for a period of one year after the end of his employment on September 1, 2022. Pursuant to these agreements, the compensation committee of the Company's board of directors approved the modifications of certain of Mr. Haske's outstanding RSUs and MSUs to allow the awards to continue to vest after the end of his service period. As a result, the Company will record the cumulative effect of the modifications and accelerate the recognition of the remaining expense associated with certain of Mr. Haske's unmodified outstanding awards over his remaining substantive service period. The modifications of these awards did not have a material impact on the Company's financial statements.</w:t>
      </w:r>
    </w:p>
    <w:p>
      <w:pPr>
        <w:spacing w:after="0" w:line="14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nine months ended March 31, 2022. The table below presents stock option activity during the nine months ended March 31,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04"/>
        </w:trPr>
        <w:tc>
          <w:tcPr>
            <w:tcW w:w="50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60" w:type="dxa"/>
            <w:vAlign w:val="bottom"/>
          </w:tcPr>
          <w:p>
            <w:pPr>
              <w:spacing w:after="0"/>
              <w:rPr>
                <w:sz w:val="17"/>
                <w:szCs w:val="17"/>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2021</w:t>
            </w:r>
          </w:p>
        </w:tc>
        <w:tc>
          <w:tcPr>
            <w:tcW w:w="1480" w:type="dxa"/>
            <w:vAlign w:val="bottom"/>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6"/>
              </w:rPr>
              <w:t>765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133,550</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Borders>
              <w:bottom w:val="single" w:sz="8" w:color="auto"/>
            </w:tcBorders>
          </w:tcPr>
          <w:p>
            <w:pPr>
              <w:jc w:val="center"/>
              <w:ind w:left="936"/>
              <w:spacing w:after="0"/>
              <w:rPr>
                <w:sz w:val="20"/>
                <w:szCs w:val="20"/>
                <w:color w:val="auto"/>
              </w:rPr>
            </w:pPr>
            <w:r>
              <w:rPr>
                <w:rFonts w:ascii="Times New Roman" w:cs="Times New Roman" w:eastAsia="Times New Roman" w:hAnsi="Times New Roman"/>
                <w:sz w:val="18"/>
                <w:szCs w:val="18"/>
                <w:color w:val="auto"/>
                <w:w w:val="97"/>
              </w:rPr>
              <w:t>(204)</w:t>
            </w:r>
          </w:p>
        </w:tc>
        <w:tc>
          <w:tcPr>
            <w:tcW w:w="3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80" w:type="dxa"/>
            <w:vAlign w:val="bottom"/>
            <w:tcBorders>
              <w:bottom w:val="single" w:sz="8" w:color="auto"/>
            </w:tcBorders>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6"/>
              </w:rPr>
              <w:t>561</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March 31, 2022</w:t>
            </w:r>
          </w:p>
        </w:tc>
        <w:tc>
          <w:tcPr>
            <w:tcW w:w="1480" w:type="dxa"/>
            <w:vAlign w:val="bottom"/>
            <w:tcBorders>
              <w:bottom w:val="single" w:sz="8" w:color="auto"/>
            </w:tcBorders>
          </w:tcPr>
          <w:p>
            <w:pPr>
              <w:jc w:val="center"/>
              <w:ind w:left="976"/>
              <w:spacing w:after="0"/>
              <w:rPr>
                <w:sz w:val="20"/>
                <w:szCs w:val="20"/>
                <w:color w:val="auto"/>
              </w:rPr>
            </w:pPr>
            <w:r>
              <w:rPr>
                <w:rFonts w:ascii="Times New Roman" w:cs="Times New Roman" w:eastAsia="Times New Roman" w:hAnsi="Times New Roman"/>
                <w:sz w:val="18"/>
                <w:szCs w:val="18"/>
                <w:color w:val="auto"/>
                <w:w w:val="96"/>
              </w:rPr>
              <w:t>561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105,094</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was $20,975 and $1,819 during the three months ended March 31, 2021 and 2022, respectively, and $58,252 and $49,446 during the nine months ended March 31, 2021 and 2022, respectively.</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grants RSUs under the 2014 Plan with terms determined at the discretion of the compensation committee of the Company’s board of directors. RSUs generally vest over three or four years following the grant date. Certain RSU awards have time-based vesting conditions while other RSUs vest based on the achievement of certain revenue growth and/or Adjusted EBITDA margin targets. For these performance-based RSUs, the Company recognizes stock-based compensation expense based upon the probable or actual achievement of these aforementioned performance metrics.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restricted stock unit activity during the nine months ended March 31,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8180" w:type="dxa"/>
            <w:vAlign w:val="bottom"/>
          </w:tcPr>
          <w:p>
            <w:pPr>
              <w:spacing w:after="0"/>
              <w:rPr>
                <w:sz w:val="12"/>
                <w:szCs w:val="12"/>
                <w:color w:val="auto"/>
              </w:rPr>
            </w:pPr>
          </w:p>
        </w:tc>
        <w:tc>
          <w:tcPr>
            <w:tcW w:w="9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6"/>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25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247.98</w:t>
            </w:r>
          </w:p>
        </w:tc>
        <w:tc>
          <w:tcPr>
            <w:tcW w:w="0" w:type="dxa"/>
            <w:vAlign w:val="bottom"/>
          </w:tcPr>
          <w:p>
            <w:pPr>
              <w:spacing w:after="0"/>
              <w:rPr>
                <w:sz w:val="1"/>
                <w:szCs w:val="1"/>
                <w:color w:val="auto"/>
              </w:rPr>
            </w:pPr>
          </w:p>
        </w:tc>
      </w:tr>
      <w:tr>
        <w:trPr>
          <w:trHeight w:val="26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0" w:type="dxa"/>
            <w:vAlign w:val="bottom"/>
          </w:tcPr>
          <w:p>
            <w:pPr>
              <w:spacing w:after="0"/>
              <w:rPr>
                <w:sz w:val="1"/>
                <w:szCs w:val="1"/>
                <w:color w:val="auto"/>
              </w:rPr>
            </w:pPr>
          </w:p>
        </w:tc>
      </w:tr>
      <w:tr>
        <w:trPr>
          <w:trHeight w:val="277"/>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March 31, 2022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At March 31, 2022, there was $113,191 of total unrecognized compensation cost, net of estimated forfeitures, related to unvested restricted stock units granted. That cost is expected to be recognized over a weighted average period of 1.9 years.</w:t>
      </w:r>
    </w:p>
    <w:p>
      <w:pPr>
        <w:spacing w:after="0" w:line="13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MSUs under the 2014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market share unit activity during the nine months ended March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7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0"/>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2021</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6"/>
              </w:rPr>
              <w:t>178.04</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417"/>
              <w:spacing w:after="0"/>
              <w:rPr>
                <w:sz w:val="20"/>
                <w:szCs w:val="20"/>
                <w:color w:val="auto"/>
              </w:rPr>
            </w:pPr>
            <w:r>
              <w:rPr>
                <w:rFonts w:ascii="Times New Roman" w:cs="Times New Roman" w:eastAsia="Times New Roman" w:hAnsi="Times New Roman"/>
                <w:sz w:val="18"/>
                <w:szCs w:val="18"/>
                <w:color w:val="auto"/>
                <w:w w:val="96"/>
              </w:rPr>
              <w:t>361.02</w:t>
            </w: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forfeited</w:t>
            </w: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6"/>
              </w:rPr>
              <w:t>178.04</w:t>
            </w:r>
          </w:p>
        </w:tc>
      </w:tr>
      <w:tr>
        <w:trPr>
          <w:trHeight w:val="25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 balance at March 31, 2022</w:t>
            </w:r>
          </w:p>
        </w:tc>
        <w:tc>
          <w:tcPr>
            <w:tcW w:w="1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417"/>
              <w:spacing w:after="0"/>
              <w:rPr>
                <w:sz w:val="20"/>
                <w:szCs w:val="20"/>
                <w:color w:val="auto"/>
              </w:rPr>
            </w:pPr>
            <w:r>
              <w:rPr>
                <w:rFonts w:ascii="Times New Roman" w:cs="Times New Roman" w:eastAsia="Times New Roman" w:hAnsi="Times New Roman"/>
                <w:sz w:val="18"/>
                <w:szCs w:val="18"/>
                <w:color w:val="auto"/>
                <w:w w:val="96"/>
              </w:rPr>
              <w:t>263.83</w:t>
            </w:r>
          </w:p>
        </w:tc>
      </w:tr>
      <w:tr>
        <w:trPr>
          <w:trHeight w:val="20"/>
        </w:trPr>
        <w:tc>
          <w:tcPr>
            <w:tcW w:w="7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1124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tc>
      </w:tr>
      <w:tr>
        <w:trPr>
          <w:trHeight w:val="380"/>
        </w:trPr>
        <w:tc>
          <w:tcPr>
            <w:tcW w:w="7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center"/>
              <w:ind w:left="397"/>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47.4 - 47.5%</w:t>
            </w:r>
          </w:p>
        </w:tc>
        <w:tc>
          <w:tcPr>
            <w:tcW w:w="10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2.92 - 3.04</w:t>
            </w:r>
          </w:p>
        </w:tc>
        <w:tc>
          <w:tcPr>
            <w:tcW w:w="10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0.43 - 0.47%</w:t>
            </w:r>
          </w:p>
        </w:tc>
        <w:tc>
          <w:tcPr>
            <w:tcW w:w="100" w:type="dxa"/>
            <w:vAlign w:val="bottom"/>
            <w:shd w:val="clear" w:color="auto" w:fill="CCEEFF"/>
          </w:tcPr>
          <w:p>
            <w:pPr>
              <w:spacing w:after="0"/>
              <w:rPr>
                <w:sz w:val="22"/>
                <w:szCs w:val="22"/>
                <w:color w:val="auto"/>
              </w:rPr>
            </w:pPr>
          </w:p>
        </w:tc>
      </w:tr>
    </w:tbl>
    <w:p>
      <w:pPr>
        <w:spacing w:after="0" w:line="25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At March 31, 2022, there was $16,131 of total unrecognized compensation cost, net of estimated forfeitures, related to unvested MSUs. That cost is expected to be recognized over a period of 2.2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18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The Company is unable to estimate any reasonably possible loss, or range of loss, with respect to this matter at this time. The Company intends to vigorously defend against this lawsuit.</w:t>
      </w:r>
    </w:p>
    <w:p>
      <w:pPr>
        <w:spacing w:after="0" w:line="15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subject to litigation arising in the ordinary course of business. Many of these matters are covered in whole or in part by insurance. In the opinion of the Company’s management, the ultimate</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22"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The Company’s effective tax rate was 5.4% and 26.0% for the three months ended March 31, 2021 and 2022, respectively. The Company’s effective tax rate for the three months ended March 31, 2021 was lower than the federal statutory rate of 21% primarily due to excess tax benefits from employee stock-based compensation and state and local income taxes, partially offset by an increase to the valuation allowance. The Company's effective tax rate for the three months ended March 31, 2022 was higher than the federal statutory rate of 21% primarily due to an increase in non-deductible stock-based compensation under Internal Revenue Code Section 162(m), partially offset by research and development tax credits.</w:t>
      </w:r>
    </w:p>
    <w:p>
      <w:pPr>
        <w:spacing w:after="0" w:line="15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(22.5)% and (16.4)% for the nine months ended March 31, 2021 and 2022, respectively. The Company's effective tax rate for the nine months ended March 31, 2021, and March 31, 2022 was lower than the federal statutory rate of 21% primarily due to excess tax benefits from employee stock-based compensation, research and development tax credits and state and local income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and the shares purchasable via the employee stock purchase plan as of the balance sheet date. The following table presents the calculation of basic and diluted net income per share: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36,834</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34,846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58,936</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75,631</w:t>
            </w:r>
          </w:p>
        </w:tc>
      </w:tr>
      <w:tr>
        <w:trPr>
          <w:trHeight w:val="277"/>
        </w:trPr>
        <w:tc>
          <w:tcPr>
            <w:tcW w:w="50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54,415</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54,996</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11"/>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options, restricted stock units, market share units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1"/>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and employee stock purchase plan shares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56"/>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56,414</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56,367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56,437</w:t>
            </w:r>
          </w:p>
        </w:tc>
      </w:tr>
      <w:tr>
        <w:trPr>
          <w:trHeight w:val="270"/>
        </w:trPr>
        <w:tc>
          <w:tcPr>
            <w:tcW w:w="5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904"/>
        </w:trPr>
        <w:tc>
          <w:tcPr>
            <w:tcW w:w="5040" w:type="dxa"/>
            <w:vAlign w:val="bottom"/>
          </w:tcPr>
          <w:p>
            <w:pPr>
              <w:spacing w:after="0"/>
              <w:rPr>
                <w:sz w:val="24"/>
                <w:szCs w:val="24"/>
                <w:color w:val="auto"/>
              </w:rPr>
            </w:pPr>
          </w:p>
        </w:tc>
        <w:tc>
          <w:tcPr>
            <w:tcW w:w="9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1"/>
        </w:trPr>
        <w:tc>
          <w:tcPr>
            <w:tcW w:w="50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and market share units that were excluded from the diluted per share calculation for the periods presented because to include them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64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3"/>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6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5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share units</w:t>
            </w:r>
          </w:p>
        </w:tc>
        <w:tc>
          <w:tcPr>
            <w:tcW w:w="1600" w:type="dxa"/>
            <w:vAlign w:val="bottom"/>
            <w:gridSpan w:val="3"/>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1"/>
                <w:szCs w:val="21"/>
                <w:color w:val="auto"/>
              </w:rPr>
            </w:pPr>
          </w:p>
        </w:tc>
        <w:tc>
          <w:tcPr>
            <w:tcW w:w="216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7"/>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892"/>
        </w:trPr>
        <w:tc>
          <w:tcPr>
            <w:tcW w:w="61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1"/>
        </w:trPr>
        <w:tc>
          <w:tcPr>
            <w:tcW w:w="50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“Item 1A. Risk Factors” of our Annual Report on Form 10-K for the fiscal year ended June 30, 2021 filed with the SEC on August 6, 2021.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a cloud-based provider of payroll and human capital management (“HCM”) software solutions. Our comprehensive product suite delivers a unified platform to create a modern workplace for our clients through automation, data-driven insights and engagement. Our product suite enables professionals to make strategic decisions in the areas of payroll, human capital management, workforce management, talent management, benefits, modern workforce solutions and analytics &amp; insights, all while promoting a modern workplace and improving employee engagement.</w:t>
      </w:r>
    </w:p>
    <w:p>
      <w:pPr>
        <w:spacing w:after="0" w:line="13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designed our cloud-based platform to provide a unified suite of modules using a multi-tenant architecture. Our solutions are highly flexible and configurable and feature a modern, intuitive user experience. Our platform offers automated data integration with over 400 related third-party systems, such as 401(k), benefits and insurance provider systems. We have invested in, and we intend to continue to invest in, research and development to expand our product offerings and advance our platform.</w:t>
      </w:r>
    </w:p>
    <w:p>
      <w:pPr>
        <w:spacing w:after="0" w:line="15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4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We also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order to continue to grow our business over the long term, we will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novel coronavirus disease (“COVID-19”) continues to impact the global economy. The duration and severity of the COVID-19 pandemic, and the long-term effects the pandemic will have on our clients and general economic conditions, remain uncertain and difficult to predict. Despite the uncertainties related to the COVID-19 pandemic, we continue to deliver strong sales performance and operational execution as the demand for our product offerings remains robust. As the end of the pandemic is difficult to predict, our business and financial performance may be unfavorably impacted in future periods. Refer to “Part I. Item 1A. Risk Factors” in our Annual Report on Form 10-K filed with the Securities and Exchange Commission on August 6, 2021 for further discussion of the impact and possible future impacts of the COVID-19 pandemic on our business.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$186.1 million for the three months ended March 31, 2021 to $246.0 million for the three months ended March 31, 2022, representing a 32% year-over-year increase. Total revenues increased from $468.2 million for the nine months ended March 31, 2021 to $623.7 million for the nine months ended March 31, 2022, representing a 33% year-over-year increase. The increase in year-over-year revenue growth was driven by the strong performance by our sales team and an overall improvement in macroeconomic conditions compared to the prior year. Our revenue growth in future periods may be impacted by fluctuations in client employee counts, potential increases in client losses, a changing interest rate environment, uncertainties around market and economic conditions including inflation risk, among other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20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3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13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stock-based compensation expense and employer payroll taxes related to stock releases and option exercises. We define Adjusted EBITDA as net income before interest expense, income tax expense, depreciation and amortization expense, stock-based compensation expense and employer payroll taxes related to stock releases and option exercises and other items as defined below.</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our Adjusted Gross Profit and Adjusted EBITDA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3"/>
          </w:tcPr>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331,602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442,545</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132,775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178,456</w:t>
            </w:r>
          </w:p>
        </w:tc>
      </w:tr>
      <w:tr>
        <w:trPr>
          <w:trHeight w:val="905"/>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128,727</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307,928</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414,096</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18,523</w:t>
            </w: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1"/>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5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136,728</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331,602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442,545</w:t>
            </w:r>
          </w:p>
        </w:tc>
      </w:tr>
      <w:tr>
        <w:trPr>
          <w:trHeight w:val="21"/>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55"/>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4"/>
                <w:szCs w:val="24"/>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24"/>
                <w:szCs w:val="24"/>
                <w:color w:val="auto"/>
              </w:rPr>
            </w:pPr>
          </w:p>
        </w:tc>
      </w:tr>
      <w:tr>
        <w:trPr>
          <w:trHeight w:val="190"/>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36,834</w:t>
            </w:r>
          </w:p>
        </w:tc>
        <w:tc>
          <w:tcPr>
            <w:tcW w:w="8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58,936</w:t>
            </w:r>
          </w:p>
        </w:tc>
        <w:tc>
          <w:tcPr>
            <w:tcW w:w="100" w:type="dxa"/>
            <w:vAlign w:val="bottom"/>
          </w:tcPr>
          <w:p>
            <w:pPr>
              <w:spacing w:after="0"/>
              <w:rPr>
                <w:sz w:val="22"/>
                <w:szCs w:val="22"/>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75,631</w:t>
            </w:r>
          </w:p>
        </w:tc>
      </w:tr>
      <w:tr>
        <w:trPr>
          <w:trHeight w:val="25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36,419</w:t>
            </w: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101,773</w:t>
            </w: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74,866</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81"/>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66,941</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132,775</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178,456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acquisition-related costs.</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costs including acquisition and other transaction-related costs and lease exit activity.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payroll and HCM solutions. Implementations of our payroll solutions typically require only one to eight weeks, depending on the size and complexity of each client,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and other revenue accounted for substantially all of our total revenues during both the three and nine months ended March 31, 2021 and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Cost of revenues includes costs to provide our payroll and other HCM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and bank fees associated with client fund transfers. Employee costs related to recurring support are generally expensed as incurred whereas such costs for implementation of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6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all amortized as Cost of revenues. We amortized $6.0 million and $6.3 million of capitalized internal-use software costs during the three months ended March 31, 2021 and 2022, respectively, and $17.3 million and $18.5 million of capitalized internal-used software costs during the nine months ended March 31, 2021 and 2022,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on new sales throughout the fiscal year. We capitalize certain selling and commission costs related to new contracts or purchases of additional services by our existing clients and amortize them over a period of 7 years.</w:t>
      </w:r>
    </w:p>
    <w:p>
      <w:pPr>
        <w:spacing w:after="0" w:line="13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teams,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3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of capitalized and expensed research and development expenses for the three and nine months ended March 31, 2021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9"/>
        </w:trPr>
        <w:tc>
          <w:tcPr>
            <w:tcW w:w="5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10,914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23,476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31,218</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18,458</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25,670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56,443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74,024</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26,544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36,584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79,919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105,242</w:t>
            </w: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00"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and corporate investments, net of losses on disposal of property and equipment and interest expense related to our revolving credit facility.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2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6"/>
        </w:trPr>
        <w:tc>
          <w:tcPr>
            <w:tcW w:w="5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9"/>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620,827</w:t>
            </w:r>
          </w:p>
        </w:tc>
      </w:tr>
      <w:tr>
        <w:trPr>
          <w:trHeight w:val="229"/>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186,053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623,704</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160,248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209,608</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307,928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414,096</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154,856</w:t>
            </w: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74,024</w:t>
            </w: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119,448</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89,584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258,985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348,328</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65,768</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64,968</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1"/>
        </w:trPr>
        <w:tc>
          <w:tcPr>
            <w:tcW w:w="50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4"/>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2021 and 2022</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7"/>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4"/>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0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three months ended March 31, 2022 increased by $60.0 million, or 32%, to $245.0 million from $184.9 million for three months ended March 31, 2021. Recurring and other revenue increased primarily as a result of incremental revenues from new and existing clients due to the strong performance by our sales team and improved macroeconomic conditions as compared to the prior fiscal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March 31, 2022 decreased by 10% from the three months ended March 31, 2021. Interest income on funds held for clients continues to be impacted by the low interest rate environment due to the interest rate cuts by the Federal Reserve in response to the COVID-19 pandemic. The impact from the lower interest rates was partially offset by higher average daily balances for funds held due to the addition of new clients to our client base and increases in client employee counts on our platform.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60" w:type="dxa"/>
            <w:vAlign w:val="bottom"/>
            <w:gridSpan w:val="3"/>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57,326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75,538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Cost of revenues for the three months ended March 31, 2022 increased by $18.2 million, or 32%, to $75.5 million from $57.3 million for the three months ended March 31, 2021. Cost of revenues increased primarily as a result of the continued growth of our business, in particular, $10.4 million in additional employee-related costs resulting from additional personnel necessary to provide services to new and existing clients and $6.5 million in additional delivery and other processing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40,055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52,752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12,697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the three months ended March 31, 2022 increased by $12.7 million, or 32%, to $52.8 million from $40.1 million for the three months ended March 31, 2021. The increase in sales and marketing expense was primarily due to $9.2 million of additional employee-related costs, including those incurred to expand our sales team, and an increase in overall spending on travel and entertainment as COVID-19 pandemic restrictions eased within the United States. The increase was also driven by $1.2 million in additional marketing lead generation costs and $1.2 million of additional stock-based compensation costs associated with our equity incentive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18,458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25,670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7,212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2022 increased by $7.2 million, or 39%, to $25.7 million from $18.5 million for the three months ended March 31, 2021. The increase in research and development expenses was primarily due to $6.3 million of additional employee-related costs related to additional development personnel and $2.3 million of additional stock-based compensation costs associated with our equity incentive plan, partially offset by higher period-over-period capitalized internal-use software costs of $1.6 million.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31,071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44,632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13,561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2022 increased by $13.6 million, or 44%, to $44.6 million from $31.1 million for the three months ended March 31, 2021. The increase in general and administrative expense was primarily due to $3.2 million in additional employee-related costs, $3.0 million in additional 401(k) expense, $4.0 million of additional stock-based compensation associated with our equity incentive plan and $1.6 million in additional amortization related to acquired intangible assets.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34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234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5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420" w:firstLine="648"/>
        <w:spacing w:after="0" w:line="453" w:lineRule="auto"/>
        <w:rPr>
          <w:sz w:val="20"/>
          <w:szCs w:val="20"/>
          <w:color w:val="auto"/>
        </w:rPr>
      </w:pPr>
      <w:r>
        <w:rPr>
          <w:rFonts w:ascii="Times New Roman" w:cs="Times New Roman" w:eastAsia="Times New Roman" w:hAnsi="Times New Roman"/>
          <w:sz w:val="18"/>
          <w:szCs w:val="18"/>
          <w:color w:val="auto"/>
        </w:rPr>
        <w:t xml:space="preserve">Other expense did not materially change for the three months ended March 31, 2022 as compared to the three months ended March 31, 2021. </w:t>
      </w:r>
      <w:r>
        <w:rPr>
          <w:rFonts w:ascii="Times New Roman" w:cs="Times New Roman" w:eastAsia="Times New Roman" w:hAnsi="Times New Roman"/>
          <w:sz w:val="18"/>
          <w:szCs w:val="18"/>
          <w:i w:val="1"/>
          <w:iCs w:val="1"/>
          <w:color w:val="auto"/>
        </w:rPr>
        <w:t>Income Taxes</w:t>
      </w:r>
    </w:p>
    <w:p>
      <w:pPr>
        <w:spacing w:after="0" w:line="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effective tax rate was 5.4% and 26.0% for the three months ended March 31, 2021 and 2022, respectively. Our effective tax rate for the three months ended March 31, 2021 was lower than the federal statutory rate of 21% primarily due to excess tax benefits from employee stock-based compensation and state and local income taxes, partially offset by an increase to the valuation allowance. Our effective tax rate for the three months ended March 31, 2022 was higher than the federal statutory rate of 21% primarily due to an increase in non-deductible stock-based compensation under Internal Revenue Code Section 162(m), partially offset by research and development tax credits.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March 31, 2021 and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465,195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620,827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155,632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0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nine months ended March 31, 2022 increased by $155.6 million, or 33%, to $620.8 million from $465.2 million for nine months ended March 31, 2021. Recurring and other revenue increased primarily as a result of incremental revenues from new and existing clients due to the strong performance by our sales team and improved macroeconomic conditions compared to the prior fiscal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nine months ended March 31, 2022 decreased by 3% from the nine months ended March 31, 2021. Interest income on funds held for clients continues to be impacted by the low interest rate environment due to the interest rate cuts by the Federal Reserve in response to the COVID-19 pandemic. The impact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from the lower interest rates was partially offset by higher average daily balances for funds held due to the addition of new clients to our client base and increases in client employee counts on our platform.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160,248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209,608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Cost of revenues for the nine months ended March 31, 2022 increased by $49.4 million, or 31%, to $209.6 million from $160.2 million for the nine months ended March 31, 2021. Cost of revenues increased primarily as a result of the continued growth of our business, in particular, $29.7 million in additional employee-related costs resulting from additional personnel necessary to provide services to new and existing clients, $15.4 million related to delivery and other processing costs and $3.1 million of additional stock-based compensation costs associated with our equity incentive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115,504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154,856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39,352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the nine months ended March 31, 2022 increased by $39.4 million, or 34%, to $154.9 million from $115.5 million for the nine months ended March 31, 2021. The increase in sales and marketing expense was primarily attributable to $26.6 million in additional employee-related costs, including those incurred to expand our sales team, and an increase in overall spending on travel and entertainment as COVID-19 pandemic restrictions eased within the United States. The increase was also driven by $4.6 million in additional marketing lead generation costs and $4.2 million of additional stock-based compensation costs associated with our equity incentive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96"/>
              </w:rPr>
              <w:t>56,443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74,024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17,581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March 31, 2022 increased by $17.6 million, or 31%, to $74.0 million from $56.4 million for the nine months ended March 31, 2021. The increase in research and development expenses was primarily the result of $14.5 million of additional employee-related costs related to additional development personnel and $6.4 million of additional stock-based compensation costs associated with our equity incentive plan, partially offset by higher period-over-period capitalized internal-use software costs of $3.9 million.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87,038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119,448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32,410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March 31, 2022 increased by $32.4 million, or 37%, to $119.4 million from $87.0 million for the nine months ended March 31, 2021. The increase in general and administrative expense was primarily due to $8.8 million in additional 401(k) expense and $8.1 million in additional employee-related costs, $9.6 million of additional stock-based compensation associated with our equity incentive plan and $3.2 million in additional amortization of acquired intangible assets.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520" w:firstLine="648"/>
        <w:spacing w:after="0" w:line="453" w:lineRule="auto"/>
        <w:rPr>
          <w:sz w:val="20"/>
          <w:szCs w:val="20"/>
          <w:color w:val="auto"/>
        </w:rPr>
      </w:pPr>
      <w:r>
        <w:rPr>
          <w:rFonts w:ascii="Times New Roman" w:cs="Times New Roman" w:eastAsia="Times New Roman" w:hAnsi="Times New Roman"/>
          <w:sz w:val="18"/>
          <w:szCs w:val="18"/>
          <w:color w:val="auto"/>
        </w:rPr>
        <w:t xml:space="preserve">Other expense for the nine months ended March 31, 2022 did not materially change as compared to the nine months ended March 31, 2021. </w:t>
      </w:r>
      <w:r>
        <w:rPr>
          <w:rFonts w:ascii="Times New Roman" w:cs="Times New Roman" w:eastAsia="Times New Roman" w:hAnsi="Times New Roman"/>
          <w:sz w:val="18"/>
          <w:szCs w:val="18"/>
          <w:i w:val="1"/>
          <w:iCs w:val="1"/>
          <w:color w:val="auto"/>
        </w:rPr>
        <w:t>Income Taxes</w:t>
      </w:r>
    </w:p>
    <w:p>
      <w:pPr>
        <w:spacing w:after="0" w:line="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 was (22.5)% and (16.4)% for the nine months ended March 31, 2021 and 2022, respectively. Our effective tax rate for the nine months ended March 31, 2021 and March 31, 2022 was lower than the federal statutory rate of 21% primarily due to excess tax benefits from employee stock-based compensation, research and development tax credits and state and local income taxes.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4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Accounting estimates used in the preparation of these consolidated financial statements change as new events occur, as more experience is acquired, as additional information is obtained and as the operating environment changes. Our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critical accounting policies and use of estimates are disclosed in our audited consolidated financial statements for the year ended June 30, 2021 included in our Annual Report on Form 10-K filed with the SEC on August 6,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March 31, 2022, our principal source of liquidity was $96.5 million of cash and cash equivalents. In July 2019, we entered into and currently maintain a five-year revolving credit agreement. This credit agreement provides for a $250.0 million senior revolving credit facility which may be increased up to $375.0 million. In January 2022, we borrowed $50.0 million in connection with our acquisition of Cloudsnap, Inc., which we repaid prior to March 31, 2022. Refer to Note 4 of the Notes to the Unaudited Consolidated Financial Statements for additional details on this acquisition.</w:t>
      </w:r>
    </w:p>
    <w:p>
      <w:pPr>
        <w:spacing w:after="0" w:line="14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invest portions of our excess cash and cash equivalents in highly liquid, investment-grade marketable securities. These investments consist of commercial paper, corporate debt issuances, asset-backed debt securities, certificates of deposit, U.S. treasury securities, U.S. government agency securities and other securities with credit quality ratings of A-1 or higher. As of March 31, 2022, we had not recognized any credit impairment losses related to our investment portfolio.</w:t>
      </w:r>
    </w:p>
    <w:p>
      <w:pPr>
        <w:spacing w:after="0" w:line="13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or utilize the borrowing capacity under our credit facility to satisfy those needs.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51" w:lineRule="exact"/>
        <w:rPr>
          <w:sz w:val="20"/>
          <w:szCs w:val="20"/>
          <w:color w:val="auto"/>
        </w:rPr>
      </w:pPr>
    </w:p>
    <w:p>
      <w:pPr>
        <w:ind w:right="12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(215,538)</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85,875</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(15,355)</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(107,576)</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81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(281,379)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2,564,829</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(68,509)</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2,503,472</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2,327,487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$85.8 million and $105.4 million for the nine months ended March 31, 2021 and 2022, respectively. The increase in net cash provided by operating activities from the nine months ended March 31, 2021 to the nine months ended March 31, 2022 was primarily due to improved operating results after adjusting for non-cash items including stock-based compensation expense, depreciation and amortization expense and deferred income tax benefit, partially offset by net changes in operating assets and liabilities during the nine months ended March 31, 2022 as compared to the nine months ended March 31, 2021.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(used in) investing activities was $37.7 million and $(281.4) million for the nine months ended March 31, 2021 and 2022, respectively. The net cash provided by (used in) investing activities is significantly impacted by the timing of purchases and sales and maturities of investments as we invest portions of excess corporate cash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change in net cash provided by (used in) investing activities was primarily due to purchases of available-for-sale securities of $215.5 million and $92.6 million of additional amounts paid for acquisitions, net of cash acquired, during the nine months ended March 31, 2022 as compared to the nine months ended March 31,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 was $579.0 million and $2,503.5 million for the nine months ended March 31, 2021 and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 increase in net cash provided by financing activities was primarily the result of an increase in the change in client fund obligations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$1,840.2 million due to the timing of client funds collected and related remittance of those funds to client employees and taxing authorities during the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March 31, 2022 as compared to the nine months ended March 31, 2021.</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commitments consist of operating lease obligations. The following table summarizes our contractual obligations at March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Payment Due By Fiscal Period</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3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8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8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60" w:type="dxa"/>
            <w:vAlign w:val="bottom"/>
          </w:tcPr>
          <w:p>
            <w:pPr>
              <w:spacing w:after="0"/>
              <w:rPr>
                <w:sz w:val="11"/>
                <w:szCs w:val="11"/>
                <w:color w:val="auto"/>
              </w:rPr>
            </w:pPr>
          </w:p>
        </w:tc>
        <w:tc>
          <w:tcPr>
            <w:tcW w:w="1220" w:type="dxa"/>
            <w:vAlign w:val="bottom"/>
          </w:tcPr>
          <w:p>
            <w:pPr>
              <w:jc w:val="right"/>
              <w:ind w:right="337"/>
              <w:spacing w:after="0" w:line="12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43,847</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$8.2 million and $15.4 million for the nine months ended March 31, 2021 and 2022, respectively, exclusive of capitalized internal-use software costs of $21.7 million and $26.3 million for the same periods,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operations primarily in the United States and are exposed to market risks in the ordinary course of our business. These risks primarily include interest rate and certain other exposures as well as risks relating to changes in the general economic conditions in the United States. As discussed in Item 2. Management’s Discussion and Analysis of Financial Condition and Results of operations, the novel coronavirus disease (“COVID-19”) pandemic has disrupted the global economy and financial markets and may unfavorably impact our future business and financial performance. Refer to “Part I. Item 1A. Risk Factors” on our Annual Report on Form 10-K filed with the SEC on August 6, 2021 for risks related to our business.</w:t>
      </w:r>
    </w:p>
    <w:p>
      <w:pPr>
        <w:spacing w:after="0" w:line="156"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March 31, 2022, we had cash and cash equivalents of $96.5 million and funds held for clients of $4,324.6 million. We did not hold corporate investments on our balance sheet as of March 31, 2022.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commercial paper, corporate debt issuances, asset-backed debt securities, certificates of deposit, U.S. government agency securities and other which were classified as available-for-sale securities as of March 31, 2022.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4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change in interest rates would have had an immaterial effect on the market value of our available-for-sale securities as of March 31, 2022. Fluctuations in the value of our available-for-sale securities caused by changes in interest rates are recorded in other comprehensive income and are only realized if we sell the underlying securities.</w:t>
      </w:r>
    </w:p>
    <w:p>
      <w:pPr>
        <w:spacing w:after="0" w:line="13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8 of the Notes to the Unaudited Consolidated Financial Statements,</w:t>
      </w:r>
      <w:r>
        <w:rPr>
          <w:rFonts w:ascii="Times New Roman" w:cs="Times New Roman" w:eastAsia="Times New Roman" w:hAnsi="Times New Roman"/>
          <w:sz w:val="18"/>
          <w:szCs w:val="18"/>
          <w:color w:val="212529"/>
        </w:rPr>
        <w:t xml:space="preserve"> we entered into a credit agreement that provides for a revolving credit facility (“credit facility”) in the aggregate amount of </w:t>
      </w:r>
      <w:r>
        <w:rPr>
          <w:rFonts w:ascii="Times New Roman" w:cs="Times New Roman" w:eastAsia="Times New Roman" w:hAnsi="Times New Roman"/>
          <w:sz w:val="18"/>
          <w:szCs w:val="18"/>
          <w:color w:val="000000"/>
        </w:rPr>
        <w:t>$250.0</w:t>
      </w:r>
      <w:r>
        <w:rPr>
          <w:rFonts w:ascii="Times New Roman" w:cs="Times New Roman" w:eastAsia="Times New Roman" w:hAnsi="Times New Roman"/>
          <w:sz w:val="18"/>
          <w:szCs w:val="18"/>
          <w:color w:val="212529"/>
        </w:rPr>
        <w:t xml:space="preserve"> million, which may be increased up to </w:t>
      </w:r>
      <w:r>
        <w:rPr>
          <w:rFonts w:ascii="Times New Roman" w:cs="Times New Roman" w:eastAsia="Times New Roman" w:hAnsi="Times New Roman"/>
          <w:sz w:val="18"/>
          <w:szCs w:val="18"/>
          <w:color w:val="000000"/>
        </w:rPr>
        <w:t>$375.0</w:t>
      </w:r>
      <w:r>
        <w:rPr>
          <w:rFonts w:ascii="Times New Roman" w:cs="Times New Roman" w:eastAsia="Times New Roman" w:hAnsi="Times New Roman"/>
          <w:sz w:val="18"/>
          <w:szCs w:val="18"/>
          <w:color w:val="212529"/>
        </w:rPr>
        <w:t xml:space="preserve"> million. Borrowings under the credit facility generally bear interest at a rate based upon the London Interbank Offered Rate (“LIBOR”) (or a replacement rate for LIBOR) or, at our sole option, an adjusted base rate plus an applicable margin based on our then-applicable net senior secured leverage ratio. As of </w:t>
      </w:r>
      <w:r>
        <w:rPr>
          <w:rFonts w:ascii="Times New Roman" w:cs="Times New Roman" w:eastAsia="Times New Roman" w:hAnsi="Times New Roman"/>
          <w:sz w:val="18"/>
          <w:szCs w:val="18"/>
          <w:color w:val="000000"/>
        </w:rPr>
        <w:t>March 31, 2022</w:t>
      </w:r>
      <w:r>
        <w:rPr>
          <w:rFonts w:ascii="Times New Roman" w:cs="Times New Roman" w:eastAsia="Times New Roman" w:hAnsi="Times New Roman"/>
          <w:sz w:val="18"/>
          <w:szCs w:val="18"/>
          <w:color w:val="212529"/>
        </w:rPr>
        <w:t>, there were no amounts drawn on the credit facility. To the extent that we draw additional amounts under the credit facility, we may be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exposed to increased market risk from changes in the underlying index rates, which affects our interest 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Co-Chief Executive Officers and Chief Financial Officer, has evaluated the effectiveness of our disclosure controls and procedures as of March 31, 2022, the end of the period covered by this Quarterly Report on Form 10-Q. Based upon such evaluation, our Co-Chief Executive Officers and Chief Financial Officer have concluded that our disclosure controls and procedures were effective as of such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2021 filed with the SEC on August 6,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(b)Use of Proceeds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On May 2, 2022, the compensation committee of the board of directors of Paylocity Holding Corporation (the “Company”) approved a form of agreement for use in connection with the issuance of restricted stock units to executive officers of the Company under the Company’s 2014 Equity Incentive Plan (the “Plan”), which is attached hereto as Exhibit 10.5, and the terms thereof are incorporated herein by reference. The board and the compensation committee have discretion to alter the terms of such form agreement, subject to the limitations set forth in the Plan.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set forth in the Index to Exhibits immediately following this page.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56"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0" w:type="dxa"/>
            <w:vAlign w:val="bottom"/>
            <w:gridSpan w:val="20"/>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382"/>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0" w:type="dxa"/>
            <w:vAlign w:val="bottom"/>
            <w:gridSpan w:val="20"/>
          </w:tcPr>
          <w:p>
            <w:pPr>
              <w:ind w:left="17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6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Second Amended and Restated Certificate of Incorporation (filed as Exhibit 3.1 of Paylocity Holding Corporation’s Current Report on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Form 8-K on December 3, 2021 (Registration No. 001-36348)).</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6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Second Amended and Restated Bylaws of Paylocity Holding Corporation (filed as Exhibit 3.2 of Paylocity Holding Corporation’s</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53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Current Report on Form 8-K on December 3, 2021 (File No. 001-36348)).</w:t>
              </w:r>
            </w:hyperlink>
          </w:p>
        </w:tc>
        <w:tc>
          <w:tcPr>
            <w:tcW w:w="4000" w:type="dxa"/>
            <w:vAlign w:val="bottom"/>
            <w:tcBorders>
              <w:top w:val="single" w:sz="8" w:color="0000FF"/>
            </w:tcBorders>
            <w:gridSpan w:val="8"/>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20" w:type="dxa"/>
            <w:vAlign w:val="bottom"/>
          </w:tcPr>
          <w:p>
            <w:pPr>
              <w:spacing w:after="0"/>
              <w:rPr>
                <w:sz w:val="22"/>
                <w:szCs w:val="22"/>
                <w:color w:val="auto"/>
              </w:rPr>
            </w:pPr>
          </w:p>
        </w:tc>
        <w:tc>
          <w:tcPr>
            <w:tcW w:w="420" w:type="dxa"/>
            <w:vAlign w:val="bottom"/>
            <w:gridSpan w:val="3"/>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Amendment to Executive Employment Agreement dated as of March 11, 2022 by and between Paylocity Corporation and Toby</w:t>
              </w:r>
            </w:hyperlink>
          </w:p>
        </w:tc>
      </w:tr>
      <w:tr>
        <w:trPr>
          <w:trHeight w:val="27"/>
        </w:trPr>
        <w:tc>
          <w:tcPr>
            <w:tcW w:w="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000" w:type="dxa"/>
            <w:vAlign w:val="bottom"/>
            <w:gridSpan w:val="3"/>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6"/>
          </w:tcPr>
          <w:p>
            <w:pPr>
              <w:spacing w:after="0" w:line="20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Williams (filed as Exhibit 10.1 of Paylocity Holding Corporation’s Current Report on Form 8-K on March 14, 2022 (File No. 001-</w:t>
              </w:r>
            </w:hyperlink>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4"/>
              </w:rPr>
            </w:pPr>
            <w:hyperlink r:id="rId62">
              <w:r>
                <w:rPr>
                  <w:rFonts w:ascii="Times New Roman" w:cs="Times New Roman" w:eastAsia="Times New Roman" w:hAnsi="Times New Roman"/>
                  <w:sz w:val="18"/>
                  <w:szCs w:val="18"/>
                  <w:color w:val="0000FF"/>
                  <w:w w:val="94"/>
                </w:rPr>
                <w:t>36348)</w:t>
              </w:r>
              <w:r>
                <w:rPr>
                  <w:rFonts w:ascii="Times New Roman" w:cs="Times New Roman" w:eastAsia="Times New Roman" w:hAnsi="Times New Roman"/>
                  <w:sz w:val="18"/>
                  <w:szCs w:val="18"/>
                  <w:u w:val="single" w:color="auto"/>
                  <w:color w:val="0000FF"/>
                  <w:w w:val="94"/>
                </w:rPr>
                <w:t>)</w:t>
              </w:r>
              <w:r>
                <w:rPr>
                  <w:rFonts w:ascii="Times New Roman" w:cs="Times New Roman" w:eastAsia="Times New Roman" w:hAnsi="Times New Roman"/>
                  <w:sz w:val="18"/>
                  <w:szCs w:val="18"/>
                  <w:color w:val="0000FF"/>
                  <w:w w:val="94"/>
                </w:rPr>
                <w:t>.</w:t>
              </w:r>
            </w:hyperlink>
          </w:p>
        </w:tc>
        <w:tc>
          <w:tcPr>
            <w:tcW w:w="116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72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5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7"/>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Amended and Restated Executive Employment Agreement dated as of March 11, 2022 by and between Paylocity Corporation and Ryan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Glenn (filed as Exhibit 10.2 of Paylocity Holding Corporation’s Current Report on Form 8-K on March 14, 2022 (File No. 001-36348)).</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Transition and Separation Agreement dated as of March 11, 2022 by and between Paylocity Corporation and Michael Haske (filed as</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66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Exhibit 10.3 of Paylocity Holding Corporation’s Current Report on Form 8-K on March 14, 2022 (File No. 001-36348)).</w:t>
              </w:r>
            </w:hyperlink>
          </w:p>
        </w:tc>
        <w:tc>
          <w:tcPr>
            <w:tcW w:w="5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Consulting Services Agreement dated as of March 11, 2022 by and between Paylocity Corporation and Michael Haske (filed as Exhibit</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6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of Paylocity Holding Corporation’s Current Report on Form 8-K on March 14, 2022 (File No. 001-36348)).</w:t>
              </w:r>
            </w:hyperlink>
          </w:p>
        </w:tc>
        <w:tc>
          <w:tcPr>
            <w:tcW w:w="20" w:type="dxa"/>
            <w:vAlign w:val="bottom"/>
          </w:tcPr>
          <w:p>
            <w:pPr>
              <w:spacing w:after="0"/>
              <w:rPr>
                <w:sz w:val="14"/>
                <w:szCs w:val="14"/>
                <w:color w:val="auto"/>
              </w:rPr>
            </w:pPr>
          </w:p>
        </w:tc>
        <w:tc>
          <w:tcPr>
            <w:tcW w:w="700" w:type="dxa"/>
            <w:vAlign w:val="bottom"/>
            <w:tcBorders>
              <w:top w:val="single" w:sz="8" w:color="0000FF"/>
            </w:tcBorders>
            <w:gridSpan w:val="3"/>
          </w:tcPr>
          <w:p>
            <w:pPr>
              <w:spacing w:after="0"/>
              <w:rPr>
                <w:sz w:val="14"/>
                <w:szCs w:val="14"/>
                <w:color w:val="auto"/>
              </w:rPr>
            </w:pPr>
          </w:p>
        </w:tc>
        <w:tc>
          <w:tcPr>
            <w:tcW w:w="320" w:type="dxa"/>
            <w:vAlign w:val="bottom"/>
            <w:tcBorders>
              <w:top w:val="single" w:sz="8" w:color="0000FF"/>
            </w:tcBorders>
            <w:gridSpan w:val="4"/>
          </w:tcPr>
          <w:p>
            <w:pPr>
              <w:spacing w:after="0"/>
              <w:rPr>
                <w:sz w:val="14"/>
                <w:szCs w:val="14"/>
                <w:color w:val="auto"/>
              </w:rPr>
            </w:pPr>
          </w:p>
        </w:tc>
        <w:tc>
          <w:tcPr>
            <w:tcW w:w="120" w:type="dxa"/>
            <w:vAlign w:val="bottom"/>
            <w:tcBorders>
              <w:top w:val="single" w:sz="8" w:color="0000FF"/>
            </w:tcBorders>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20" w:type="dxa"/>
            <w:vAlign w:val="bottom"/>
          </w:tcPr>
          <w:p>
            <w:pPr>
              <w:spacing w:after="0"/>
              <w:rPr>
                <w:sz w:val="22"/>
                <w:szCs w:val="22"/>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Form of Restricted Stock Units Notice of Grant and Award Agreement under the 2014 Equity Incentive Plan.</w:t>
            </w:r>
          </w:p>
        </w:tc>
        <w:tc>
          <w:tcPr>
            <w:tcW w:w="1760" w:type="dxa"/>
            <w:vAlign w:val="bottom"/>
            <w:gridSpan w:val="16"/>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0" w:type="dxa"/>
            <w:vAlign w:val="bottom"/>
          </w:tcPr>
          <w:p>
            <w:pPr>
              <w:spacing w:after="0"/>
              <w:rPr>
                <w:sz w:val="14"/>
                <w:szCs w:val="14"/>
                <w:color w:val="auto"/>
              </w:rPr>
            </w:pPr>
          </w:p>
        </w:tc>
      </w:tr>
      <w:tr>
        <w:trPr>
          <w:trHeight w:val="20"/>
        </w:trPr>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40" w:type="dxa"/>
            <w:vAlign w:val="bottom"/>
            <w:gridSpan w:val="2"/>
          </w:tcPr>
          <w:p>
            <w:pPr>
              <w:spacing w:after="0"/>
              <w:rPr>
                <w:sz w:val="14"/>
                <w:szCs w:val="14"/>
                <w:color w:val="auto"/>
              </w:rPr>
            </w:pPr>
          </w:p>
        </w:tc>
      </w:tr>
      <w:tr>
        <w:trPr>
          <w:trHeight w:val="20"/>
        </w:trPr>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3*</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13a-4 and 15d-14 as adopted pursuant to Section 302</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60" w:type="dxa"/>
            <w:vAlign w:val="bottom"/>
            <w:gridSpan w:val="3"/>
          </w:tcPr>
          <w:p>
            <w:pPr>
              <w:spacing w:after="0"/>
              <w:rPr>
                <w:sz w:val="14"/>
                <w:szCs w:val="14"/>
                <w:color w:val="auto"/>
              </w:rPr>
            </w:pPr>
          </w:p>
        </w:tc>
      </w:tr>
      <w:tr>
        <w:trPr>
          <w:trHeight w:val="20"/>
        </w:trPr>
        <w:tc>
          <w:tcPr>
            <w:tcW w:w="5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263"/>
        </w:trPr>
        <w:tc>
          <w:tcPr>
            <w:tcW w:w="1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240" w:type="dxa"/>
            <w:vAlign w:val="bottom"/>
            <w:gridSpan w:val="7"/>
          </w:tcPr>
          <w:p>
            <w:pPr>
              <w:spacing w:after="0"/>
              <w:rPr>
                <w:sz w:val="14"/>
                <w:szCs w:val="14"/>
                <w:color w:val="auto"/>
              </w:rPr>
            </w:pPr>
          </w:p>
        </w:tc>
      </w:tr>
      <w:tr>
        <w:trPr>
          <w:trHeight w:val="20"/>
        </w:trPr>
        <w:tc>
          <w:tcPr>
            <w:tcW w:w="12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r>
      <w:tr>
        <w:trPr>
          <w:trHeight w:val="263"/>
        </w:trPr>
        <w:tc>
          <w:tcPr>
            <w:tcW w:w="1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240" w:type="dxa"/>
            <w:vAlign w:val="bottom"/>
            <w:gridSpan w:val="7"/>
          </w:tcPr>
          <w:p>
            <w:pPr>
              <w:spacing w:after="0"/>
              <w:rPr>
                <w:sz w:val="14"/>
                <w:szCs w:val="14"/>
                <w:color w:val="auto"/>
              </w:rPr>
            </w:pPr>
          </w:p>
        </w:tc>
      </w:tr>
      <w:tr>
        <w:trPr>
          <w:trHeight w:val="20"/>
        </w:trPr>
        <w:tc>
          <w:tcPr>
            <w:tcW w:w="12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r>
      <w:tr>
        <w:trPr>
          <w:trHeight w:val="263"/>
        </w:trPr>
        <w:tc>
          <w:tcPr>
            <w:tcW w:w="1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Financial</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560" w:type="dxa"/>
            <w:vAlign w:val="bottom"/>
            <w:gridSpan w:val="11"/>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100" w:type="dxa"/>
            <w:vAlign w:val="bottom"/>
            <w:gridSpan w:val="22"/>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2"/>
                <w:szCs w:val="22"/>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4"/>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70"/>
        </w:trPr>
        <w:tc>
          <w:tcPr>
            <w:tcW w:w="260" w:type="dxa"/>
            <w:vAlign w:val="bottom"/>
            <w:tcBorders>
              <w:bottom w:val="single" w:sz="8" w:color="auto"/>
            </w:tcBorders>
            <w:gridSpan w:val="2"/>
          </w:tcPr>
          <w:p>
            <w:pPr>
              <w:spacing w:after="0"/>
              <w:rPr>
                <w:sz w:val="23"/>
                <w:szCs w:val="23"/>
                <w:color w:val="auto"/>
              </w:rPr>
            </w:pPr>
          </w:p>
        </w:tc>
        <w:tc>
          <w:tcPr>
            <w:tcW w:w="1120" w:type="dxa"/>
            <w:vAlign w:val="bottom"/>
            <w:tcBorders>
              <w:bottom w:val="single" w:sz="8" w:color="auto"/>
            </w:tcBorders>
            <w:gridSpan w:val="5"/>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67"/>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92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82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8"/>
          </w:tcPr>
          <w:p>
            <w:pPr>
              <w:jc w:val="right"/>
              <w:ind w:right="179"/>
              <w:spacing w:after="0"/>
              <w:rPr>
                <w:sz w:val="20"/>
                <w:szCs w:val="20"/>
                <w:color w:val="auto"/>
              </w:rPr>
            </w:pPr>
            <w:r>
              <w:rPr>
                <w:rFonts w:ascii="Times New Roman" w:cs="Times New Roman" w:eastAsia="Times New Roman" w:hAnsi="Times New Roman"/>
                <w:sz w:val="18"/>
                <w:szCs w:val="18"/>
                <w:color w:val="auto"/>
              </w:rPr>
              <w:t>37</w:t>
            </w:r>
          </w:p>
        </w:tc>
        <w:tc>
          <w:tcPr>
            <w:tcW w:w="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6, 2022</w:t>
            </w: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214"/>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Steven R. Beauchamp</w:t>
            </w:r>
          </w:p>
        </w:tc>
      </w:tr>
      <w:tr>
        <w:trPr>
          <w:trHeight w:val="184"/>
        </w:trPr>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40" w:type="dxa"/>
            <w:vAlign w:val="bottom"/>
          </w:tcPr>
          <w:p>
            <w:pPr>
              <w:ind w:left="20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Co-Chief Executive Officer (Principal Executive Officer) and</w:t>
            </w:r>
          </w:p>
        </w:tc>
      </w:t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6, 2022</w:t>
            </w: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14"/>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184"/>
        </w:trPr>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40" w:type="dxa"/>
            <w:vAlign w:val="bottom"/>
          </w:tcPr>
          <w:p>
            <w:pPr>
              <w:ind w:left="20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w:t>
            </w:r>
          </w:p>
        </w:tc>
      </w:t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6, 2022</w:t>
            </w: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14"/>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Ryan Glenn</w:t>
            </w:r>
          </w:p>
        </w:tc>
      </w:tr>
      <w:tr>
        <w:trPr>
          <w:trHeight w:val="184"/>
        </w:trPr>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40" w:type="dxa"/>
            <w:vAlign w:val="bottom"/>
          </w:tcPr>
          <w:p>
            <w:pPr>
              <w:ind w:left="20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w:t>
            </w:r>
          </w:p>
        </w:tc>
      </w:t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tc>
      </w:tr>
      <w:tr>
        <w:trPr>
          <w:trHeight w:val="909"/>
        </w:trPr>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7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38</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56" w:right="3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Executive RSU Award Agreement</w:t>
      </w:r>
    </w:p>
    <w:p>
      <w:pPr>
        <w:spacing w:after="0" w:line="200" w:lineRule="exact"/>
        <w:rPr>
          <w:sz w:val="20"/>
          <w:szCs w:val="20"/>
          <w:color w:val="auto"/>
        </w:rPr>
      </w:pPr>
    </w:p>
    <w:p>
      <w:pPr>
        <w:spacing w:after="0" w:line="30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ind w:left="3800"/>
        <w:spacing w:after="0" w:line="210" w:lineRule="auto"/>
        <w:rPr>
          <w:sz w:val="20"/>
          <w:szCs w:val="20"/>
          <w:color w:val="auto"/>
        </w:rPr>
      </w:pPr>
      <w:r>
        <w:rPr>
          <w:rFonts w:ascii="Times New Roman" w:cs="Times New Roman" w:eastAsia="Times New Roman" w:hAnsi="Times New Roman"/>
          <w:sz w:val="18"/>
          <w:szCs w:val="18"/>
          <w:b w:val="1"/>
          <w:bCs w:val="1"/>
          <w:color w:val="auto"/>
        </w:rPr>
        <w:t>RESTRICTED STOCK UNITS AGREEMENT</w:t>
      </w:r>
    </w:p>
    <w:p>
      <w:pPr>
        <w:jc w:val="center"/>
        <w:spacing w:after="0"/>
        <w:rPr>
          <w:sz w:val="20"/>
          <w:szCs w:val="20"/>
          <w:color w:val="auto"/>
        </w:rPr>
      </w:pPr>
      <w:r>
        <w:rPr>
          <w:rFonts w:ascii="Times New Roman" w:cs="Times New Roman" w:eastAsia="Times New Roman" w:hAnsi="Times New Roman"/>
          <w:sz w:val="18"/>
          <w:szCs w:val="18"/>
          <w:b w:val="1"/>
          <w:bCs w:val="1"/>
          <w:color w:val="auto"/>
        </w:rPr>
        <w:t>(For U.S. Participants)</w:t>
      </w:r>
    </w:p>
    <w:p>
      <w:pPr>
        <w:spacing w:after="0" w:line="134" w:lineRule="exact"/>
        <w:rPr>
          <w:sz w:val="20"/>
          <w:szCs w:val="20"/>
          <w:color w:val="auto"/>
        </w:rPr>
      </w:pPr>
    </w:p>
    <w:p>
      <w:pPr>
        <w:ind w:right="160" w:firstLine="648"/>
        <w:spacing w:after="0" w:line="230" w:lineRule="auto"/>
        <w:rPr>
          <w:sz w:val="20"/>
          <w:szCs w:val="20"/>
          <w:color w:val="auto"/>
        </w:rPr>
      </w:pPr>
      <w:r>
        <w:rPr>
          <w:rFonts w:ascii="Times New Roman" w:cs="Times New Roman" w:eastAsia="Times New Roman" w:hAnsi="Times New Roman"/>
          <w:sz w:val="17"/>
          <w:szCs w:val="17"/>
          <w:color w:val="auto"/>
        </w:rPr>
        <w:t xml:space="preserve">Paylocity Holding Corporation has granted to the Participant named in the </w:t>
      </w:r>
      <w:r>
        <w:rPr>
          <w:rFonts w:ascii="Times New Roman" w:cs="Times New Roman" w:eastAsia="Times New Roman" w:hAnsi="Times New Roman"/>
          <w:sz w:val="17"/>
          <w:szCs w:val="17"/>
          <w:i w:val="1"/>
          <w:iCs w:val="1"/>
          <w:color w:val="auto"/>
        </w:rPr>
        <w:t>Notice of Grant of Restricted Stock Units</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to which this Restricted Stock Units Agreement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is attached an Award consisting of Restricted Stock Units (each a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Unit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subject to the terms and conditions set forth in the Grant Notice and this Agreement. The Award has been granted pursuant to and shall in all respects be subject to the</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 xml:space="preserve">terms and conditions of the Paylocity Holding Corporation 2014 Equity Incentive Plan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w:t>
      </w:r>
    </w:p>
    <w:p>
      <w:pPr>
        <w:spacing w:after="0" w:line="2" w:lineRule="exact"/>
        <w:rPr>
          <w:sz w:val="20"/>
          <w:szCs w:val="20"/>
          <w:color w:val="auto"/>
        </w:rPr>
      </w:pPr>
    </w:p>
    <w:p>
      <w:pPr>
        <w:ind w:right="380"/>
        <w:spacing w:after="0" w:line="218" w:lineRule="auto"/>
        <w:rPr>
          <w:sz w:val="20"/>
          <w:szCs w:val="20"/>
          <w:color w:val="auto"/>
        </w:rPr>
      </w:pPr>
      <w:r>
        <w:rPr>
          <w:rFonts w:ascii="Times New Roman" w:cs="Times New Roman" w:eastAsia="Times New Roman" w:hAnsi="Times New Roman"/>
          <w:sz w:val="18"/>
          <w:szCs w:val="18"/>
          <w:color w:val="auto"/>
        </w:rPr>
        <w:t xml:space="preserve">Securities and Exchange Commission of the shares issuable pursuant to the Award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 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27"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 AND CONSTRUCTION</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-5080</wp:posOffset>
            </wp:positionV>
            <wp:extent cx="2603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38" w:lineRule="exact"/>
        <w:rPr>
          <w:sz w:val="20"/>
          <w:szCs w:val="20"/>
          <w:color w:val="auto"/>
        </w:rPr>
      </w:pPr>
    </w:p>
    <w:p>
      <w:pPr>
        <w:ind w:right="340" w:firstLine="1296"/>
        <w:spacing w:after="0" w:line="239" w:lineRule="auto"/>
        <w:rPr>
          <w:sz w:val="20"/>
          <w:szCs w:val="20"/>
          <w:color w:val="auto"/>
        </w:rPr>
      </w:pPr>
      <w:r>
        <w:rPr>
          <w:rFonts w:ascii="Times New Roman" w:cs="Times New Roman" w:eastAsia="Times New Roman" w:hAnsi="Times New Roman"/>
          <w:sz w:val="18"/>
          <w:szCs w:val="18"/>
          <w:color w:val="auto"/>
          <w:highlight w:val="white"/>
        </w:rPr>
        <w:t xml:space="preserve">1.1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Unless otherwise defined herein, capitalized terms shall have the meanings assigned to such terms in the Grant</w:t>
      </w:r>
      <w:r>
        <w:rPr>
          <w:rFonts w:ascii="Times New Roman" w:cs="Times New Roman" w:eastAsia="Times New Roman" w:hAnsi="Times New Roman"/>
          <w:sz w:val="18"/>
          <w:szCs w:val="18"/>
          <w:color w:val="auto"/>
          <w:highlight w:val="white"/>
        </w:rPr>
        <w:t xml:space="preserve"> Notice 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-24130</wp:posOffset>
            </wp:positionV>
            <wp:extent cx="2603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08" w:lineRule="exact"/>
        <w:rPr>
          <w:sz w:val="20"/>
          <w:szCs w:val="20"/>
          <w:color w:val="auto"/>
        </w:rPr>
      </w:pPr>
    </w:p>
    <w:p>
      <w:pPr>
        <w:ind w:right="180" w:firstLine="1296"/>
        <w:spacing w:after="0" w:line="227" w:lineRule="auto"/>
        <w:rPr>
          <w:sz w:val="20"/>
          <w:szCs w:val="20"/>
          <w:color w:val="auto"/>
        </w:rPr>
      </w:pPr>
      <w:r>
        <w:rPr>
          <w:rFonts w:ascii="Times New Roman" w:cs="Times New Roman" w:eastAsia="Times New Roman" w:hAnsi="Times New Roman"/>
          <w:sz w:val="18"/>
          <w:szCs w:val="18"/>
          <w:color w:val="auto"/>
          <w:highlight w:val="white"/>
        </w:rPr>
        <w:t xml:space="preserve">1.2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Captions and titles contained herein are for convenience only and shall not affect the meaning or interpretation</w:t>
      </w:r>
      <w:r>
        <w:rPr>
          <w:rFonts w:ascii="Times New Roman" w:cs="Times New Roman" w:eastAsia="Times New Roman" w:hAnsi="Times New Roman"/>
          <w:sz w:val="18"/>
          <w:szCs w:val="18"/>
          <w:color w:val="auto"/>
          <w:highlight w:val="white"/>
        </w:rPr>
        <w:t xml:space="preserve">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-15240</wp:posOffset>
            </wp:positionV>
            <wp:extent cx="25400"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5400" cy="128270"/>
                    </a:xfrm>
                    <a:prstGeom prst="rect">
                      <a:avLst/>
                    </a:prstGeom>
                    <a:noFill/>
                  </pic:spPr>
                </pic:pic>
              </a:graphicData>
            </a:graphic>
          </wp:anchor>
        </w:drawing>
      </w:r>
    </w:p>
    <w:p>
      <w:pPr>
        <w:spacing w:after="0" w:line="108"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-5080</wp:posOffset>
            </wp:positionV>
            <wp:extent cx="2603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42" w:lineRule="exact"/>
        <w:rPr>
          <w:sz w:val="20"/>
          <w:szCs w:val="20"/>
          <w:color w:val="auto"/>
        </w:rPr>
      </w:pPr>
    </w:p>
    <w:p>
      <w:pPr>
        <w:ind w:right="40" w:firstLine="1296"/>
        <w:spacing w:after="0" w:line="229" w:lineRule="auto"/>
        <w:rPr>
          <w:sz w:val="20"/>
          <w:szCs w:val="20"/>
          <w:color w:val="auto"/>
        </w:rPr>
      </w:pPr>
      <w:r>
        <w:rPr>
          <w:rFonts w:ascii="Times New Roman" w:cs="Times New Roman" w:eastAsia="Times New Roman" w:hAnsi="Times New Roman"/>
          <w:sz w:val="17"/>
          <w:szCs w:val="17"/>
          <w:color w:val="auto"/>
          <w:highlight w:val="white"/>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w:t>
      </w:r>
    </w:p>
    <w:p>
      <w:pPr>
        <w:ind w:right="240"/>
        <w:spacing w:after="0" w:line="220" w:lineRule="auto"/>
        <w:rPr>
          <w:sz w:val="20"/>
          <w:szCs w:val="20"/>
          <w:color w:val="auto"/>
        </w:rPr>
      </w:pPr>
      <w:r>
        <w:rPr>
          <w:rFonts w:ascii="Times New Roman" w:cs="Times New Roman" w:eastAsia="Times New Roman" w:hAnsi="Times New Roman"/>
          <w:sz w:val="17"/>
          <w:szCs w:val="17"/>
          <w:color w:val="auto"/>
          <w:highlight w:val="white"/>
        </w:rPr>
        <w:t>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highlight w:val="white"/>
        </w:rPr>
        <w:t>election which is the responsibility of or which is allocated to the Company herein, provided the Officer has apparent authority with respect to such matter, right, obligation, or election.</w:t>
      </w:r>
    </w:p>
    <w:p>
      <w:pPr>
        <w:spacing w:after="0" w:line="126"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AWARD</w:t>
      </w:r>
      <w:r>
        <w:rPr>
          <w:rFonts w:ascii="Times New Roman" w:cs="Times New Roman" w:eastAsia="Times New Roman" w:hAnsi="Times New Roman"/>
          <w:sz w:val="18"/>
          <w:szCs w:val="18"/>
          <w:b w:val="1"/>
          <w:bCs w:val="1"/>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-5080</wp:posOffset>
            </wp:positionV>
            <wp:extent cx="2603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24"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highlight w:val="white"/>
        </w:rPr>
        <w:t>3.1</w:t>
      </w:r>
      <w:r>
        <w:rPr>
          <w:sz w:val="20"/>
          <w:szCs w:val="20"/>
          <w:color w:val="auto"/>
        </w:rPr>
        <w:tab/>
      </w:r>
      <w:r>
        <w:rPr>
          <w:rFonts w:ascii="Times New Roman" w:cs="Times New Roman" w:eastAsia="Times New Roman" w:hAnsi="Times New Roman"/>
          <w:sz w:val="18"/>
          <w:szCs w:val="18"/>
          <w:b w:val="1"/>
          <w:bCs w:val="1"/>
          <w:color w:val="auto"/>
        </w:rPr>
        <w:t xml:space="preserve">Grant of Units. </w:t>
      </w:r>
      <w:r>
        <w:rPr>
          <w:rFonts w:ascii="Times New Roman" w:cs="Times New Roman" w:eastAsia="Times New Roman" w:hAnsi="Times New Roman"/>
          <w:sz w:val="18"/>
          <w:szCs w:val="18"/>
          <w:color w:val="auto"/>
        </w:rPr>
        <w:t>On the Date of Grant, the Participant shall acquire, subject to the provisions of this Agreement, the Total</w:t>
      </w:r>
    </w:p>
    <w:p>
      <w:pPr>
        <w:spacing w:after="0" w:line="6"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highlight w:val="white"/>
        </w:rPr>
        <w:t>Number of Units set forth in the Grant Notice, subject to adjustment as provided in Section 10. Each Unit represents a right to receive on a date determined in accordance with the Grant Notice and this Agreement one (1) share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-24765</wp:posOffset>
            </wp:positionV>
            <wp:extent cx="2603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06" w:lineRule="exact"/>
        <w:rPr>
          <w:sz w:val="20"/>
          <w:szCs w:val="20"/>
          <w:color w:val="auto"/>
        </w:rPr>
      </w:pPr>
    </w:p>
    <w:p>
      <w:pPr>
        <w:jc w:val="both"/>
        <w:ind w:right="240" w:firstLine="1296"/>
        <w:spacing w:after="0" w:line="217" w:lineRule="auto"/>
        <w:rPr>
          <w:sz w:val="20"/>
          <w:szCs w:val="20"/>
          <w:color w:val="auto"/>
        </w:rPr>
      </w:pPr>
      <w:r>
        <w:rPr>
          <w:rFonts w:ascii="Times New Roman" w:cs="Times New Roman" w:eastAsia="Times New Roman" w:hAnsi="Times New Roman"/>
          <w:sz w:val="18"/>
          <w:szCs w:val="18"/>
          <w:color w:val="auto"/>
          <w:highlight w:val="white"/>
        </w:rPr>
        <w:t xml:space="preserve">3.2 </w:t>
      </w:r>
      <w:r>
        <w:rPr>
          <w:rFonts w:ascii="Times New Roman" w:cs="Times New Roman" w:eastAsia="Times New Roman" w:hAnsi="Times New Roman"/>
          <w:sz w:val="18"/>
          <w:szCs w:val="18"/>
          <w:b w:val="1"/>
          <w:bCs w:val="1"/>
          <w:color w:val="auto"/>
        </w:rPr>
        <w:t>No Monetary Payment Required.</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The Participant is not required to make any monetary payment (other than applicable tax</w:t>
      </w:r>
      <w:r>
        <w:rPr>
          <w:rFonts w:ascii="Times New Roman" w:cs="Times New Roman" w:eastAsia="Times New Roman" w:hAnsi="Times New Roman"/>
          <w:sz w:val="18"/>
          <w:szCs w:val="18"/>
          <w:color w:val="auto"/>
          <w:highlight w:val="white"/>
        </w:rPr>
        <w:t xml:space="preserve">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w:t>
      </w:r>
    </w:p>
    <w:p>
      <w:pPr>
        <w:spacing w:after="0" w:line="3"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highlight w:val="white"/>
        </w:rPr>
        <w:t>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-24765</wp:posOffset>
            </wp:positionV>
            <wp:extent cx="2540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25400" cy="120015"/>
                    </a:xfrm>
                    <a:prstGeom prst="rect">
                      <a:avLst/>
                    </a:prstGeom>
                    <a:noFill/>
                  </pic:spPr>
                </pic:pic>
              </a:graphicData>
            </a:graphic>
          </wp:anchor>
        </w:drawing>
      </w:r>
    </w:p>
    <w:p>
      <w:pPr>
        <w:spacing w:after="0" w:line="106"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b w:val="1"/>
          <w:bCs w:val="1"/>
          <w:u w:val="single" w:color="auto"/>
          <w:color w:val="auto"/>
        </w:rPr>
        <w:t>VESTING OF UNITS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-5080</wp:posOffset>
            </wp:positionV>
            <wp:extent cx="2603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28" w:lineRule="exact"/>
        <w:rPr>
          <w:sz w:val="20"/>
          <w:szCs w:val="20"/>
          <w:color w:val="auto"/>
        </w:rPr>
      </w:pPr>
    </w:p>
    <w:p>
      <w:pPr>
        <w:ind w:right="600" w:firstLine="1296"/>
        <w:spacing w:after="0" w:line="237" w:lineRule="auto"/>
        <w:rPr>
          <w:sz w:val="20"/>
          <w:szCs w:val="20"/>
          <w:color w:val="auto"/>
        </w:rPr>
      </w:pPr>
      <w:r>
        <w:rPr>
          <w:rFonts w:ascii="Times New Roman" w:cs="Times New Roman" w:eastAsia="Times New Roman" w:hAnsi="Times New Roman"/>
          <w:sz w:val="18"/>
          <w:szCs w:val="18"/>
          <w:color w:val="auto"/>
        </w:rPr>
        <w:t>Units acquired pursuant to this Agreement shall become Vested Units as provided in the Grant Notice. In addition, Units acquired pursuant to this Agreement shall become Vested Units upon the Participant’s</w:t>
      </w:r>
    </w:p>
    <w:p>
      <w:pPr>
        <w:sectPr>
          <w:pgSz w:w="11900" w:h="16838" w:orient="portrait"/>
          <w:cols w:equalWidth="0" w:num="1">
            <w:col w:w="11240"/>
          </w:cols>
          <w:pgMar w:left="320" w:top="14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death or Disability (defined below) to the extent they have not otherwise become Vested Units</w:t>
      </w:r>
      <w:r>
        <w:rPr>
          <w:rFonts w:ascii="Times New Roman" w:cs="Times New Roman" w:eastAsia="Times New Roman" w:hAnsi="Times New Roman"/>
          <w:sz w:val="21"/>
          <w:szCs w:val="21"/>
          <w:color w:val="0000FF"/>
        </w:rPr>
        <w:t>.</w:t>
      </w:r>
      <w:r>
        <w:rPr>
          <w:rFonts w:ascii="Times New Roman" w:cs="Times New Roman" w:eastAsia="Times New Roman" w:hAnsi="Times New Roman"/>
          <w:sz w:val="18"/>
          <w:szCs w:val="18"/>
          <w:color w:val="auto"/>
        </w:rPr>
        <w:t xml:space="preserve"> For purposes of determining the number of Vested Units</w:t>
      </w:r>
    </w:p>
    <w:p>
      <w:pPr>
        <w:spacing w:after="0" w:line="4" w:lineRule="exact"/>
        <w:rPr>
          <w:sz w:val="20"/>
          <w:szCs w:val="20"/>
          <w:color w:val="auto"/>
        </w:rPr>
      </w:pPr>
    </w:p>
    <w:p>
      <w:pPr>
        <w:ind w:right="300"/>
        <w:spacing w:after="0" w:line="211" w:lineRule="auto"/>
        <w:rPr>
          <w:sz w:val="20"/>
          <w:szCs w:val="20"/>
          <w:color w:val="auto"/>
        </w:rPr>
      </w:pPr>
      <w:r>
        <w:rPr>
          <w:rFonts w:ascii="Times New Roman" w:cs="Times New Roman" w:eastAsia="Times New Roman" w:hAnsi="Times New Roman"/>
          <w:sz w:val="18"/>
          <w:szCs w:val="18"/>
          <w:color w:val="auto"/>
        </w:rPr>
        <w:t>following an Ownership Change Event, credited Service shall include all Service with any corporation which is a Participating Company at the time the Service is rendered, whether or not such corporation is a Participating Company both before and after the Ownership Change Event. “Disability,”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accelerating vesting, means the permanent and total disability of the Participant, within the meaning of Section 22(e)(3) of the Code.</w:t>
      </w:r>
    </w:p>
    <w:p>
      <w:pPr>
        <w:spacing w:after="0" w:line="120"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REACQUISITION RIGHT</w:t>
      </w:r>
      <w:r>
        <w:rPr>
          <w:rFonts w:ascii="Times New Roman" w:cs="Times New Roman" w:eastAsia="Times New Roman" w:hAnsi="Times New Roman"/>
          <w:sz w:val="18"/>
          <w:szCs w:val="18"/>
          <w:b w:val="1"/>
          <w:bCs w:val="1"/>
          <w:color w:val="auto"/>
          <w:highlight w:val="white"/>
        </w:rPr>
        <w:t>.</w:t>
      </w:r>
    </w:p>
    <w:p>
      <w:pPr>
        <w:spacing w:after="0" w:line="158" w:lineRule="exact"/>
        <w:rPr>
          <w:sz w:val="20"/>
          <w:szCs w:val="20"/>
          <w:color w:val="auto"/>
        </w:rPr>
      </w:pPr>
    </w:p>
    <w:p>
      <w:pPr>
        <w:ind w:firstLine="1296"/>
        <w:spacing w:after="0" w:line="22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Grant of Company Reacquisition Right.</w:t>
      </w:r>
      <w:r>
        <w:rPr>
          <w:rFonts w:ascii="Times New Roman" w:cs="Times New Roman" w:eastAsia="Times New Roman" w:hAnsi="Times New Roman"/>
          <w:sz w:val="18"/>
          <w:szCs w:val="18"/>
          <w:color w:val="auto"/>
        </w:rPr>
        <w:t xml:space="preserve"> Except to the extent otherwise provided by the Superseding Agreement, if any, in the event that the Participant’s Service terminates for any reason or no reason, with or without cause, the Participant shall forfeit and the Company shall</w:t>
      </w:r>
    </w:p>
    <w:p>
      <w:pPr>
        <w:ind w:right="560"/>
        <w:spacing w:after="0" w:line="226" w:lineRule="auto"/>
        <w:rPr>
          <w:sz w:val="20"/>
          <w:szCs w:val="20"/>
          <w:color w:val="auto"/>
        </w:rPr>
      </w:pPr>
      <w:r>
        <w:rPr>
          <w:rFonts w:ascii="Times New Roman" w:cs="Times New Roman" w:eastAsia="Times New Roman" w:hAnsi="Times New Roman"/>
          <w:sz w:val="18"/>
          <w:szCs w:val="18"/>
          <w:color w:val="auto"/>
        </w:rPr>
        <w:t>automatically reacquire all Units which are not, as of the time of such termination, Vested Units (</w:t>
      </w:r>
      <w:r>
        <w:rPr>
          <w:rFonts w:ascii="Times New Roman" w:cs="Times New Roman" w:eastAsia="Times New Roman" w:hAnsi="Times New Roman"/>
          <w:sz w:val="18"/>
          <w:szCs w:val="18"/>
          <w:b w:val="1"/>
          <w:bCs w:val="1"/>
          <w:i w:val="1"/>
          <w:iCs w:val="1"/>
          <w:color w:val="auto"/>
        </w:rPr>
        <w:t>“Unvested Units”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the Participant shall not be entitled to any payment therefor (the </w:t>
      </w:r>
      <w:r>
        <w:rPr>
          <w:rFonts w:ascii="Times New Roman" w:cs="Times New Roman" w:eastAsia="Times New Roman" w:hAnsi="Times New Roman"/>
          <w:sz w:val="18"/>
          <w:szCs w:val="18"/>
          <w:b w:val="1"/>
          <w:bCs w:val="1"/>
          <w:i w:val="1"/>
          <w:iCs w:val="1"/>
          <w:color w:val="auto"/>
        </w:rPr>
        <w:t>“Company Reacquisition Right”</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80" w:firstLine="1296"/>
        <w:spacing w:after="0" w:line="21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Ownership Change Event, Non-Cash Dividends, Distributions and Adjustments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10, any and all new, substituted or additional securities or other property (other than</w:t>
      </w:r>
    </w:p>
    <w:p>
      <w:pPr>
        <w:spacing w:after="0" w:line="3"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w:t>
      </w:r>
    </w:p>
    <w:p>
      <w:pPr>
        <w:spacing w:after="0" w:line="2"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18"/>
          <w:szCs w:val="18"/>
          <w:color w:val="auto"/>
        </w:rPr>
        <w:t>dividend, distribution or adjustment, as the case may be. For purposes of determining the number of Vested Units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spacing w:after="0" w:line="127"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SETTLEMENT OF THE AWARD</w:t>
      </w:r>
      <w:r>
        <w:rPr>
          <w:rFonts w:ascii="Times New Roman" w:cs="Times New Roman" w:eastAsia="Times New Roman" w:hAnsi="Times New Roman"/>
          <w:sz w:val="18"/>
          <w:szCs w:val="18"/>
          <w:b w:val="1"/>
          <w:bCs w:val="1"/>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-5080</wp:posOffset>
            </wp:positionV>
            <wp:extent cx="2603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38" w:lineRule="exact"/>
        <w:rPr>
          <w:sz w:val="20"/>
          <w:szCs w:val="20"/>
          <w:color w:val="auto"/>
        </w:rPr>
      </w:pPr>
    </w:p>
    <w:p>
      <w:pPr>
        <w:ind w:right="160" w:firstLine="1296"/>
        <w:spacing w:after="0" w:line="217" w:lineRule="auto"/>
        <w:rPr>
          <w:sz w:val="20"/>
          <w:szCs w:val="20"/>
          <w:color w:val="auto"/>
        </w:rPr>
      </w:pPr>
      <w:r>
        <w:rPr>
          <w:rFonts w:ascii="Times New Roman" w:cs="Times New Roman" w:eastAsia="Times New Roman" w:hAnsi="Times New Roman"/>
          <w:sz w:val="18"/>
          <w:szCs w:val="18"/>
          <w:color w:val="auto"/>
          <w:highlight w:val="white"/>
        </w:rPr>
        <w:t xml:space="preserve">6.1 </w:t>
      </w:r>
      <w:r>
        <w:rPr>
          <w:rFonts w:ascii="Times New Roman" w:cs="Times New Roman" w:eastAsia="Times New Roman" w:hAnsi="Times New Roman"/>
          <w:sz w:val="18"/>
          <w:szCs w:val="18"/>
          <w:b w:val="1"/>
          <w:bCs w:val="1"/>
          <w:color w:val="auto"/>
        </w:rPr>
        <w:t>Issuance of Shares of Stock</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Subject to the provisions of Section 6.3, the Company shall issue to the Participant on the</w:t>
      </w:r>
      <w:r>
        <w:rPr>
          <w:rFonts w:ascii="Times New Roman" w:cs="Times New Roman" w:eastAsia="Times New Roman" w:hAnsi="Times New Roman"/>
          <w:sz w:val="18"/>
          <w:szCs w:val="18"/>
          <w:color w:val="auto"/>
          <w:highlight w:val="white"/>
        </w:rPr>
        <w:t xml:space="preserve"> Settlement Date with respect to each Vested Unit to be settled on such date one (1) share of Stock. The Settlement Date with respect to a Unit shall be the date on which such Unit becomes a Vested Unit as provided by the Grant Notice (an </w:t>
      </w:r>
      <w:r>
        <w:rPr>
          <w:rFonts w:ascii="Times New Roman" w:cs="Times New Roman" w:eastAsia="Times New Roman" w:hAnsi="Times New Roman"/>
          <w:sz w:val="18"/>
          <w:szCs w:val="18"/>
          <w:i w:val="1"/>
          <w:iCs w:val="1"/>
          <w:color w:val="auto"/>
          <w:highlight w:val="white"/>
        </w:rPr>
        <w:t>“</w:t>
      </w:r>
      <w:r>
        <w:rPr>
          <w:rFonts w:ascii="Times New Roman" w:cs="Times New Roman" w:eastAsia="Times New Roman" w:hAnsi="Times New Roman"/>
          <w:sz w:val="18"/>
          <w:szCs w:val="18"/>
          <w:b w:val="1"/>
          <w:bCs w:val="1"/>
          <w:i w:val="1"/>
          <w:iCs w:val="1"/>
          <w:color w:val="auto"/>
          <w:highlight w:val="white"/>
        </w:rPr>
        <w:t>Original Settlement Date</w:t>
      </w:r>
      <w:r>
        <w:rPr>
          <w:rFonts w:ascii="Times New Roman" w:cs="Times New Roman" w:eastAsia="Times New Roman" w:hAnsi="Times New Roman"/>
          <w:sz w:val="18"/>
          <w:szCs w:val="18"/>
          <w:i w:val="1"/>
          <w:iCs w:val="1"/>
          <w:color w:val="auto"/>
          <w:highlight w:val="white"/>
        </w:rPr>
        <w:t>”</w:t>
      </w:r>
      <w:r>
        <w:rPr>
          <w:rFonts w:ascii="Times New Roman" w:cs="Times New Roman" w:eastAsia="Times New Roman" w:hAnsi="Times New Roman"/>
          <w:sz w:val="18"/>
          <w:szCs w:val="18"/>
          <w:color w:val="auto"/>
          <w:highlight w:val="white"/>
        </w:rPr>
        <w:t>); provided, however, that if the Original</w:t>
      </w:r>
    </w:p>
    <w:p>
      <w:pPr>
        <w:spacing w:after="0" w:line="3"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highlight w:val="white"/>
        </w:rPr>
        <w:t>Settlement Date would occur on a date on which a sale by the Participant of the shares to be issued in settlement of the Vested Units would violate the Trading Compliance Policy of the Company, the Settlement Date for such Vested Units shall be deferred until the next day on which the sale of such shares would not violate the Trading Compliance Policy, but in any event on or before the 15th day of the third calendar month following calendar year of the</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highlight w:val="white"/>
        </w:rPr>
        <w:t>Original Settlement Date. Shares of Stock issued in settlement of Units shall not be subject to any restriction on transfer other than any such restriction as may be required pursuant to Section 6.3, Section 8 or the Company’s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-24765</wp:posOffset>
            </wp:positionV>
            <wp:extent cx="2603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06" w:lineRule="exact"/>
        <w:rPr>
          <w:sz w:val="20"/>
          <w:szCs w:val="20"/>
          <w:color w:val="auto"/>
        </w:rPr>
      </w:pPr>
    </w:p>
    <w:p>
      <w:pPr>
        <w:ind w:right="60" w:firstLine="1296"/>
        <w:spacing w:after="0" w:line="217" w:lineRule="auto"/>
        <w:rPr>
          <w:sz w:val="20"/>
          <w:szCs w:val="20"/>
          <w:color w:val="auto"/>
        </w:rPr>
      </w:pPr>
      <w:r>
        <w:rPr>
          <w:rFonts w:ascii="Times New Roman" w:cs="Times New Roman" w:eastAsia="Times New Roman" w:hAnsi="Times New Roman"/>
          <w:sz w:val="18"/>
          <w:szCs w:val="18"/>
          <w:color w:val="auto"/>
          <w:highlight w:val="white"/>
        </w:rPr>
        <w:t xml:space="preserve">6.2 </w:t>
      </w:r>
      <w:r>
        <w:rPr>
          <w:rFonts w:ascii="Times New Roman" w:cs="Times New Roman" w:eastAsia="Times New Roman" w:hAnsi="Times New Roman"/>
          <w:sz w:val="18"/>
          <w:szCs w:val="18"/>
          <w:b w:val="1"/>
          <w:bCs w:val="1"/>
          <w:color w:val="auto"/>
        </w:rPr>
        <w:t>Beneficial Ownership of Shares; Certificate Registration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The Participant hereby authorizes the Company, in its sole</w:t>
      </w:r>
      <w:r>
        <w:rPr>
          <w:rFonts w:ascii="Times New Roman" w:cs="Times New Roman" w:eastAsia="Times New Roman" w:hAnsi="Times New Roman"/>
          <w:sz w:val="18"/>
          <w:szCs w:val="18"/>
          <w:color w:val="auto"/>
          <w:highlight w:val="white"/>
        </w:rPr>
        <w:t xml:space="preserv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w:t>
      </w:r>
    </w:p>
    <w:p>
      <w:pPr>
        <w:spacing w:after="0" w:line="3"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highlight w:val="white"/>
        </w:rPr>
        <w:t>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-24765</wp:posOffset>
            </wp:positionV>
            <wp:extent cx="2603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06"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18"/>
          <w:szCs w:val="18"/>
          <w:color w:val="auto"/>
          <w:highlight w:val="white"/>
        </w:rPr>
        <w:t xml:space="preserve">6.3 </w:t>
      </w:r>
      <w:r>
        <w:rPr>
          <w:rFonts w:ascii="Times New Roman" w:cs="Times New Roman" w:eastAsia="Times New Roman" w:hAnsi="Times New Roman"/>
          <w:sz w:val="18"/>
          <w:szCs w:val="18"/>
          <w:b w:val="1"/>
          <w:bCs w:val="1"/>
          <w:color w:val="auto"/>
        </w:rPr>
        <w:t>Restrictions on Grant of the Award and Issuance of 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The grant of the Award and issuance of shares of Stock upon</w:t>
      </w:r>
      <w:r>
        <w:rPr>
          <w:rFonts w:ascii="Times New Roman" w:cs="Times New Roman" w:eastAsia="Times New Roman" w:hAnsi="Times New Roman"/>
          <w:sz w:val="18"/>
          <w:szCs w:val="18"/>
          <w:color w:val="auto"/>
          <w:highlight w:val="white"/>
        </w:rPr>
        <w:t xml:space="preserve">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w:t>
      </w:r>
    </w:p>
    <w:p>
      <w:pPr>
        <w:spacing w:after="0" w:line="3"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highlight w:val="white"/>
        </w:rPr>
        <w:t>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w:t>
      </w:r>
    </w:p>
    <w:p>
      <w:pPr>
        <w:spacing w:after="0" w:line="2" w:lineRule="exact"/>
        <w:rPr>
          <w:sz w:val="20"/>
          <w:szCs w:val="20"/>
          <w:color w:val="auto"/>
        </w:rPr>
      </w:pPr>
    </w:p>
    <w:p>
      <w:pPr>
        <w:ind w:right="420"/>
        <w:spacing w:after="0" w:line="218" w:lineRule="auto"/>
        <w:rPr>
          <w:sz w:val="20"/>
          <w:szCs w:val="20"/>
          <w:color w:val="auto"/>
        </w:rPr>
      </w:pPr>
      <w:r>
        <w:rPr>
          <w:rFonts w:ascii="Times New Roman" w:cs="Times New Roman" w:eastAsia="Times New Roman" w:hAnsi="Times New Roman"/>
          <w:sz w:val="18"/>
          <w:szCs w:val="18"/>
          <w:color w:val="auto"/>
          <w:highlight w:val="white"/>
        </w:rPr>
        <w:t>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-15875</wp:posOffset>
            </wp:positionV>
            <wp:extent cx="2603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41" w:name="page42"/>
    <w:bookmarkEnd w:id="41"/>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b w:val="1"/>
          <w:bCs w:val="1"/>
          <w:color w:val="auto"/>
        </w:rPr>
        <w:t>Fractional 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be required to issue fractional shares upon the settlement of the Award.</w:t>
      </w:r>
    </w:p>
    <w:p>
      <w:pPr>
        <w:spacing w:after="0" w:line="202"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u w:val="single" w:color="auto"/>
          <w:color w:val="auto"/>
        </w:rPr>
        <w:t>P</w:t>
      </w:r>
      <w:r>
        <w:rPr>
          <w:rFonts w:ascii="Times New Roman" w:cs="Times New Roman" w:eastAsia="Times New Roman" w:hAnsi="Times New Roman"/>
          <w:sz w:val="16"/>
          <w:szCs w:val="16"/>
          <w:b w:val="1"/>
          <w:bCs w:val="1"/>
          <w:u w:val="single" w:color="auto"/>
          <w:color w:val="auto"/>
        </w:rPr>
        <w:t>ARTICIPANT</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6"/>
          <w:szCs w:val="16"/>
          <w:b w:val="1"/>
          <w:bCs w:val="1"/>
          <w:u w:val="single" w:color="auto"/>
          <w:color w:val="auto"/>
        </w:rPr>
        <w:t>OVENANTS</w:t>
      </w:r>
      <w:r>
        <w:rPr>
          <w:rFonts w:ascii="Times New Roman" w:cs="Times New Roman" w:eastAsia="Times New Roman" w:hAnsi="Times New Roman"/>
          <w:sz w:val="22"/>
          <w:szCs w:val="22"/>
          <w:b w:val="1"/>
          <w:bCs w:val="1"/>
          <w:u w:val="single" w:color="auto"/>
          <w:color w:val="auto"/>
        </w:rPr>
        <w:t>.</w:t>
      </w:r>
    </w:p>
    <w:p>
      <w:pPr>
        <w:spacing w:after="0" w:line="21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 xml:space="preserve">Covenant Not to Disclose. </w:t>
      </w:r>
      <w:r>
        <w:rPr>
          <w:rFonts w:ascii="Times New Roman" w:cs="Times New Roman" w:eastAsia="Times New Roman" w:hAnsi="Times New Roman"/>
          <w:sz w:val="18"/>
          <w:szCs w:val="18"/>
          <w:color w:val="auto"/>
        </w:rPr>
        <w:t>The Participant acknowledges that as a result of the Participant’s employment with Paylocity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an Illinois corporation (“</w:t>
      </w:r>
      <w:r>
        <w:rPr>
          <w:rFonts w:ascii="Times New Roman" w:cs="Times New Roman" w:eastAsia="Times New Roman" w:hAnsi="Times New Roman"/>
          <w:sz w:val="18"/>
          <w:szCs w:val="18"/>
          <w:b w:val="1"/>
          <w:bCs w:val="1"/>
          <w:i w:val="1"/>
          <w:iCs w:val="1"/>
          <w:color w:val="auto"/>
        </w:rPr>
        <w:t>Paylocity</w:t>
      </w:r>
      <w:r>
        <w:rPr>
          <w:rFonts w:ascii="Times New Roman" w:cs="Times New Roman" w:eastAsia="Times New Roman" w:hAnsi="Times New Roman"/>
          <w:sz w:val="18"/>
          <w:szCs w:val="18"/>
          <w:color w:val="auto"/>
        </w:rPr>
        <w:t>”), the Participant has gained access to Paylocity’s Confidential Information (defined below). During the</w:t>
      </w:r>
    </w:p>
    <w:p>
      <w:pPr>
        <w:ind w:right="320"/>
        <w:spacing w:after="0" w:line="226" w:lineRule="auto"/>
        <w:rPr>
          <w:sz w:val="20"/>
          <w:szCs w:val="20"/>
          <w:color w:val="auto"/>
        </w:rPr>
      </w:pPr>
      <w:r>
        <w:rPr>
          <w:rFonts w:ascii="Times New Roman" w:cs="Times New Roman" w:eastAsia="Times New Roman" w:hAnsi="Times New Roman"/>
          <w:sz w:val="18"/>
          <w:szCs w:val="18"/>
          <w:color w:val="auto"/>
        </w:rPr>
        <w:t>Participant’s employment and thereafter, the Participant will not use, disclose, or reveal to any person any Confidential Information except when acting within the scope of the Participant’s duties or with prior written authorization from Paylocity’s Chief Human Resources Officer.</w:t>
      </w:r>
    </w:p>
    <w:p>
      <w:pPr>
        <w:spacing w:after="0" w:line="180" w:lineRule="exact"/>
        <w:rPr>
          <w:sz w:val="20"/>
          <w:szCs w:val="20"/>
          <w:color w:val="auto"/>
        </w:rPr>
      </w:pPr>
    </w:p>
    <w:p>
      <w:pPr>
        <w:ind w:firstLine="1952"/>
        <w:spacing w:after="0" w:line="215" w:lineRule="auto"/>
        <w:tabs>
          <w:tab w:leader="none" w:pos="25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Confidential Information.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shall mean all information belonging to, or otherwise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the business of Paylocity, which is not generally known, regardless of the manner in which it is stored or conveyed to the Participant, and which Paylocity has taken reasonable measures under the circumstances to protect from unauthorized use or disclosure, including, without limitation, Paylocity’s trade secrets, intellectual property, customer and employee information, pricing information, business and marketing strategies, proprietary information and know-how, unpublished or pending patent applications and all related patent rights, discoveries, software code, formulas and processes relating to Paylocity’s business. Confidential Information does not include information that: (i) was generally known to the relevant public at the time of disclosure through no fault of the participant; (ii) was lawfully received by the Participant from a third party; (iii) was known to the Participant prior to receipt from Paylocity; or (iv) was independently developed by the Participant or independent third parties. In each of the foregoing circumstances, this exception applies only if such public knowledge or possession by an independent third party was without breach by the Participant or any third party of any obligation of confidentiality or non-use, including the obligations and restrictions provided in this Agreement.</w:t>
      </w:r>
    </w:p>
    <w:p>
      <w:pPr>
        <w:spacing w:after="0" w:line="197" w:lineRule="exact"/>
        <w:rPr>
          <w:rFonts w:ascii="Times New Roman" w:cs="Times New Roman" w:eastAsia="Times New Roman" w:hAnsi="Times New Roman"/>
          <w:sz w:val="18"/>
          <w:szCs w:val="18"/>
          <w:color w:val="auto"/>
        </w:rPr>
      </w:pPr>
    </w:p>
    <w:p>
      <w:pPr>
        <w:ind w:right="120" w:firstLine="1952"/>
        <w:spacing w:after="0" w:line="216" w:lineRule="auto"/>
        <w:tabs>
          <w:tab w:leader="none" w:pos="25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Scope of Non-Disclosure; Return of Company Property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Nothing in this Section shall be deemed to limit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Participant’s non-disclosure obligations under any applicable rule, statute, regulation, agreement or other Paylocity policy, or to prevent the Participant from providing truthful information to a government authority or in response to a valid subpoena or other court process. Upon termination of the Participant’s employment with Paylocity for any reason, the Participant will immediately return to Paylocity all Paylocity property, including, without limitation, all Confidential Information. The Participant understands that the 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4"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Covenants Not to Solicit.</w:t>
      </w:r>
    </w:p>
    <w:p>
      <w:pPr>
        <w:spacing w:after="0" w:line="225" w:lineRule="exact"/>
        <w:rPr>
          <w:sz w:val="20"/>
          <w:szCs w:val="20"/>
          <w:color w:val="auto"/>
        </w:rPr>
      </w:pPr>
    </w:p>
    <w:p>
      <w:pPr>
        <w:ind w:right="20" w:firstLine="1952"/>
        <w:spacing w:after="0" w:line="221" w:lineRule="auto"/>
        <w:tabs>
          <w:tab w:leader="none" w:pos="25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Non-Solicitation. </w:t>
      </w:r>
      <w:r>
        <w:rPr>
          <w:rFonts w:ascii="Times New Roman" w:cs="Times New Roman" w:eastAsia="Times New Roman" w:hAnsi="Times New Roman"/>
          <w:sz w:val="18"/>
          <w:szCs w:val="18"/>
          <w:color w:val="auto"/>
        </w:rPr>
        <w:t>During employment with Paylocity and for a period of twenty-four (24) months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termination of employment for any reason, the Participant agrees not to directly or indirectly contact, solicit or accept business from any of Paylocity’s customers, prospective customers, brokers, brokerage firms, business partners, business associates, or end users, with whom the Participant had direct or indirect contact or solicited on behalf of Paylocity in the twelve (12) months prior to the Participant’s termination, for the purpose of selling or soliciting products or services that are in competition with the products or services of Paylocity.</w:t>
      </w:r>
    </w:p>
    <w:p>
      <w:pPr>
        <w:spacing w:after="0" w:line="181" w:lineRule="exact"/>
        <w:rPr>
          <w:rFonts w:ascii="Times New Roman" w:cs="Times New Roman" w:eastAsia="Times New Roman" w:hAnsi="Times New Roman"/>
          <w:sz w:val="18"/>
          <w:szCs w:val="18"/>
          <w:color w:val="auto"/>
        </w:rPr>
      </w:pPr>
    </w:p>
    <w:p>
      <w:pPr>
        <w:ind w:firstLine="1952"/>
        <w:spacing w:after="0" w:line="224" w:lineRule="auto"/>
        <w:tabs>
          <w:tab w:leader="none" w:pos="25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Employee Non-Solicitation. </w:t>
      </w:r>
      <w:r>
        <w:rPr>
          <w:rFonts w:ascii="Times New Roman" w:cs="Times New Roman" w:eastAsia="Times New Roman" w:hAnsi="Times New Roman"/>
          <w:sz w:val="18"/>
          <w:szCs w:val="18"/>
          <w:color w:val="auto"/>
        </w:rPr>
        <w:t>During employment with Paylocity and for a period of twenty-four (24) months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termination of employment for any reason, the Participant agrees not to directly or indirectly contact, solicit or recruit any employees or exclusive independent contractors of Paylocity with whom the Participant worked or had contact during the twelve (12) months preceding the termination of the Participant’s employment, for the purpose of causing, inviting or encouraging any such employee to (i) to terminate his or her employment or business relationship with Paylocity; and/or (ii) to become employed or engaged by a person or entity that sells Competing Products (as defined below).</w:t>
      </w:r>
    </w:p>
    <w:p>
      <w:pPr>
        <w:spacing w:after="0" w:line="182" w:lineRule="exact"/>
        <w:rPr>
          <w:sz w:val="20"/>
          <w:szCs w:val="20"/>
          <w:color w:val="auto"/>
        </w:rPr>
      </w:pPr>
    </w:p>
    <w:p>
      <w:pPr>
        <w:ind w:right="420" w:firstLine="1296"/>
        <w:spacing w:after="0" w:line="238"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b w:val="1"/>
          <w:bCs w:val="1"/>
          <w:color w:val="auto"/>
        </w:rPr>
        <w:t>Covenant Not To Compete.</w:t>
      </w:r>
      <w:r>
        <w:rPr>
          <w:rFonts w:ascii="Times New Roman" w:cs="Times New Roman" w:eastAsia="Times New Roman" w:hAnsi="Times New Roman"/>
          <w:sz w:val="17"/>
          <w:szCs w:val="17"/>
          <w:color w:val="auto"/>
        </w:rPr>
        <w:t xml:space="preserve"> During employment with Paylocity and for a period of twelve (12) months following the termination of employment for any reason, the Participant agrees not to directly or indirectly, on behalf of Participant or in conjunction with any other</w:t>
      </w:r>
    </w:p>
    <w:p>
      <w:pPr>
        <w:spacing w:after="0" w:line="1" w:lineRule="exact"/>
        <w:rPr>
          <w:sz w:val="20"/>
          <w:szCs w:val="20"/>
          <w:color w:val="auto"/>
        </w:rPr>
      </w:pPr>
    </w:p>
    <w:p>
      <w:pPr>
        <w:jc w:val="both"/>
        <w:ind w:right="240"/>
        <w:spacing w:after="0" w:line="208" w:lineRule="auto"/>
        <w:rPr>
          <w:sz w:val="20"/>
          <w:szCs w:val="20"/>
          <w:color w:val="auto"/>
        </w:rPr>
      </w:pPr>
      <w:r>
        <w:rPr>
          <w:rFonts w:ascii="Times New Roman" w:cs="Times New Roman" w:eastAsia="Times New Roman" w:hAnsi="Times New Roman"/>
          <w:sz w:val="18"/>
          <w:szCs w:val="18"/>
          <w:color w:val="auto"/>
        </w:rPr>
        <w:t>person or entity: (i) own any business (other than less than 3% ownership in a publicly traded company) that sells Competing Products in the Restricted Territory; or (ii) work in the Restricted Territory (whether as an employee, independent contractor, consultant, or otherwise) for any person or entity that sells Competing Products, in any role: (y) that is similar to any position I held with the Company during the twenty-four (24) months preceding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the Participant’s employment, or (z) in</w:t>
      </w:r>
    </w:p>
    <w:p>
      <w:pPr>
        <w:sectPr>
          <w:pgSz w:w="11900" w:h="16838" w:orient="portrait"/>
          <w:cols w:equalWidth="0" w:num="1">
            <w:col w:w="11220"/>
          </w:cols>
          <w:pgMar w:left="320" w:top="1400" w:right="359" w:bottom="1440" w:gutter="0" w:footer="0" w:header="0"/>
        </w:sectPr>
      </w:pPr>
    </w:p>
    <w:bookmarkStart w:id="42" w:name="page43"/>
    <w:bookmarkEnd w:id="42"/>
    <w:p>
      <w:pPr>
        <w:ind w:right="440"/>
        <w:spacing w:after="0" w:line="225" w:lineRule="auto"/>
        <w:rPr>
          <w:sz w:val="20"/>
          <w:szCs w:val="20"/>
          <w:color w:val="auto"/>
        </w:rPr>
      </w:pPr>
      <w:r>
        <w:rPr>
          <w:rFonts w:ascii="Times New Roman" w:cs="Times New Roman" w:eastAsia="Times New Roman" w:hAnsi="Times New Roman"/>
          <w:sz w:val="18"/>
          <w:szCs w:val="18"/>
          <w:color w:val="auto"/>
        </w:rPr>
        <w:t>which it would be beneficial for the Participant to use or rely upon Paylocity’s Confidential Information. The term “</w:t>
      </w:r>
      <w:r>
        <w:rPr>
          <w:rFonts w:ascii="Times New Roman" w:cs="Times New Roman" w:eastAsia="Times New Roman" w:hAnsi="Times New Roman"/>
          <w:sz w:val="18"/>
          <w:szCs w:val="18"/>
          <w:b w:val="1"/>
          <w:bCs w:val="1"/>
          <w:i w:val="1"/>
          <w:iCs w:val="1"/>
          <w:color w:val="auto"/>
        </w:rPr>
        <w:t>Competing Products</w:t>
      </w:r>
      <w:r>
        <w:rPr>
          <w:rFonts w:ascii="Times New Roman" w:cs="Times New Roman" w:eastAsia="Times New Roman" w:hAnsi="Times New Roman"/>
          <w:sz w:val="18"/>
          <w:szCs w:val="18"/>
          <w:color w:val="auto"/>
        </w:rPr>
        <w:t>” shall mean products or services sold by Paylocity, or any prospective product or service Paylocity took steps to develop, and for which the Participant had any</w:t>
      </w:r>
    </w:p>
    <w:p>
      <w:pPr>
        <w:jc w:val="both"/>
        <w:ind w:right="40"/>
        <w:spacing w:after="0" w:line="220" w:lineRule="auto"/>
        <w:rPr>
          <w:sz w:val="20"/>
          <w:szCs w:val="20"/>
          <w:color w:val="auto"/>
        </w:rPr>
      </w:pPr>
      <w:r>
        <w:rPr>
          <w:rFonts w:ascii="Times New Roman" w:cs="Times New Roman" w:eastAsia="Times New Roman" w:hAnsi="Times New Roman"/>
          <w:sz w:val="17"/>
          <w:szCs w:val="17"/>
          <w:color w:val="auto"/>
        </w:rPr>
        <w:t>responsibility during the twenty-four (24) months preceding the termination of the Participant’s employment, including, without limitation, any products or services related to software solutions for payroll, human capital management, human resources, benefits, time and labor, and talent management. The term “</w:t>
      </w:r>
      <w:r>
        <w:rPr>
          <w:rFonts w:ascii="Times New Roman" w:cs="Times New Roman" w:eastAsia="Times New Roman" w:hAnsi="Times New Roman"/>
          <w:sz w:val="17"/>
          <w:szCs w:val="17"/>
          <w:b w:val="1"/>
          <w:bCs w:val="1"/>
          <w:i w:val="1"/>
          <w:iCs w:val="1"/>
          <w:color w:val="auto"/>
        </w:rPr>
        <w:t>Restricted Territory</w:t>
      </w:r>
      <w:r>
        <w:rPr>
          <w:rFonts w:ascii="Times New Roman" w:cs="Times New Roman" w:eastAsia="Times New Roman" w:hAnsi="Times New Roman"/>
          <w:sz w:val="17"/>
          <w:szCs w:val="17"/>
          <w:color w:val="auto"/>
        </w:rPr>
        <w:t>” shall mean the geographic territory over which the Participant had responsibility during the twenty-four (24) months preceding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the Participant’s employment.</w:t>
      </w:r>
    </w:p>
    <w:p>
      <w:pPr>
        <w:spacing w:after="0" w:line="188" w:lineRule="exact"/>
        <w:rPr>
          <w:sz w:val="20"/>
          <w:szCs w:val="20"/>
          <w:color w:val="auto"/>
        </w:rPr>
      </w:pPr>
    </w:p>
    <w:p>
      <w:pPr>
        <w:ind w:right="240" w:firstLine="1296"/>
        <w:spacing w:after="0" w:line="238"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b w:val="1"/>
          <w:bCs w:val="1"/>
          <w:color w:val="auto"/>
        </w:rPr>
        <w:t>Acknowledgments.</w:t>
      </w:r>
      <w:r>
        <w:rPr>
          <w:rFonts w:ascii="Times New Roman" w:cs="Times New Roman" w:eastAsia="Times New Roman" w:hAnsi="Times New Roman"/>
          <w:sz w:val="17"/>
          <w:szCs w:val="17"/>
          <w:color w:val="auto"/>
        </w:rPr>
        <w:t xml:space="preserve"> The Participant acknowledges that: (i) the covenants of this Section 7 are supported by sufficient consideration, including access to Paylocity’s Legitimate Business Interests (defined below), and the Units awarded under this Agreement; (ii) Paylocity</w:t>
      </w:r>
    </w:p>
    <w:p>
      <w:pPr>
        <w:spacing w:after="0" w:line="1"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has invested substantial resources into the development, protection and retention of its Confidential Information, employees, customers, and business (collectively, “</w:t>
      </w:r>
      <w:r>
        <w:rPr>
          <w:rFonts w:ascii="Times New Roman" w:cs="Times New Roman" w:eastAsia="Times New Roman" w:hAnsi="Times New Roman"/>
          <w:sz w:val="17"/>
          <w:szCs w:val="17"/>
          <w:b w:val="1"/>
          <w:bCs w:val="1"/>
          <w:i w:val="1"/>
          <w:iCs w:val="1"/>
          <w:color w:val="auto"/>
        </w:rPr>
        <w:t>Legitimate Business Interests</w:t>
      </w:r>
      <w:r>
        <w:rPr>
          <w:rFonts w:ascii="Times New Roman" w:cs="Times New Roman" w:eastAsia="Times New Roman" w:hAnsi="Times New Roman"/>
          <w:sz w:val="17"/>
          <w:szCs w:val="17"/>
          <w:color w:val="auto"/>
        </w:rPr>
        <w:t>”); (iii) the Legitimate Business Interests have significant intrinsic value and are not readily achieved or duplicated; (iv) solely as a result of the Participant’s employment with Paylocity, the Participant has gained access to and familiarity with the Legitimate</w:t>
      </w:r>
    </w:p>
    <w:p>
      <w:pPr>
        <w:spacing w:after="0" w:line="2" w:lineRule="exact"/>
        <w:rPr>
          <w:sz w:val="20"/>
          <w:szCs w:val="20"/>
          <w:color w:val="auto"/>
        </w:rPr>
      </w:pPr>
    </w:p>
    <w:p>
      <w:pPr>
        <w:ind w:right="280"/>
        <w:spacing w:after="0" w:line="218" w:lineRule="auto"/>
        <w:rPr>
          <w:sz w:val="20"/>
          <w:szCs w:val="20"/>
          <w:color w:val="auto"/>
        </w:rPr>
      </w:pPr>
      <w:r>
        <w:rPr>
          <w:rFonts w:ascii="Times New Roman" w:cs="Times New Roman" w:eastAsia="Times New Roman" w:hAnsi="Times New Roman"/>
          <w:sz w:val="18"/>
          <w:szCs w:val="18"/>
          <w:color w:val="auto"/>
        </w:rPr>
        <w:t>Business Interests; (v) the covenants of this Section 7 are therefore reasonable and necessary to protect the Legitimate Business Interests, and they are enforceable; and (vi) the provisions of this Section 7 do not restrain competition, limit the Participant’s ability to obtain employment of the Participant’s choosing or affect the Participant’s wages.</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b w:val="1"/>
          <w:bCs w:val="1"/>
          <w:color w:val="auto"/>
        </w:rPr>
        <w:t xml:space="preserve">Remedies and Relief. </w:t>
      </w:r>
      <w:r>
        <w:rPr>
          <w:rFonts w:ascii="Times New Roman" w:cs="Times New Roman" w:eastAsia="Times New Roman" w:hAnsi="Times New Roman"/>
          <w:sz w:val="18"/>
          <w:szCs w:val="18"/>
          <w:color w:val="auto"/>
        </w:rPr>
        <w:t>In the event of any breach by the Participant of the provisions of this Section 7: (i) the Company shall</w:t>
      </w:r>
    </w:p>
    <w:p>
      <w:pPr>
        <w:spacing w:after="0" w:line="203" w:lineRule="auto"/>
        <w:rPr>
          <w:sz w:val="20"/>
          <w:szCs w:val="20"/>
          <w:color w:val="auto"/>
        </w:rPr>
      </w:pPr>
      <w:r>
        <w:rPr>
          <w:rFonts w:ascii="Times New Roman" w:cs="Times New Roman" w:eastAsia="Times New Roman" w:hAnsi="Times New Roman"/>
          <w:sz w:val="18"/>
          <w:szCs w:val="18"/>
          <w:color w:val="auto"/>
        </w:rPr>
        <w:t>have the right to require the Participant to deliver to the Company: (a) all Units granted to the Participant in the three (3) years preceding said breach; and</w:t>
      </w:r>
    </w:p>
    <w:p>
      <w:pPr>
        <w:ind w:right="80" w:firstLine="8"/>
        <w:spacing w:after="0" w:line="213"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Participant has disposed of any Units so granted or shares of Stock issued in settlement of such Units, the net proceeds from all such dispositions; and (ii) any unvested Units shall be immediately forfeited (collectively, the “</w:t>
      </w:r>
      <w:r>
        <w:rPr>
          <w:rFonts w:ascii="Times New Roman" w:cs="Times New Roman" w:eastAsia="Times New Roman" w:hAnsi="Times New Roman"/>
          <w:sz w:val="18"/>
          <w:szCs w:val="18"/>
          <w:b w:val="1"/>
          <w:bCs w:val="1"/>
          <w:i w:val="1"/>
          <w:iCs w:val="1"/>
          <w:color w:val="auto"/>
        </w:rPr>
        <w:t>Repayment Obligation</w:t>
      </w:r>
      <w:r>
        <w:rPr>
          <w:rFonts w:ascii="Times New Roman" w:cs="Times New Roman" w:eastAsia="Times New Roman" w:hAnsi="Times New Roman"/>
          <w:sz w:val="18"/>
          <w:szCs w:val="18"/>
          <w:color w:val="auto"/>
        </w:rPr>
        <w:t>”). The determination of whether the Participant has engaged in a breach of Section 7 shall be determined by the Committee in its sole discretion. Any repayment obligations under this Section 7 shall be effected by the Participant within thirty (30) days of receipt of the Company’s written demand for repayment. The Company may provide for an offset to any future payments owed by the Participating Company Group to the Participant, if necessary, to satisfy the Repayment Obligation. The Participant agrees to execute such documents as may be necessary to effect the repayment obligations referred to in this Section. Nothing in this Section 7 shall limit Paylocity from pursuing any other remedies otherwise available in law or in equity, including a temporary retaining order, a preliminary injunction, and a permanent injunction enjoining Participant’s breach or threatened breach of any of the provisions of this Agreement or from seeking enforcement of any other restrictions by which the Participant is bound under other agreements or applicable law.</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is held to be unenforceable, such provision will be distinct and severable from</w:t>
      </w:r>
    </w:p>
    <w:p>
      <w:pPr>
        <w:spacing w:after="0" w:line="6"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the other provisions of this Agreement, and such unenforceability will not affect the validity and enforceability of the remaining provisions. If a court holds that the duration, scope, geographic range or any other restriction stated in any provision of this Agreement is unreasonable under circumstances then existing, the parties agree that the maximum duration, scope, geographic range or other restriction that the court deems reasonable under such</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circumstances will be substituted and that the court will have the power to revise any of those restrictions to cover the maximum period, scope, geographic range and/or other restriction permitted by law. It is the intent of the parties that the court, in establishing any such substitute restriction, recognize that the parties’ desire is that the stated restrictions upon which the parties have agreed be honored to the maximum lawful extent.</w:t>
      </w:r>
    </w:p>
    <w:p>
      <w:pPr>
        <w:spacing w:after="0" w:line="195" w:lineRule="exact"/>
        <w:rPr>
          <w:sz w:val="20"/>
          <w:szCs w:val="20"/>
          <w:color w:val="auto"/>
        </w:rPr>
      </w:pPr>
    </w:p>
    <w:p>
      <w:pPr>
        <w:jc w:val="both"/>
        <w:ind w:right="280" w:firstLine="1296"/>
        <w:spacing w:after="0" w:line="227"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Tolling</w:t>
      </w:r>
      <w:r>
        <w:rPr>
          <w:rFonts w:ascii="Times New Roman" w:cs="Times New Roman" w:eastAsia="Times New Roman" w:hAnsi="Times New Roman"/>
          <w:sz w:val="18"/>
          <w:szCs w:val="18"/>
          <w:color w:val="auto"/>
        </w:rPr>
        <w:t>. The restricted time periods in Section 7 shall be tolled during any time period that Participant is in violation of such covenants, as determined by a court of competent jurisdiction, so that Paylocity may realize the full benefit of its bargain. This tolling shall include any time period during which litigation is pending, and during which Participant has continued to violate such protective covenants.</w:t>
      </w:r>
    </w:p>
    <w:p>
      <w:pPr>
        <w:spacing w:after="0" w:line="128"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-5080</wp:posOffset>
            </wp:positionV>
            <wp:extent cx="2603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38" w:lineRule="exact"/>
        <w:rPr>
          <w:sz w:val="20"/>
          <w:szCs w:val="20"/>
          <w:color w:val="auto"/>
        </w:rPr>
      </w:pPr>
    </w:p>
    <w:p>
      <w:pPr>
        <w:ind w:right="60" w:firstLine="1296"/>
        <w:spacing w:after="0" w:line="217" w:lineRule="auto"/>
        <w:rPr>
          <w:sz w:val="20"/>
          <w:szCs w:val="20"/>
          <w:color w:val="auto"/>
        </w:rPr>
      </w:pPr>
      <w:r>
        <w:rPr>
          <w:rFonts w:ascii="Times New Roman" w:cs="Times New Roman" w:eastAsia="Times New Roman" w:hAnsi="Times New Roman"/>
          <w:sz w:val="18"/>
          <w:szCs w:val="18"/>
          <w:color w:val="auto"/>
          <w:highlight w:val="white"/>
        </w:rPr>
        <w:t xml:space="preserve">8.1 </w:t>
      </w:r>
      <w:r>
        <w:rPr>
          <w:rFonts w:ascii="Times New Roman" w:cs="Times New Roman" w:eastAsia="Times New Roman" w:hAnsi="Times New Roman"/>
          <w:sz w:val="18"/>
          <w:szCs w:val="18"/>
          <w:b w:val="1"/>
          <w:bCs w:val="1"/>
          <w:color w:val="auto"/>
        </w:rPr>
        <w:t>In General.</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At the time the Grant Notice is executed, or at any time thereafter as requested by a Participating Company, the</w:t>
      </w:r>
      <w:r>
        <w:rPr>
          <w:rFonts w:ascii="Times New Roman" w:cs="Times New Roman" w:eastAsia="Times New Roman" w:hAnsi="Times New Roman"/>
          <w:sz w:val="18"/>
          <w:szCs w:val="18"/>
          <w:color w:val="auto"/>
          <w:highlight w:val="white"/>
        </w:rPr>
        <w:t xml:space="preserv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w:t>
      </w:r>
    </w:p>
    <w:p>
      <w:pPr>
        <w:spacing w:after="0" w:line="3"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highlight w:val="white"/>
        </w:rPr>
        <w:t>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-24765</wp:posOffset>
            </wp:positionV>
            <wp:extent cx="2603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06" w:lineRule="exact"/>
        <w:rPr>
          <w:sz w:val="20"/>
          <w:szCs w:val="20"/>
          <w:color w:val="auto"/>
        </w:rPr>
      </w:pPr>
    </w:p>
    <w:p>
      <w:pPr>
        <w:ind w:right="240" w:firstLine="1296"/>
        <w:spacing w:after="0" w:line="239" w:lineRule="auto"/>
        <w:rPr>
          <w:sz w:val="20"/>
          <w:szCs w:val="20"/>
          <w:color w:val="auto"/>
        </w:rPr>
      </w:pPr>
      <w:r>
        <w:rPr>
          <w:rFonts w:ascii="Times New Roman" w:cs="Times New Roman" w:eastAsia="Times New Roman" w:hAnsi="Times New Roman"/>
          <w:sz w:val="18"/>
          <w:szCs w:val="18"/>
          <w:color w:val="auto"/>
          <w:highlight w:val="white"/>
        </w:rPr>
        <w:t xml:space="preserve">8.2 </w:t>
      </w:r>
      <w:r>
        <w:rPr>
          <w:rFonts w:ascii="Times New Roman" w:cs="Times New Roman" w:eastAsia="Times New Roman" w:hAnsi="Times New Roman"/>
          <w:sz w:val="18"/>
          <w:szCs w:val="18"/>
          <w:b w:val="1"/>
          <w:bCs w:val="1"/>
          <w:color w:val="auto"/>
        </w:rPr>
        <w:t>Assignment of Sale Proceeds.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Subject to compliance with applicable law and the Company’s Trading Compliance Policy, if</w:t>
      </w:r>
      <w:r>
        <w:rPr>
          <w:rFonts w:ascii="Times New Roman" w:cs="Times New Roman" w:eastAsia="Times New Roman" w:hAnsi="Times New Roman"/>
          <w:sz w:val="18"/>
          <w:szCs w:val="18"/>
          <w:color w:val="auto"/>
          <w:highlight w:val="white"/>
        </w:rPr>
        <w:t xml:space="preserve"> permitted by the Company, the Participant may satisfy the Participating</w:t>
      </w:r>
    </w:p>
    <w:p>
      <w:pPr>
        <w:sectPr>
          <w:pgSz w:w="11900" w:h="16838" w:orient="portrait"/>
          <w:cols w:equalWidth="0" w:num="1">
            <w:col w:w="11220"/>
          </w:cols>
          <w:pgMar w:left="320" w:top="1400" w:right="359" w:bottom="1440" w:gutter="0" w:footer="0" w:header="0"/>
        </w:sectPr>
      </w:pPr>
    </w:p>
    <w:bookmarkStart w:id="43" w:name="page44"/>
    <w:bookmarkEnd w:id="43"/>
    <w:p>
      <w:pPr>
        <w:ind w:right="40"/>
        <w:spacing w:after="0" w:line="236" w:lineRule="auto"/>
        <w:rPr>
          <w:sz w:val="20"/>
          <w:szCs w:val="20"/>
          <w:color w:val="auto"/>
        </w:rPr>
      </w:pPr>
      <w:r>
        <w:rPr>
          <w:rFonts w:ascii="Times New Roman" w:cs="Times New Roman" w:eastAsia="Times New Roman" w:hAnsi="Times New Roman"/>
          <w:sz w:val="17"/>
          <w:szCs w:val="17"/>
          <w:color w:val="auto"/>
        </w:rPr>
        <w:t>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w:t>
      </w:r>
    </w:p>
    <w:p>
      <w:pPr>
        <w:spacing w:after="0"/>
        <w:rPr>
          <w:sz w:val="20"/>
          <w:szCs w:val="20"/>
          <w:color w:val="auto"/>
        </w:rPr>
      </w:pPr>
      <w:r>
        <w:rPr>
          <w:rFonts w:ascii="Times New Roman" w:cs="Times New Roman" w:eastAsia="Times New Roman" w:hAnsi="Times New Roman"/>
          <w:sz w:val="18"/>
          <w:szCs w:val="18"/>
          <w:color w:val="auto"/>
        </w:rPr>
        <w:t>Company of the proceeds of a sale with respect to some or all of the shares being acquired upon settlement of Units.</w:t>
      </w:r>
    </w:p>
    <w:p>
      <w:pPr>
        <w:spacing w:after="0" w:line="12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color w:val="auto"/>
        </w:rPr>
        <w:t xml:space="preserve">Withholding in Shares. </w:t>
      </w:r>
      <w:r>
        <w:rPr>
          <w:rFonts w:ascii="Times New Roman" w:cs="Times New Roman" w:eastAsia="Times New Roman" w:hAnsi="Times New Roman"/>
          <w:sz w:val="18"/>
          <w:szCs w:val="18"/>
          <w:color w:val="auto"/>
        </w:rPr>
        <w:t>The Company shall have the right, but not the obligation, to require the Participant to satisfy all or any</w:t>
      </w:r>
    </w:p>
    <w:p>
      <w:pPr>
        <w:spacing w:after="0" w:line="6"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7"/>
          <w:szCs w:val="17"/>
          <w:color w:val="auto"/>
        </w:rPr>
        <w:t>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minimum statutory withholding rates.</w:t>
      </w:r>
    </w:p>
    <w:p>
      <w:pPr>
        <w:spacing w:after="0" w:line="127" w:lineRule="exact"/>
        <w:rPr>
          <w:sz w:val="20"/>
          <w:szCs w:val="20"/>
          <w:color w:val="auto"/>
        </w:rPr>
      </w:pPr>
    </w:p>
    <w:p>
      <w:pPr>
        <w:ind w:left="1020" w:hanging="36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CHANGE IN CONTROL</w:t>
      </w:r>
      <w:r>
        <w:rPr>
          <w:rFonts w:ascii="Times New Roman" w:cs="Times New Roman" w:eastAsia="Times New Roman" w:hAnsi="Times New Roman"/>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-5080</wp:posOffset>
            </wp:positionV>
            <wp:extent cx="2603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42" w:lineRule="exact"/>
        <w:rPr>
          <w:sz w:val="20"/>
          <w:szCs w:val="20"/>
          <w:color w:val="auto"/>
        </w:rPr>
      </w:pPr>
    </w:p>
    <w:p>
      <w:pPr>
        <w:ind w:right="160" w:firstLine="1296"/>
        <w:spacing w:after="0" w:line="229" w:lineRule="auto"/>
        <w:rPr>
          <w:sz w:val="20"/>
          <w:szCs w:val="20"/>
          <w:color w:val="auto"/>
        </w:rPr>
      </w:pPr>
      <w:r>
        <w:rPr>
          <w:rFonts w:ascii="Times New Roman" w:cs="Times New Roman" w:eastAsia="Times New Roman" w:hAnsi="Times New Roman"/>
          <w:sz w:val="17"/>
          <w:szCs w:val="17"/>
          <w:color w:val="auto"/>
          <w:highlight w:val="white"/>
        </w:rPr>
        <w:t>In the event of a Change in Control, except to the extent that the Committee determines to cash out the Award in accordance with Section 13.1(c) of the Plan, the surviving, continuing, successor, or purchasing entity or parent thereof, as the case may be (the “</w:t>
      </w:r>
      <w:r>
        <w:rPr>
          <w:rFonts w:ascii="Times New Roman" w:cs="Times New Roman" w:eastAsia="Times New Roman" w:hAnsi="Times New Roman"/>
          <w:sz w:val="17"/>
          <w:szCs w:val="17"/>
          <w:b w:val="1"/>
          <w:bCs w:val="1"/>
          <w:i w:val="1"/>
          <w:iCs w:val="1"/>
          <w:color w:val="auto"/>
          <w:highlight w:val="white"/>
        </w:rPr>
        <w:t>Acquiror</w:t>
      </w:r>
      <w:r>
        <w:rPr>
          <w:rFonts w:ascii="Times New Roman" w:cs="Times New Roman" w:eastAsia="Times New Roman" w:hAnsi="Times New Roman"/>
          <w:sz w:val="17"/>
          <w:szCs w:val="17"/>
          <w:color w:val="auto"/>
          <w:highlight w:val="white"/>
        </w:rPr>
        <w:t>”), may, without the consent of the Participant, assume or continue in full force and effect the Company’s rights and obligations under all or any portion of the outstanding</w:t>
      </w:r>
    </w:p>
    <w:p>
      <w:pPr>
        <w:spacing w:after="0" w:line="208" w:lineRule="auto"/>
        <w:rPr>
          <w:sz w:val="20"/>
          <w:szCs w:val="20"/>
          <w:color w:val="auto"/>
        </w:rPr>
      </w:pPr>
      <w:r>
        <w:rPr>
          <w:rFonts w:ascii="Times New Roman" w:cs="Times New Roman" w:eastAsia="Times New Roman" w:hAnsi="Times New Roman"/>
          <w:sz w:val="18"/>
          <w:szCs w:val="18"/>
          <w:color w:val="auto"/>
          <w:highlight w:val="white"/>
        </w:rPr>
        <w:t>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w:t>
      </w:r>
    </w:p>
    <w:p>
      <w:pPr>
        <w:spacing w:after="0" w:line="2"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highlight w:val="white"/>
        </w:rPr>
        <w:t xml:space="preserve">on the effective date of the Change in Control was entitled (and if holders were offered a choice of consideration, the type of consideration chosen by the </w:t>
      </w:r>
      <w:r>
        <w:rPr>
          <w:rFonts w:ascii="Times New Roman" w:cs="Times New Roman" w:eastAsia="Times New Roman" w:hAnsi="Times New Roman"/>
          <w:sz w:val="17"/>
          <w:szCs w:val="17"/>
          <w:color w:val="auto"/>
        </w:rPr>
        <w:t>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6900545"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900545" cy="240030"/>
                    </a:xfrm>
                    <a:prstGeom prst="rect">
                      <a:avLst/>
                    </a:prstGeom>
                    <a:noFill/>
                  </pic:spPr>
                </pic:pic>
              </a:graphicData>
            </a:graphic>
          </wp:anchor>
        </w:drawing>
      </w: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highlight w:val="white"/>
        </w:rPr>
        <w:t>stock of the Acquiror equal in Fair Market Value to the per share consideration received by holders of Stock pursuant to the Change in Control. The Award shall terminate and cease to be outstanding effective as of the time of consummation or the Change in Control to the extent that Units subject to the Award are neither assumed or continued by the Acquiror in connection with the Change in Control nor settled as of the time of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-15875</wp:posOffset>
            </wp:positionV>
            <wp:extent cx="25400"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25400" cy="111760"/>
                    </a:xfrm>
                    <a:prstGeom prst="rect">
                      <a:avLst/>
                    </a:prstGeom>
                    <a:noFill/>
                  </pic:spPr>
                </pic:pic>
              </a:graphicData>
            </a:graphic>
          </wp:anchor>
        </w:drawing>
      </w:r>
    </w:p>
    <w:p>
      <w:pPr>
        <w:spacing w:after="0" w:line="10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b w:val="1"/>
          <w:bCs w:val="1"/>
          <w:u w:val="single" w:color="auto"/>
          <w:color w:val="auto"/>
        </w:rPr>
        <w:t>ADJUSTMENTS FOR CHANGES IN CAPITAL STRUCTURE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-5080</wp:posOffset>
            </wp:positionV>
            <wp:extent cx="2603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42" w:lineRule="exact"/>
        <w:rPr>
          <w:sz w:val="20"/>
          <w:szCs w:val="20"/>
          <w:color w:val="auto"/>
        </w:rPr>
      </w:pPr>
    </w:p>
    <w:p>
      <w:pPr>
        <w:ind w:right="120" w:firstLine="1296"/>
        <w:spacing w:after="0" w:line="229" w:lineRule="auto"/>
        <w:rPr>
          <w:sz w:val="20"/>
          <w:szCs w:val="20"/>
          <w:color w:val="auto"/>
        </w:rPr>
      </w:pPr>
      <w:r>
        <w:rPr>
          <w:rFonts w:ascii="Times New Roman" w:cs="Times New Roman" w:eastAsia="Times New Roman" w:hAnsi="Times New Roman"/>
          <w:sz w:val="17"/>
          <w:szCs w:val="17"/>
          <w:color w:val="auto"/>
          <w:highlight w:val="white"/>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w:t>
      </w:r>
    </w:p>
    <w:p>
      <w:pPr>
        <w:ind w:right="320"/>
        <w:spacing w:after="0" w:line="220" w:lineRule="auto"/>
        <w:rPr>
          <w:sz w:val="20"/>
          <w:szCs w:val="20"/>
          <w:color w:val="auto"/>
        </w:rPr>
      </w:pPr>
      <w:r>
        <w:rPr>
          <w:rFonts w:ascii="Times New Roman" w:cs="Times New Roman" w:eastAsia="Times New Roman" w:hAnsi="Times New Roman"/>
          <w:sz w:val="17"/>
          <w:szCs w:val="17"/>
          <w:color w:val="auto"/>
          <w:highlight w:val="white"/>
        </w:rPr>
        <w:t>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highlight w:val="white"/>
        </w:rPr>
        <w:t>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w:t>
      </w:r>
    </w:p>
    <w:p>
      <w:pPr>
        <w:spacing w:after="0" w:line="2"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8"/>
          <w:szCs w:val="18"/>
          <w:color w:val="auto"/>
          <w:highlight w:val="white"/>
        </w:rPr>
        <w:t>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adjustments shall be determined by the Committee, and its determination shall be final, binding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-20320</wp:posOffset>
            </wp:positionV>
            <wp:extent cx="25400" cy="111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25400" cy="111760"/>
                    </a:xfrm>
                    <a:prstGeom prst="rect">
                      <a:avLst/>
                    </a:prstGeom>
                    <a:noFill/>
                  </pic:spPr>
                </pic:pic>
              </a:graphicData>
            </a:graphic>
          </wp:anchor>
        </w:drawing>
      </w:r>
    </w:p>
    <w:p>
      <w:pPr>
        <w:spacing w:after="0" w:line="100"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b w:val="1"/>
          <w:bCs w:val="1"/>
          <w:u w:val="single" w:color="auto"/>
          <w:color w:val="auto"/>
        </w:rPr>
        <w:t>RIGHTS AS A STOCKHOLDER, DIRECTOR, EMPLOYEE OR CONSULTANT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-116840</wp:posOffset>
            </wp:positionV>
            <wp:extent cx="2540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42" w:lineRule="exact"/>
        <w:rPr>
          <w:sz w:val="20"/>
          <w:szCs w:val="20"/>
          <w:color w:val="auto"/>
        </w:rPr>
      </w:pPr>
    </w:p>
    <w:p>
      <w:pPr>
        <w:ind w:right="100" w:firstLine="1296"/>
        <w:spacing w:after="0" w:line="222" w:lineRule="auto"/>
        <w:rPr>
          <w:sz w:val="20"/>
          <w:szCs w:val="20"/>
          <w:color w:val="auto"/>
        </w:rPr>
      </w:pPr>
      <w:r>
        <w:rPr>
          <w:rFonts w:ascii="Times New Roman" w:cs="Times New Roman" w:eastAsia="Times New Roman" w:hAnsi="Times New Roman"/>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Company). No adjustment shall be made for dividends, distributions or other rights for which the record date is prior to the date the shares are issued, except as provided in Section 10. If the Participant is an Employee, the Participant understands and acknowledges that, except as otherwise provided in a separate, written employment agreement between a Participating Company and the Participant, the Participant’s employment is “at will” and is for no</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ectPr>
          <w:pgSz w:w="11900" w:h="16838" w:orient="portrait"/>
          <w:cols w:equalWidth="0" w:num="1">
            <w:col w:w="11240"/>
          </w:cols>
          <w:pgMar w:left="320" w:top="1404" w:right="339" w:bottom="1440" w:gutter="0" w:footer="0" w:header="0"/>
        </w:sectPr>
      </w:pPr>
    </w:p>
    <w:bookmarkStart w:id="44" w:name="page45"/>
    <w:bookmarkEnd w:id="44"/>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824865</wp:posOffset>
            </wp:positionH>
            <wp:positionV relativeFrom="paragraph">
              <wp:posOffset>-5080</wp:posOffset>
            </wp:positionV>
            <wp:extent cx="2857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8575" cy="128905"/>
                    </a:xfrm>
                    <a:prstGeom prst="rect">
                      <a:avLst/>
                    </a:prstGeom>
                    <a:noFill/>
                  </pic:spPr>
                </pic:pic>
              </a:graphicData>
            </a:graphic>
          </wp:anchor>
        </w:drawing>
      </w:r>
    </w:p>
    <w:p>
      <w:pPr>
        <w:spacing w:after="0" w:line="142" w:lineRule="exact"/>
        <w:rPr>
          <w:sz w:val="20"/>
          <w:szCs w:val="20"/>
          <w:color w:val="auto"/>
        </w:rPr>
      </w:pPr>
    </w:p>
    <w:p>
      <w:pPr>
        <w:ind w:firstLine="1296"/>
        <w:spacing w:after="0" w:line="229" w:lineRule="auto"/>
        <w:rPr>
          <w:sz w:val="20"/>
          <w:szCs w:val="20"/>
          <w:color w:val="auto"/>
        </w:rPr>
      </w:pPr>
      <w:r>
        <w:rPr>
          <w:rFonts w:ascii="Times New Roman" w:cs="Times New Roman" w:eastAsia="Times New Roman" w:hAnsi="Times New Roman"/>
          <w:sz w:val="17"/>
          <w:szCs w:val="17"/>
          <w:color w:val="auto"/>
          <w:highlight w:val="white"/>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w:t>
      </w:r>
    </w:p>
    <w:p>
      <w:pPr>
        <w:spacing w:after="0"/>
        <w:rPr>
          <w:sz w:val="20"/>
          <w:szCs w:val="20"/>
          <w:color w:val="auto"/>
        </w:rPr>
      </w:pPr>
      <w:r>
        <w:rPr>
          <w:rFonts w:ascii="Times New Roman" w:cs="Times New Roman" w:eastAsia="Times New Roman" w:hAnsi="Times New Roman"/>
          <w:sz w:val="18"/>
          <w:szCs w:val="18"/>
          <w:color w:val="auto"/>
          <w:highlight w:val="white"/>
        </w:rPr>
        <w:t>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-20320</wp:posOffset>
            </wp:positionV>
            <wp:extent cx="25400"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5400" cy="111760"/>
                    </a:xfrm>
                    <a:prstGeom prst="rect">
                      <a:avLst/>
                    </a:prstGeom>
                    <a:noFill/>
                  </pic:spPr>
                </pic:pic>
              </a:graphicData>
            </a:graphic>
          </wp:anchor>
        </w:drawing>
      </w:r>
    </w:p>
    <w:p>
      <w:pPr>
        <w:spacing w:after="0" w:line="100"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b w:val="1"/>
          <w:bCs w:val="1"/>
          <w:u w:val="single" w:color="auto"/>
          <w:color w:val="auto"/>
        </w:rPr>
        <w:t>COMPLIANCE WITH SECTION 409A</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right="420" w:firstLine="1296"/>
        <w:spacing w:after="0" w:line="236" w:lineRule="auto"/>
        <w:rPr>
          <w:sz w:val="20"/>
          <w:szCs w:val="20"/>
          <w:color w:val="auto"/>
        </w:rPr>
      </w:pPr>
      <w:r>
        <w:rPr>
          <w:rFonts w:ascii="Times New Roman" w:cs="Times New Roman" w:eastAsia="Times New Roman" w:hAnsi="Times New Roman"/>
          <w:sz w:val="17"/>
          <w:szCs w:val="17"/>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w:t>
      </w:r>
    </w:p>
    <w:p>
      <w:pPr>
        <w:ind w:right="20"/>
        <w:spacing w:after="0" w:line="226" w:lineRule="auto"/>
        <w:rPr>
          <w:sz w:val="20"/>
          <w:szCs w:val="20"/>
          <w:color w:val="auto"/>
        </w:rPr>
      </w:pPr>
      <w:r>
        <w:rPr>
          <w:rFonts w:ascii="Times New Roman" w:cs="Times New Roman" w:eastAsia="Times New Roman" w:hAnsi="Times New Roman"/>
          <w:sz w:val="18"/>
          <w:szCs w:val="18"/>
          <w:color w:val="auto"/>
        </w:rPr>
        <w:t>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spacing w:after="0" w:line="126" w:lineRule="exact"/>
        <w:rPr>
          <w:sz w:val="20"/>
          <w:szCs w:val="20"/>
          <w:color w:val="auto"/>
        </w:rPr>
      </w:pPr>
    </w:p>
    <w:p>
      <w:pPr>
        <w:ind w:right="40" w:firstLine="1296"/>
        <w:spacing w:after="0" w:line="217"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color w:val="auto"/>
        </w:rPr>
        <w:t>Separation from Service; Required Delay in Payment to Specified Employee.</w:t>
      </w:r>
      <w:r>
        <w:rPr>
          <w:rFonts w:ascii="Times New Roman" w:cs="Times New Roman" w:eastAsia="Times New Roman" w:hAnsi="Times New Roman"/>
          <w:sz w:val="18"/>
          <w:szCs w:val="18"/>
          <w:color w:val="auto"/>
        </w:rPr>
        <w:t xml:space="preserve"> 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Section 409A Regulations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shall be</w:t>
      </w:r>
    </w:p>
    <w:p>
      <w:pPr>
        <w:spacing w:after="0" w:line="3"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 xml:space="preserve">Participant before the date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Delayed Payment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27" w:lineRule="exact"/>
        <w:rPr>
          <w:sz w:val="20"/>
          <w:szCs w:val="20"/>
          <w:color w:val="auto"/>
        </w:rPr>
      </w:pPr>
    </w:p>
    <w:p>
      <w:pPr>
        <w:jc w:val="both"/>
        <w:ind w:right="60" w:firstLine="1296"/>
        <w:spacing w:after="0" w:line="239"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color w:val="auto"/>
        </w:rPr>
        <w:t>Other Changes in Time of Payment.</w:t>
      </w:r>
      <w:r>
        <w:rPr>
          <w:rFonts w:ascii="Times New Roman" w:cs="Times New Roman" w:eastAsia="Times New Roman" w:hAnsi="Times New Roman"/>
          <w:sz w:val="18"/>
          <w:szCs w:val="18"/>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128" w:lineRule="exact"/>
        <w:rPr>
          <w:sz w:val="20"/>
          <w:szCs w:val="20"/>
          <w:color w:val="auto"/>
        </w:rPr>
      </w:pPr>
    </w:p>
    <w:p>
      <w:pPr>
        <w:ind w:right="220" w:firstLine="1296"/>
        <w:spacing w:after="0" w:line="225"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b w:val="1"/>
          <w:bCs w:val="1"/>
          <w:color w:val="auto"/>
        </w:rPr>
        <w:t>Amendments to Comply with Section 409A; Indemnification.</w:t>
      </w:r>
      <w:r>
        <w:rPr>
          <w:rFonts w:ascii="Times New Roman" w:cs="Times New Roman" w:eastAsia="Times New Roman" w:hAnsi="Times New Roman"/>
          <w:sz w:val="18"/>
          <w:szCs w:val="18"/>
          <w:color w:val="auto"/>
        </w:rPr>
        <w:t xml:space="preserve"> Notwithstanding any other provision of this Agreement to the contrary, the Company is authorized to amend this Agreement, to void or amend any election made by the Participant under this Agreement and/or to</w:t>
      </w:r>
    </w:p>
    <w:p>
      <w:pPr>
        <w:ind w:right="20"/>
        <w:spacing w:after="0" w:line="208" w:lineRule="auto"/>
        <w:rPr>
          <w:sz w:val="20"/>
          <w:szCs w:val="20"/>
          <w:color w:val="auto"/>
        </w:rPr>
      </w:pPr>
      <w:r>
        <w:rPr>
          <w:rFonts w:ascii="Times New Roman" w:cs="Times New Roman" w:eastAsia="Times New Roman" w:hAnsi="Times New Roman"/>
          <w:sz w:val="18"/>
          <w:szCs w:val="18"/>
          <w:color w:val="auto"/>
        </w:rPr>
        <w:t>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fees or other liability incurred by the Participant in connection with the Award, including as a result of the application of Section 409A.</w:t>
      </w:r>
    </w:p>
    <w:p>
      <w:pPr>
        <w:spacing w:after="0" w:line="120"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b w:val="1"/>
          <w:bCs w:val="1"/>
          <w:color w:val="auto"/>
        </w:rPr>
        <w:t xml:space="preserve">Advice of Independent Tax Advisor. </w:t>
      </w:r>
      <w:r>
        <w:rPr>
          <w:rFonts w:ascii="Times New Roman" w:cs="Times New Roman" w:eastAsia="Times New Roman" w:hAnsi="Times New Roman"/>
          <w:sz w:val="18"/>
          <w:szCs w:val="18"/>
          <w:color w:val="auto"/>
        </w:rPr>
        <w:t>The Company has not obtained a tax ruling or other confirmation from the Internal</w:t>
      </w:r>
    </w:p>
    <w:p>
      <w:pPr>
        <w:spacing w:after="0" w:line="6"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upon any representations of the Company or any of its agents as to the effect of or the advisability of entering into this Agreement.</w:t>
      </w:r>
    </w:p>
    <w:p>
      <w:pPr>
        <w:spacing w:after="0" w:line="120"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right="240" w:firstLine="1296"/>
        <w:spacing w:after="0" w:line="225"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b w:val="1"/>
          <w:bCs w:val="1"/>
          <w:color w:val="auto"/>
        </w:rPr>
        <w:t>Termination or Amendment.</w:t>
      </w:r>
      <w:r>
        <w:rPr>
          <w:rFonts w:ascii="Times New Roman" w:cs="Times New Roman" w:eastAsia="Times New Roman" w:hAnsi="Times New Roman"/>
          <w:sz w:val="18"/>
          <w:szCs w:val="18"/>
          <w:color w:val="auto"/>
        </w:rPr>
        <w:t xml:space="preserve"> The Committee may terminate or amend the Plan or this Agreement at any time; provided, however, that except as provided in Section 9 in connection with a Change in Control, no such termination or amendment may have a materially adverse</w:t>
      </w: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127" w:lineRule="exact"/>
        <w:rPr>
          <w:sz w:val="20"/>
          <w:szCs w:val="20"/>
          <w:color w:val="auto"/>
        </w:rPr>
      </w:pPr>
    </w:p>
    <w:p>
      <w:pPr>
        <w:ind w:right="420" w:firstLine="1296"/>
        <w:spacing w:after="0" w:line="225"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b w:val="1"/>
          <w:bCs w:val="1"/>
          <w:color w:val="auto"/>
        </w:rPr>
        <w:t>Nontransferability of the Award.</w:t>
      </w:r>
      <w:r>
        <w:rPr>
          <w:rFonts w:ascii="Times New Roman" w:cs="Times New Roman" w:eastAsia="Times New Roman" w:hAnsi="Times New Roman"/>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w:t>
      </w:r>
    </w:p>
    <w:p>
      <w:pPr>
        <w:ind w:right="820"/>
        <w:spacing w:after="0" w:line="226" w:lineRule="auto"/>
        <w:rPr>
          <w:sz w:val="20"/>
          <w:szCs w:val="20"/>
          <w:color w:val="auto"/>
        </w:rPr>
      </w:pPr>
      <w:r>
        <w:rPr>
          <w:rFonts w:ascii="Times New Roman" w:cs="Times New Roman" w:eastAsia="Times New Roman" w:hAnsi="Times New Roman"/>
          <w:sz w:val="18"/>
          <w:szCs w:val="18"/>
          <w:color w:val="auto"/>
        </w:rPr>
        <w:t>encumbrance, or garnishment by creditors of the Participant or the Participant’s beneficiary, except transfer by will or by the laws of descent and distribution. All</w:t>
      </w:r>
    </w:p>
    <w:p>
      <w:pPr>
        <w:sectPr>
          <w:pgSz w:w="11900" w:h="16838" w:orient="portrait"/>
          <w:cols w:equalWidth="0" w:num="1">
            <w:col w:w="11240"/>
          </w:cols>
          <w:pgMar w:left="320" w:top="1400" w:right="339" w:bottom="1440" w:gutter="0" w:footer="0" w:header="0"/>
        </w:sectPr>
      </w:pPr>
    </w:p>
    <w:bookmarkStart w:id="45" w:name="page46"/>
    <w:bookmarkEnd w:id="45"/>
    <w:p>
      <w:pPr>
        <w:ind w:right="780"/>
        <w:spacing w:after="0" w:line="237" w:lineRule="auto"/>
        <w:rPr>
          <w:sz w:val="20"/>
          <w:szCs w:val="20"/>
          <w:color w:val="auto"/>
        </w:rPr>
      </w:pPr>
      <w:r>
        <w:rPr>
          <w:rFonts w:ascii="Times New Roman" w:cs="Times New Roman" w:eastAsia="Times New Roman" w:hAnsi="Times New Roman"/>
          <w:sz w:val="18"/>
          <w:szCs w:val="18"/>
          <w:color w:val="auto"/>
        </w:rPr>
        <w:t>rights with respect to the Award shall be exercisable during the Participant’s lifetime only by the Participant or the Participant’s guardian or legal representative.</w:t>
      </w:r>
    </w:p>
    <w:p>
      <w:pPr>
        <w:spacing w:after="0" w:line="127" w:lineRule="exact"/>
        <w:rPr>
          <w:sz w:val="20"/>
          <w:szCs w:val="20"/>
          <w:color w:val="auto"/>
        </w:rPr>
      </w:pPr>
    </w:p>
    <w:p>
      <w:pPr>
        <w:ind w:right="340" w:firstLine="1296"/>
        <w:spacing w:after="0" w:line="239"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b w:val="1"/>
          <w:bCs w:val="1"/>
          <w:color w:val="auto"/>
        </w:rPr>
        <w:t>Further Instruments.</w:t>
      </w:r>
      <w:r>
        <w:rPr>
          <w:rFonts w:ascii="Times New Roman" w:cs="Times New Roman" w:eastAsia="Times New Roman" w:hAnsi="Times New Roman"/>
          <w:sz w:val="18"/>
          <w:szCs w:val="18"/>
          <w:color w:val="auto"/>
        </w:rPr>
        <w:t xml:space="preserve"> The parties hereto agree to execute such further instruments and to take such further action as may reasonably be necessary to carry out the intent of this Agreement.</w:t>
      </w:r>
    </w:p>
    <w:p>
      <w:pPr>
        <w:spacing w:after="0" w:line="128" w:lineRule="exact"/>
        <w:rPr>
          <w:sz w:val="20"/>
          <w:szCs w:val="20"/>
          <w:color w:val="auto"/>
        </w:rPr>
      </w:pPr>
    </w:p>
    <w:p>
      <w:pPr>
        <w:ind w:right="260" w:firstLine="1296"/>
        <w:spacing w:after="0" w:line="239"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95" w:lineRule="exact"/>
        <w:rPr>
          <w:sz w:val="20"/>
          <w:szCs w:val="20"/>
          <w:color w:val="auto"/>
        </w:rPr>
      </w:pPr>
    </w:p>
    <w:p>
      <w:pPr>
        <w:ind w:right="60" w:firstLine="1296"/>
        <w:spacing w:after="0" w:line="227"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b w:val="1"/>
          <w:bCs w:val="1"/>
          <w:color w:val="auto"/>
        </w:rPr>
        <w:t>Advice of Counsel.</w:t>
      </w:r>
      <w:r>
        <w:rPr>
          <w:rFonts w:ascii="Times New Roman" w:cs="Times New Roman" w:eastAsia="Times New Roman" w:hAnsi="Times New Roman"/>
          <w:sz w:val="18"/>
          <w:szCs w:val="18"/>
          <w:color w:val="auto"/>
        </w:rPr>
        <w:t xml:space="preserve"> The Participant is hereby advised to have this Agreement, including without limitation the restrictive covenants set forth in Section 7 herein, reviewed by an attorney of the Participant’s choosing. The Participant acknowledges and agrees that the Participant has had a period of at least fourteen (14) days to review and consider this Agreement before entering into it.</w:t>
      </w:r>
    </w:p>
    <w:p>
      <w:pPr>
        <w:spacing w:after="0" w:line="128" w:lineRule="exact"/>
        <w:rPr>
          <w:sz w:val="20"/>
          <w:szCs w:val="20"/>
          <w:color w:val="auto"/>
        </w:rPr>
      </w:pPr>
    </w:p>
    <w:p>
      <w:pPr>
        <w:ind w:right="140" w:firstLine="1296"/>
        <w:spacing w:after="0" w:line="225"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b w:val="1"/>
          <w:bCs w:val="1"/>
          <w:color w:val="auto"/>
        </w:rPr>
        <w:t>Delivery of Documents and Notices.</w:t>
      </w:r>
      <w:r>
        <w:rPr>
          <w:rFonts w:ascii="Times New Roman" w:cs="Times New Roman" w:eastAsia="Times New Roman" w:hAnsi="Times New Roman"/>
          <w:sz w:val="18"/>
          <w:szCs w:val="18"/>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w:t>
      </w:r>
    </w:p>
    <w:p>
      <w:pPr>
        <w:spacing w:after="0" w:line="220" w:lineRule="auto"/>
        <w:rPr>
          <w:sz w:val="20"/>
          <w:szCs w:val="20"/>
          <w:color w:val="auto"/>
        </w:rPr>
      </w:pPr>
      <w:r>
        <w:rPr>
          <w:rFonts w:ascii="Times New Roman" w:cs="Times New Roman" w:eastAsia="Times New Roman" w:hAnsi="Times New Roman"/>
          <w:sz w:val="17"/>
          <w:szCs w:val="17"/>
          <w:color w:val="auto"/>
        </w:rPr>
        <w:t>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may designate in writing from time to time to the other party.</w:t>
      </w:r>
    </w:p>
    <w:p>
      <w:pPr>
        <w:spacing w:after="0" w:line="120" w:lineRule="exact"/>
        <w:rPr>
          <w:sz w:val="20"/>
          <w:szCs w:val="20"/>
          <w:color w:val="auto"/>
        </w:rPr>
      </w:pPr>
    </w:p>
    <w:p>
      <w:pPr>
        <w:ind w:right="120" w:firstLine="1952"/>
        <w:spacing w:after="0" w:line="247" w:lineRule="auto"/>
        <w:tabs>
          <w:tab w:leader="none" w:pos="25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Description of Electronic Delivery. </w:t>
      </w:r>
      <w:r>
        <w:rPr>
          <w:rFonts w:ascii="Times New Roman" w:cs="Times New Roman" w:eastAsia="Times New Roman" w:hAnsi="Times New Roman"/>
          <w:sz w:val="18"/>
          <w:szCs w:val="18"/>
          <w:color w:val="auto"/>
        </w:rPr>
        <w:t>The Plan documents, which may include but do not necessarily include: the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Grant Notice, this Agreement, the Plan Prospectus, and any reports of the Company provided generally to the Company’s stockholders, may be</w:t>
      </w:r>
    </w:p>
    <w:p>
      <w:pPr>
        <w:spacing w:after="0" w:line="238" w:lineRule="auto"/>
        <w:rPr>
          <w:sz w:val="20"/>
          <w:szCs w:val="20"/>
          <w:color w:val="auto"/>
        </w:rPr>
      </w:pPr>
      <w:r>
        <w:rPr>
          <w:rFonts w:ascii="Times New Roman" w:cs="Times New Roman" w:eastAsia="Times New Roman" w:hAnsi="Times New Roman"/>
          <w:sz w:val="18"/>
          <w:szCs w:val="18"/>
          <w:color w:val="auto"/>
        </w:rPr>
        <w:t>delivered to the Participant electronically. In addition, if permitted by the Company, the Participant may deliver electronically the Grant Notice to the</w:t>
      </w:r>
    </w:p>
    <w:p>
      <w:pPr>
        <w:ind w:right="300"/>
        <w:spacing w:after="0" w:line="211" w:lineRule="auto"/>
        <w:rPr>
          <w:sz w:val="20"/>
          <w:szCs w:val="20"/>
          <w:color w:val="auto"/>
        </w:rPr>
      </w:pPr>
      <w:r>
        <w:rPr>
          <w:rFonts w:ascii="Times New Roman" w:cs="Times New Roman" w:eastAsia="Times New Roman" w:hAnsi="Times New Roman"/>
          <w:sz w:val="18"/>
          <w:szCs w:val="18"/>
          <w:color w:val="auto"/>
        </w:rPr>
        <w:t>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the delivery of the document via e-mail or such other means of electronic delivery specified by the Company.</w:t>
      </w:r>
    </w:p>
    <w:p>
      <w:pPr>
        <w:spacing w:after="0" w:line="120" w:lineRule="exact"/>
        <w:rPr>
          <w:sz w:val="20"/>
          <w:szCs w:val="20"/>
          <w:color w:val="auto"/>
        </w:rPr>
      </w:pPr>
    </w:p>
    <w:p>
      <w:pPr>
        <w:ind w:right="60" w:firstLine="1952"/>
        <w:spacing w:after="0" w:line="215" w:lineRule="auto"/>
        <w:tabs>
          <w:tab w:leader="none" w:pos="25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Consent to Electronic Delivery. </w:t>
      </w:r>
      <w:r>
        <w:rPr>
          <w:rFonts w:ascii="Times New Roman" w:cs="Times New Roman" w:eastAsia="Times New Roman" w:hAnsi="Times New Roman"/>
          <w:sz w:val="18"/>
          <w:szCs w:val="18"/>
          <w:color w:val="auto"/>
        </w:rPr>
        <w:t>The Participant acknowledges that the Participant has read Section 14.5(a)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and consents to the electronic delivery of the Plan documents and, if permitted by the Company, the delivery of the Grant Notice, as described in Section 14.5(a).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third-party administrator with a paper copy of any documents if the attempted electronic delivery of such documents fails. The Participant may revoke his or her consent to the electronic delivery of documents described in Section 14.5(a)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14.5(a)</w:t>
      </w:r>
    </w:p>
    <w:p>
      <w:pPr>
        <w:spacing w:after="0" w:line="197" w:lineRule="exact"/>
        <w:rPr>
          <w:rFonts w:ascii="Times New Roman" w:cs="Times New Roman" w:eastAsia="Times New Roman" w:hAnsi="Times New Roman"/>
          <w:sz w:val="18"/>
          <w:szCs w:val="18"/>
          <w:color w:val="auto"/>
        </w:rPr>
      </w:pPr>
    </w:p>
    <w:p>
      <w:pPr>
        <w:ind w:firstLine="1952"/>
        <w:spacing w:after="0" w:line="225" w:lineRule="auto"/>
        <w:tabs>
          <w:tab w:leader="none" w:pos="25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Electronic Signatures. </w:t>
      </w:r>
      <w:r>
        <w:rPr>
          <w:rFonts w:ascii="Times New Roman" w:cs="Times New Roman" w:eastAsia="Times New Roman" w:hAnsi="Times New Roman"/>
          <w:sz w:val="18"/>
          <w:szCs w:val="18"/>
          <w:color w:val="auto"/>
        </w:rPr>
        <w:t>The Participant agrees that the electronic signatures, whether digital or encrypted, of the parties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the Agreement are intended to authenticate this writing and to have the same force and effect as manual signatures. Electronic signature means any electronic sound, symbol or process attached to or logically associated with a record and executed and adopted by a party with the intent to sign such record.</w:t>
      </w:r>
    </w:p>
    <w:p>
      <w:pPr>
        <w:spacing w:after="0" w:line="182" w:lineRule="exact"/>
        <w:rPr>
          <w:sz w:val="20"/>
          <w:szCs w:val="20"/>
          <w:color w:val="auto"/>
        </w:rPr>
      </w:pPr>
    </w:p>
    <w:p>
      <w:pPr>
        <w:ind w:firstLine="1296"/>
        <w:spacing w:after="0" w:line="225"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b w:val="1"/>
          <w:bCs w:val="1"/>
          <w:color w:val="auto"/>
        </w:rPr>
        <w:t>Integrated Agreement.</w:t>
      </w:r>
      <w:r>
        <w:rPr>
          <w:rFonts w:ascii="Times New Roman" w:cs="Times New Roman" w:eastAsia="Times New Roman" w:hAnsi="Times New Roman"/>
          <w:sz w:val="18"/>
          <w:szCs w:val="18"/>
          <w:color w:val="auto"/>
        </w:rPr>
        <w:t xml:space="preserve"> The Grant Notice, this Agreement and the Plan, together with the Superseding Agreement, if any, shall constitute the entire understanding and agreement of the Participant and the Participating Company Group with respect to the subject matter contained</w:t>
      </w:r>
    </w:p>
    <w:p>
      <w:pPr>
        <w:ind w:right="340"/>
        <w:spacing w:after="0" w:line="218" w:lineRule="auto"/>
        <w:rPr>
          <w:sz w:val="20"/>
          <w:szCs w:val="20"/>
          <w:color w:val="auto"/>
        </w:rPr>
      </w:pPr>
      <w:r>
        <w:rPr>
          <w:rFonts w:ascii="Times New Roman" w:cs="Times New Roman" w:eastAsia="Times New Roman" w:hAnsi="Times New Roman"/>
          <w:sz w:val="18"/>
          <w:szCs w:val="18"/>
          <w:color w:val="auto"/>
        </w:rPr>
        <w:t>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ectPr>
          <w:pgSz w:w="11900" w:h="16838" w:orient="portrait"/>
          <w:cols w:equalWidth="0" w:num="1">
            <w:col w:w="11220"/>
          </w:cols>
          <w:pgMar w:left="320" w:top="1404" w:right="359" w:bottom="1440" w:gutter="0" w:footer="0" w:header="0"/>
        </w:sectPr>
      </w:pPr>
    </w:p>
    <w:bookmarkStart w:id="46" w:name="page47"/>
    <w:bookmarkEnd w:id="46"/>
    <w:p>
      <w:pPr>
        <w:ind w:right="20" w:firstLine="1296"/>
        <w:spacing w:after="0" w:line="239"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xml:space="preserve"> This Agreement shall be governed by the laws of the State of Illinois as such laws are applied to agreements between Illinois residents entered into and to be performed entirely within the State of Illinois.</w:t>
      </w:r>
    </w:p>
    <w:p>
      <w:pPr>
        <w:spacing w:after="0" w:line="128" w:lineRule="exact"/>
        <w:rPr>
          <w:sz w:val="20"/>
          <w:szCs w:val="20"/>
          <w:color w:val="auto"/>
        </w:rPr>
      </w:pPr>
    </w:p>
    <w:p>
      <w:pPr>
        <w:ind w:firstLine="1296"/>
        <w:spacing w:after="0" w:line="239"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The Grant Notice may be executed in counterparts, each of which shall be deemed an original, but all of which together shall constitute one and the same instrument.</w:t>
      </w:r>
    </w:p>
    <w:p>
      <w:pPr>
        <w:sectPr>
          <w:pgSz w:w="11900" w:h="16838" w:orient="portrait"/>
          <w:cols w:equalWidth="0" w:num="1">
            <w:col w:w="11200"/>
          </w:cols>
          <w:pgMar w:left="320" w:top="1400" w:right="37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PAYLOCITY HOLDING CORPORATION</w:t>
      </w:r>
    </w:p>
    <w:p>
      <w:pPr>
        <w:jc w:val="center"/>
        <w:ind w:right="-19"/>
        <w:spacing w:after="0" w:line="209" w:lineRule="auto"/>
        <w:rPr>
          <w:sz w:val="20"/>
          <w:szCs w:val="20"/>
          <w:color w:val="auto"/>
        </w:rPr>
      </w:pPr>
      <w:r>
        <w:rPr>
          <w:rFonts w:ascii="Times New Roman" w:cs="Times New Roman" w:eastAsia="Times New Roman" w:hAnsi="Times New Roman"/>
          <w:sz w:val="25"/>
          <w:szCs w:val="25"/>
          <w:b w:val="1"/>
          <w:bCs w:val="1"/>
          <w:color w:val="auto"/>
        </w:rPr>
        <w:t>NOTICE OF GRANT OF RESTRICTED STOCK UNITS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U.S. Participants/Contains a Non-competition covenant)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Paylocity Holding Corporation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granted to the Participant an award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of certain units pursuant to the Paylocity Holding</w:t>
      </w:r>
    </w:p>
    <w:p>
      <w:pPr>
        <w:spacing w:after="0" w:line="210" w:lineRule="auto"/>
        <w:rPr>
          <w:sz w:val="20"/>
          <w:szCs w:val="20"/>
          <w:color w:val="auto"/>
        </w:rPr>
      </w:pPr>
      <w:r>
        <w:rPr>
          <w:rFonts w:ascii="Times New Roman" w:cs="Times New Roman" w:eastAsia="Times New Roman" w:hAnsi="Times New Roman"/>
          <w:sz w:val="18"/>
          <w:szCs w:val="18"/>
          <w:color w:val="auto"/>
        </w:rPr>
        <w:t xml:space="preserve">Corporation 2014 Equity Incentive Plan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each of which represents the right to receive on the applicable Settlement Date one (1) share of</w:t>
      </w:r>
    </w:p>
    <w:p>
      <w:pPr>
        <w:spacing w:after="0"/>
        <w:rPr>
          <w:sz w:val="20"/>
          <w:szCs w:val="20"/>
          <w:color w:val="auto"/>
        </w:rPr>
      </w:pPr>
      <w:r>
        <w:rPr>
          <w:rFonts w:ascii="Times New Roman" w:cs="Times New Roman" w:eastAsia="Times New Roman" w:hAnsi="Times New Roman"/>
          <w:sz w:val="18"/>
          <w:szCs w:val="18"/>
          <w:color w:val="auto"/>
        </w:rPr>
        <w:t>Stock, as follows: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160" w:type="dxa"/>
            <w:vAlign w:val="bottom"/>
            <w:gridSpan w:val="3"/>
          </w:tcPr>
          <w:p>
            <w:pPr>
              <w:ind w:left="4100"/>
              <w:spacing w:after="0"/>
              <w:rPr>
                <w:sz w:val="20"/>
                <w:szCs w:val="20"/>
                <w:color w:val="auto"/>
              </w:rPr>
            </w:pPr>
            <w:r>
              <w:rPr>
                <w:rFonts w:ascii="Times New Roman" w:cs="Times New Roman" w:eastAsia="Times New Roman" w:hAnsi="Times New Roman"/>
                <w:sz w:val="18"/>
                <w:szCs w:val="18"/>
                <w:b w:val="1"/>
                <w:bCs w:val="1"/>
                <w:color w:val="auto"/>
              </w:rPr>
              <w:t>Employee ID:</w:t>
            </w:r>
          </w:p>
        </w:tc>
      </w:t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Units:</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subject to adjustment as provided by the Restricted Stock Units Agreement.</w:t>
            </w:r>
          </w:p>
        </w:tc>
      </w:tr>
      <w:tr>
        <w:trPr>
          <w:trHeight w:val="372"/>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88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Except as provided by the Restricted Stock Units Agreement, the date on which a Unit becomes a Vested Unit.</w:t>
            </w:r>
          </w:p>
        </w:tc>
      </w:t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Start Date:</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Vested Units:</w:t>
            </w:r>
          </w:p>
        </w:tc>
        <w:tc>
          <w:tcPr>
            <w:tcW w:w="48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Except as provided in the Restricted Stock Units Agreement and provided that the Participant’s Service has not</w:t>
            </w:r>
          </w:p>
        </w:tc>
      </w:tr>
      <w:tr>
        <w:trPr>
          <w:trHeight w:val="176"/>
        </w:trPr>
        <w:tc>
          <w:tcPr>
            <w:tcW w:w="2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3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terminated prior to the applicable date, the number of Vested Units (disregarding any resulting fractional Unit) as</w:t>
            </w:r>
          </w:p>
        </w:tc>
      </w:tr>
      <w:tr>
        <w:trPr>
          <w:trHeight w:val="175"/>
        </w:trPr>
        <w:tc>
          <w:tcPr>
            <w:tcW w:w="2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3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 xml:space="preserve">of any date is determined by multiplying the Total Number of Units by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Vested Ratio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determined as of such</w:t>
            </w:r>
          </w:p>
        </w:tc>
      </w:tr>
      <w:tr>
        <w:trPr>
          <w:trHeight w:val="234"/>
        </w:trPr>
        <w:tc>
          <w:tcPr>
            <w:tcW w:w="2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as follows:</w:t>
            </w:r>
          </w:p>
        </w:tc>
      </w:tr>
      <w:tr>
        <w:trPr>
          <w:trHeight w:val="306"/>
        </w:trPr>
        <w:tc>
          <w:tcPr>
            <w:tcW w:w="2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60" w:type="dxa"/>
            <w:vAlign w:val="bottom"/>
            <w:gridSpan w:val="3"/>
          </w:tcPr>
          <w:p>
            <w:pPr>
              <w:ind w:left="6720"/>
              <w:spacing w:after="0"/>
              <w:rPr>
                <w:sz w:val="20"/>
                <w:szCs w:val="20"/>
                <w:color w:val="auto"/>
              </w:rPr>
            </w:pPr>
            <w:r>
              <w:rPr>
                <w:rFonts w:ascii="Times New Roman" w:cs="Times New Roman" w:eastAsia="Times New Roman" w:hAnsi="Times New Roman"/>
                <w:sz w:val="18"/>
                <w:szCs w:val="18"/>
                <w:b w:val="1"/>
                <w:bCs w:val="1"/>
                <w:color w:val="auto"/>
              </w:rPr>
              <w:t>Vested Ratio</w:t>
            </w:r>
          </w:p>
        </w:tc>
      </w:tr>
      <w:tr>
        <w:trPr>
          <w:trHeight w:val="304"/>
        </w:trPr>
        <w:tc>
          <w:tcPr>
            <w:tcW w:w="2340" w:type="dxa"/>
            <w:vAlign w:val="bottom"/>
          </w:tcPr>
          <w:p>
            <w:pPr>
              <w:spacing w:after="0"/>
              <w:rPr>
                <w:sz w:val="24"/>
                <w:szCs w:val="24"/>
                <w:color w:val="auto"/>
              </w:rPr>
            </w:pPr>
          </w:p>
        </w:tc>
        <w:tc>
          <w:tcPr>
            <w:tcW w:w="73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Superseding Agreement:</w:t>
            </w:r>
          </w:p>
        </w:tc>
        <w:tc>
          <w:tcPr>
            <w:tcW w:w="480" w:type="dxa"/>
            <w:vAlign w:val="bottom"/>
          </w:tcPr>
          <w:p>
            <w:pPr>
              <w:spacing w:after="0"/>
              <w:rPr>
                <w:sz w:val="24"/>
                <w:szCs w:val="24"/>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03"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7"/>
          <w:szCs w:val="17"/>
          <w:color w:val="auto"/>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w:t>
      </w:r>
    </w:p>
    <w:p>
      <w:pPr>
        <w:jc w:val="both"/>
        <w:ind w:right="80"/>
        <w:spacing w:after="0" w:line="220" w:lineRule="auto"/>
        <w:rPr>
          <w:sz w:val="20"/>
          <w:szCs w:val="20"/>
          <w:color w:val="auto"/>
        </w:rPr>
      </w:pPr>
      <w:r>
        <w:rPr>
          <w:rFonts w:ascii="Times New Roman" w:cs="Times New Roman" w:eastAsia="Times New Roman" w:hAnsi="Times New Roman"/>
          <w:sz w:val="17"/>
          <w:szCs w:val="17"/>
          <w:color w:val="auto"/>
        </w:rPr>
        <w:t>this document, and by the Superseding Agreement, if any. The Participant acknowledges that copies of the Plan, the Restricted Stock Units Agreement and the prospectus for the Plan are posted to the participant’s online account through the Company designated stock compensation administration provider and may be viewed and printed by the Participant for attachment to the Participant’s copy of this Grant Notice. The Participant represents that the Participant</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has read and is familiar with the provisions of the Restricted Stock Units Agreement and the Plan, and hereby accepts the Award subject to all of their terms and conditions.</w:t>
      </w:r>
    </w:p>
    <w:p>
      <w:pPr>
        <w:spacing w:after="0" w:line="26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PAYLOCITY HOLDING CORPORATION</w:t>
      </w:r>
      <w:r>
        <w:rPr>
          <w:sz w:val="20"/>
          <w:szCs w:val="20"/>
          <w:color w:val="auto"/>
        </w:rPr>
        <w:tab/>
      </w:r>
      <w:r>
        <w:rPr>
          <w:rFonts w:ascii="Times New Roman" w:cs="Times New Roman" w:eastAsia="Times New Roman" w:hAnsi="Times New Roman"/>
          <w:sz w:val="17"/>
          <w:szCs w:val="17"/>
          <w:b w:val="1"/>
          <w:bCs w:val="1"/>
          <w:color w:val="auto"/>
        </w:rPr>
        <w:t>PARTICIPANT</w:t>
      </w:r>
    </w:p>
    <w:p>
      <w:pPr>
        <w:spacing w:after="0" w:line="2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1"/>
          <w:szCs w:val="21"/>
          <w:b w:val="1"/>
          <w:bCs w:val="1"/>
          <w:i w:val="1"/>
          <w:iCs w:val="1"/>
          <w:u w:val="single" w:color="auto"/>
          <w:color w:val="auto"/>
        </w:rPr>
        <w:t>Steven Beauchamp</w:t>
      </w:r>
    </w:p>
    <w:p>
      <w:pPr>
        <w:ind w:left="380"/>
        <w:spacing w:after="0" w:line="214" w:lineRule="auto"/>
        <w:rPr>
          <w:sz w:val="20"/>
          <w:szCs w:val="20"/>
          <w:color w:val="auto"/>
        </w:rPr>
      </w:pPr>
      <w:r>
        <w:rPr>
          <w:rFonts w:ascii="Times New Roman" w:cs="Times New Roman" w:eastAsia="Times New Roman" w:hAnsi="Times New Roman"/>
          <w:sz w:val="18"/>
          <w:szCs w:val="18"/>
          <w:u w:val="single" w:color="auto"/>
          <w:color w:val="auto"/>
        </w:rPr>
        <w:t>Paylocity Corporation</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13335</wp:posOffset>
            </wp:positionV>
            <wp:extent cx="3566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205740</wp:posOffset>
            </wp:positionV>
            <wp:extent cx="3566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Date</w:t>
      </w:r>
    </w:p>
    <w:p>
      <w:pPr>
        <w:spacing w:after="0" w:line="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Address: 1400 American Lane</w:t>
      </w:r>
    </w:p>
    <w:p>
      <w:pPr>
        <w:ind w:left="760"/>
        <w:spacing w:after="0"/>
        <w:rPr>
          <w:sz w:val="20"/>
          <w:szCs w:val="20"/>
          <w:color w:val="auto"/>
        </w:rPr>
      </w:pPr>
      <w:r>
        <w:rPr>
          <w:rFonts w:ascii="Times New Roman" w:cs="Times New Roman" w:eastAsia="Times New Roman" w:hAnsi="Times New Roman"/>
          <w:sz w:val="18"/>
          <w:szCs w:val="18"/>
          <w:color w:val="auto"/>
        </w:rPr>
        <w:t>Schaumburg, IL 60173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13335</wp:posOffset>
            </wp:positionV>
            <wp:extent cx="3566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214630</wp:posOffset>
            </wp:positionV>
            <wp:extent cx="3566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ATTACHMENTS:</w:t>
        <w:tab/>
        <w:t>2014 Equity Incentive Plan, as amended to the Date of Grant; Restricted Stock Units Agreement and Plan Prospectus</w:t>
      </w:r>
    </w:p>
    <w:p>
      <w:pPr>
        <w:sectPr>
          <w:pgSz w:w="11900" w:h="16838" w:orient="portrait"/>
          <w:cols w:equalWidth="0" w:num="1">
            <w:col w:w="11240"/>
          </w:cols>
          <w:pgMar w:left="320" w:top="138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185" w:lineRule="exact"/>
        <w:rPr>
          <w:sz w:val="20"/>
          <w:szCs w:val="20"/>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560" w:firstLine="648"/>
        <w:spacing w:after="0" w:line="266" w:lineRule="auto"/>
        <w:tabs>
          <w:tab w:leader="none" w:pos="195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March 31, 2022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ectPr>
          <w:pgSz w:w="11900" w:h="16838" w:orient="portrait"/>
          <w:cols w:equalWidth="0" w:num="1">
            <w:col w:w="11240"/>
          </w:cols>
          <w:pgMar w:left="320" w:top="110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560" w:firstLine="648"/>
        <w:spacing w:after="0" w:line="266" w:lineRule="auto"/>
        <w:tabs>
          <w:tab w:leader="none" w:pos="19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March 31, 2022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110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560" w:firstLine="648"/>
        <w:spacing w:after="0" w:line="266" w:lineRule="auto"/>
        <w:tabs>
          <w:tab w:leader="none" w:pos="19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March 31, 2022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ectPr>
          <w:pgSz w:w="11900" w:h="16838" w:orient="portrait"/>
          <w:cols w:equalWidth="0" w:num="1">
            <w:col w:w="11240"/>
          </w:cols>
          <w:pgMar w:left="320" w:top="110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2022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2022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10-Q of the Company for the period ended March 31, 2022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Letter"/>
      <w:start w:val="2"/>
    </w:lvl>
  </w:abstractNum>
  <w:abstractNum w:abstractNumId="4">
    <w:nsid w:val="257130A3"/>
    <w:multiLevelType w:val="hybridMultilevel"/>
    <w:lvl w:ilvl="0">
      <w:lvlJc w:val="left"/>
      <w:lvlText w:val="(%1)"/>
      <w:numFmt w:val="lowerLetter"/>
      <w:start w:val="3"/>
    </w:lvl>
  </w:abstractNum>
  <w:abstractNum w:abstractNumId="5">
    <w:nsid w:val="62BBD95A"/>
    <w:multiLevelType w:val="hybridMultilevel"/>
    <w:lvl w:ilvl="0">
      <w:lvlJc w:val="left"/>
      <w:lvlText w:val="(%1)"/>
      <w:numFmt w:val="lowerLetter"/>
      <w:start w:val="4"/>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2"/>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2"/>
    </w:lvl>
  </w:abstractNum>
  <w:abstractNum w:abstractNumId="14">
    <w:nsid w:val="8EDBDAB"/>
    <w:multiLevelType w:val="hybridMultilevel"/>
    <w:lvl w:ilvl="0">
      <w:lvlJc w:val="left"/>
      <w:lvlText w:val="%1."/>
      <w:numFmt w:val="decimal"/>
      <w:start w:val="3"/>
    </w:lvl>
  </w:abstractNum>
  <w:abstractNum w:abstractNumId="15">
    <w:nsid w:val="79838CB2"/>
    <w:multiLevelType w:val="hybridMultilevel"/>
    <w:lvl w:ilvl="0">
      <w:lvlJc w:val="left"/>
      <w:lvlText w:val="%1."/>
      <w:numFmt w:val="decimal"/>
      <w:start w:val="4"/>
    </w:lvl>
  </w:abstractNum>
  <w:abstractNum w:abstractNumId="16">
    <w:nsid w:val="4353D0CD"/>
    <w:multiLevelType w:val="hybridMultilevel"/>
    <w:lvl w:ilvl="0">
      <w:lvlJc w:val="left"/>
      <w:lvlText w:val="%1."/>
      <w:numFmt w:val="decimal"/>
      <w:start w:val="5"/>
    </w:lvl>
  </w:abstractNum>
  <w:abstractNum w:abstractNumId="17">
    <w:nsid w:val="B03E0C6"/>
    <w:multiLevelType w:val="hybridMultilevel"/>
    <w:lvl w:ilvl="0">
      <w:lvlJc w:val="left"/>
      <w:lvlText w:val="%1."/>
      <w:numFmt w:val="decimal"/>
      <w:start w:val="6"/>
    </w:lvl>
  </w:abstractNum>
  <w:abstractNum w:abstractNumId="18">
    <w:nsid w:val="189A769B"/>
    <w:multiLevelType w:val="hybridMultilevel"/>
    <w:lvl w:ilvl="0">
      <w:lvlJc w:val="left"/>
      <w:lvlText w:val="%1."/>
      <w:numFmt w:val="decimal"/>
      <w:start w:val="7"/>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2"/>
    </w:lvl>
  </w:abstractNum>
  <w:abstractNum w:abstractNumId="22">
    <w:nsid w:val="836C40E"/>
    <w:multiLevelType w:val="hybridMultilevel"/>
    <w:lvl w:ilvl="0">
      <w:lvlJc w:val="left"/>
      <w:lvlText w:val="%1."/>
      <w:numFmt w:val="decimal"/>
      <w:start w:val="8"/>
    </w:lvl>
  </w:abstractNum>
  <w:abstractNum w:abstractNumId="23">
    <w:nsid w:val="2901D82"/>
    <w:multiLevelType w:val="hybridMultilevel"/>
    <w:lvl w:ilvl="0">
      <w:lvlJc w:val="left"/>
      <w:lvlText w:val="%1."/>
      <w:numFmt w:val="decimal"/>
      <w:start w:val="9"/>
    </w:lvl>
  </w:abstractNum>
  <w:abstractNum w:abstractNumId="24">
    <w:nsid w:val="3A95F874"/>
    <w:multiLevelType w:val="hybridMultilevel"/>
    <w:lvl w:ilvl="0">
      <w:lvlJc w:val="left"/>
      <w:lvlText w:val="%1."/>
      <w:numFmt w:val="decimal"/>
      <w:start w:val="10"/>
    </w:lvl>
  </w:abstractNum>
  <w:abstractNum w:abstractNumId="25">
    <w:nsid w:val="8138641"/>
    <w:multiLevelType w:val="hybridMultilevel"/>
    <w:lvl w:ilvl="0">
      <w:lvlJc w:val="left"/>
      <w:lvlText w:val="%1."/>
      <w:numFmt w:val="decimal"/>
      <w:start w:val="11"/>
    </w:lvl>
  </w:abstractNum>
  <w:abstractNum w:abstractNumId="26">
    <w:nsid w:val="1E7FF521"/>
    <w:multiLevelType w:val="hybridMultilevel"/>
    <w:lvl w:ilvl="0">
      <w:lvlJc w:val="left"/>
      <w:lvlText w:val="%1."/>
      <w:numFmt w:val="decimal"/>
      <w:start w:val="12"/>
    </w:lvl>
  </w:abstractNum>
  <w:abstractNum w:abstractNumId="27">
    <w:nsid w:val="7C3DBD3D"/>
    <w:multiLevelType w:val="hybridMultilevel"/>
    <w:lvl w:ilvl="0">
      <w:lvlJc w:val="left"/>
      <w:lvlText w:val="%1."/>
      <w:numFmt w:val="decimal"/>
      <w:start w:val="13"/>
    </w:lvl>
  </w:abstractNum>
  <w:abstractNum w:abstractNumId="28">
    <w:nsid w:val="737B8DDC"/>
    <w:multiLevelType w:val="hybridMultilevel"/>
    <w:lvl w:ilvl="0">
      <w:lvlJc w:val="left"/>
      <w:lvlText w:val="%1."/>
      <w:numFmt w:val="decimal"/>
      <w:start w:val="14"/>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lowerLetter"/>
      <w:start w:val="2"/>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60" Type="http://schemas.openxmlformats.org/officeDocument/2006/relationships/hyperlink" Target="https://www.sec.gov/Archives/edgar/data/1591698/000159169821000013/pcty-20211201xexhibit31.htm" TargetMode="External"/><Relationship Id="rId61" Type="http://schemas.openxmlformats.org/officeDocument/2006/relationships/hyperlink" Target="https://www.sec.gov/Archives/edgar/data/1591698/000159169821000013/pcty-20211201xexhibit32.htm" TargetMode="External"/><Relationship Id="rId62" Type="http://schemas.openxmlformats.org/officeDocument/2006/relationships/hyperlink" Target="https://www.sec.gov/Archives/edgar/data/1591698/000159169822000045/pcty-202203118xkexhibit101.htm" TargetMode="External"/><Relationship Id="rId63" Type="http://schemas.openxmlformats.org/officeDocument/2006/relationships/hyperlink" Target="https://www.sec.gov/Archives/edgar/data/1591698/000159169822000045/pcty-202203118xkexhibit102.htm" TargetMode="External"/><Relationship Id="rId64" Type="http://schemas.openxmlformats.org/officeDocument/2006/relationships/hyperlink" Target="https://www.sec.gov/Archives/edgar/data/1591698/000159169822000045/pcty-202203118xkexhibit103.htm" TargetMode="External"/><Relationship Id="rId65" Type="http://schemas.openxmlformats.org/officeDocument/2006/relationships/hyperlink" Target="https://www.sec.gov/Archives/edgar/data/1591698/000159169822000045/pcty-202203118xkexhibit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2022-05-06T09:10:19Z</dcterms:created>
  <dcterms:modified xsi:type="dcterms:W3CDTF">2022-05-06T09:10:19Z</dcterms:modified>
</cp:coreProperties>
</file>