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177165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740" w:hanging="42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quarterly period ended March 31, 2018</w:t>
      </w:r>
    </w:p>
    <w:p>
      <w:pPr>
        <w:spacing w:after="0" w:line="141" w:lineRule="exact"/>
        <w:rPr>
          <w:sz w:val="24"/>
          <w:szCs w:val="24"/>
          <w:color w:val="auto"/>
        </w:rPr>
      </w:pPr>
    </w:p>
    <w:p>
      <w:pPr>
        <w:ind w:left="740" w:hanging="425"/>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4020"/>
        <w:spacing w:after="0"/>
        <w:tabs>
          <w:tab w:leader="none" w:pos="60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160655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jc w:val="center"/>
              <w:ind w:right="3288"/>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46-4066644</w:t>
            </w:r>
          </w:p>
        </w:tc>
        <w:tc>
          <w:tcPr>
            <w:tcW w:w="0" w:type="dxa"/>
            <w:vAlign w:val="bottom"/>
          </w:tcPr>
          <w:p>
            <w:pPr>
              <w:spacing w:after="0"/>
              <w:rPr>
                <w:sz w:val="1"/>
                <w:szCs w:val="1"/>
                <w:color w:val="auto"/>
              </w:rPr>
            </w:pPr>
          </w:p>
        </w:tc>
      </w:tr>
      <w:tr>
        <w:trPr>
          <w:trHeight w:val="149"/>
        </w:trPr>
        <w:tc>
          <w:tcPr>
            <w:tcW w:w="5580" w:type="dxa"/>
            <w:vAlign w:val="bottom"/>
          </w:tcPr>
          <w:p>
            <w:pPr>
              <w:jc w:val="center"/>
              <w:ind w:right="3288"/>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6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2"/>
        </w:trPr>
        <w:tc>
          <w:tcPr>
            <w:tcW w:w="5580" w:type="dxa"/>
            <w:vAlign w:val="bottom"/>
          </w:tcPr>
          <w:p>
            <w:pPr>
              <w:jc w:val="center"/>
              <w:ind w:right="3288"/>
              <w:spacing w:after="0"/>
              <w:rPr>
                <w:sz w:val="20"/>
                <w:szCs w:val="20"/>
                <w:color w:val="auto"/>
              </w:rPr>
            </w:pPr>
            <w:r>
              <w:rPr>
                <w:rFonts w:ascii="Arial" w:cs="Arial" w:eastAsia="Arial" w:hAnsi="Arial"/>
                <w:sz w:val="14"/>
                <w:szCs w:val="14"/>
                <w:color w:val="auto"/>
                <w:w w:val="95"/>
              </w:rPr>
              <w:t>incorporation or organization)</w:t>
            </w:r>
          </w:p>
        </w:tc>
        <w:tc>
          <w:tcPr>
            <w:tcW w:w="1360" w:type="dxa"/>
            <w:vAlign w:val="bottom"/>
          </w:tcPr>
          <w:p>
            <w:pPr>
              <w:jc w:val="center"/>
              <w:ind w:left="22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313"/>
        </w:trPr>
        <w:tc>
          <w:tcPr>
            <w:tcW w:w="5580" w:type="dxa"/>
            <w:vAlign w:val="bottom"/>
          </w:tcPr>
          <w:p>
            <w:pPr>
              <w:jc w:val="center"/>
              <w:ind w:right="3208"/>
              <w:spacing w:after="0"/>
              <w:rPr>
                <w:sz w:val="20"/>
                <w:szCs w:val="20"/>
                <w:color w:val="auto"/>
              </w:rPr>
            </w:pPr>
            <w:r>
              <w:rPr>
                <w:rFonts w:ascii="Arial" w:cs="Arial" w:eastAsia="Arial" w:hAnsi="Arial"/>
                <w:sz w:val="14"/>
                <w:szCs w:val="14"/>
                <w:b w:val="1"/>
                <w:bCs w:val="1"/>
                <w:color w:val="auto"/>
                <w:w w:val="94"/>
              </w:rPr>
              <w:t>3850 N. Wilke Road</w:t>
            </w:r>
          </w:p>
        </w:tc>
        <w:tc>
          <w:tcPr>
            <w:tcW w:w="13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60004</w:t>
            </w:r>
          </w:p>
        </w:tc>
        <w:tc>
          <w:tcPr>
            <w:tcW w:w="0" w:type="dxa"/>
            <w:vAlign w:val="bottom"/>
          </w:tcPr>
          <w:p>
            <w:pPr>
              <w:spacing w:after="0"/>
              <w:rPr>
                <w:sz w:val="1"/>
                <w:szCs w:val="1"/>
                <w:color w:val="auto"/>
              </w:rPr>
            </w:pPr>
          </w:p>
        </w:tc>
      </w:tr>
      <w:tr>
        <w:trPr>
          <w:trHeight w:val="153"/>
        </w:trPr>
        <w:tc>
          <w:tcPr>
            <w:tcW w:w="5580" w:type="dxa"/>
            <w:vAlign w:val="bottom"/>
          </w:tcPr>
          <w:p>
            <w:pPr>
              <w:jc w:val="center"/>
              <w:ind w:right="3208"/>
              <w:spacing w:after="0" w:line="153" w:lineRule="exact"/>
              <w:rPr>
                <w:sz w:val="20"/>
                <w:szCs w:val="20"/>
                <w:color w:val="auto"/>
              </w:rPr>
            </w:pPr>
            <w:r>
              <w:rPr>
                <w:rFonts w:ascii="Arial" w:cs="Arial" w:eastAsia="Arial" w:hAnsi="Arial"/>
                <w:sz w:val="14"/>
                <w:szCs w:val="14"/>
                <w:b w:val="1"/>
                <w:bCs w:val="1"/>
                <w:color w:val="auto"/>
                <w:w w:val="95"/>
              </w:rPr>
              <w:t>Arlington Heights, Illinois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right="3208"/>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10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63"/>
        </w:trPr>
        <w:tc>
          <w:tcPr>
            <w:tcW w:w="5580" w:type="dxa"/>
            <w:vAlign w:val="bottom"/>
          </w:tcPr>
          <w:p>
            <w:pPr>
              <w:jc w:val="right"/>
              <w:ind w:right="1308"/>
              <w:spacing w:after="0"/>
              <w:rPr>
                <w:sz w:val="20"/>
                <w:szCs w:val="20"/>
                <w:color w:val="auto"/>
              </w:rPr>
            </w:pPr>
            <w:r>
              <w:rPr>
                <w:rFonts w:ascii="Arial" w:cs="Arial" w:eastAsia="Arial" w:hAnsi="Arial"/>
                <w:sz w:val="14"/>
                <w:szCs w:val="14"/>
                <w:b w:val="1"/>
                <w:bCs w:val="1"/>
                <w:color w:val="auto"/>
              </w:rPr>
              <w:t>(847) 463-3200</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left="1868"/>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144780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54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441"/>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jc w:val="both"/>
        <w:ind w:right="180" w:firstLine="44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0340"/>
          </w:cols>
          <w:pgMar w:left="760" w:top="233" w:right="799" w:bottom="1440" w:gutter="0" w:footer="0" w:header="0"/>
        </w:sectPr>
      </w:pPr>
    </w:p>
    <w:p>
      <w:pPr>
        <w:spacing w:after="0" w:line="115" w:lineRule="exact"/>
        <w:rPr>
          <w:sz w:val="24"/>
          <w:szCs w:val="24"/>
          <w:color w:val="auto"/>
        </w:rPr>
      </w:pPr>
    </w:p>
    <w:p>
      <w:pPr>
        <w:ind w:left="5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4">
            <w:col w:w="1880" w:space="380"/>
            <w:col w:w="3900" w:space="720"/>
            <w:col w:w="1120" w:space="720"/>
            <w:col w:w="1620"/>
          </w:cols>
          <w:pgMar w:left="760" w:top="233" w:right="799" w:bottom="1440" w:gutter="0" w:footer="0" w:header="0"/>
          <w:type w:val="continuous"/>
        </w:sectPr>
      </w:pPr>
    </w:p>
    <w:p>
      <w:pPr>
        <w:spacing w:after="0" w:line="14" w:lineRule="exact"/>
        <w:rPr>
          <w:sz w:val="24"/>
          <w:szCs w:val="24"/>
          <w:color w:val="auto"/>
        </w:rPr>
      </w:pPr>
    </w:p>
    <w:p>
      <w:pPr>
        <w:ind w:left="5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3" w:lineRule="exact"/>
        <w:rPr>
          <w:sz w:val="24"/>
          <w:szCs w:val="24"/>
          <w:color w:val="auto"/>
        </w:rPr>
      </w:pPr>
    </w:p>
    <w:p>
      <w:pPr>
        <w:sectPr>
          <w:pgSz w:w="11900" w:h="16838" w:orient="portrait"/>
          <w:cols w:equalWidth="0" w:num="5">
            <w:col w:w="1800" w:space="460"/>
            <w:col w:w="120" w:space="80"/>
            <w:col w:w="3700" w:space="720"/>
            <w:col w:w="1660" w:space="180"/>
            <w:col w:w="1620"/>
          </w:cols>
          <w:pgMar w:left="760" w:top="233" w:right="799" w:bottom="1440" w:gutter="0" w:footer="0" w:header="0"/>
          <w:type w:val="continuous"/>
        </w:sectPr>
      </w:pPr>
    </w:p>
    <w:p>
      <w:pPr>
        <w:ind w:left="5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7" w:lineRule="exact"/>
        <w:rPr>
          <w:sz w:val="24"/>
          <w:szCs w:val="24"/>
          <w:color w:val="auto"/>
        </w:rPr>
      </w:pPr>
    </w:p>
    <w:p>
      <w:pPr>
        <w:ind w:right="44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firstLine="441"/>
        <w:spacing w:after="0" w:line="25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52,653,118 shares of Common Stock, $0.001 par value per share, as of April 27,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1905</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654050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233" w:right="79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85"/>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6"/>
          </w:tcPr>
          <w:p>
            <w:pPr>
              <w:jc w:val="center"/>
              <w:ind w:right="300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4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ITEM 1. FINANCIAL STATEMENTS</w:t>
              </w:r>
            </w:hyperlink>
          </w:p>
        </w:tc>
        <w:tc>
          <w:tcPr>
            <w:tcW w:w="578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w:t>
              </w:r>
            </w:hyperlink>
          </w:p>
        </w:tc>
        <w:tc>
          <w:tcPr>
            <w:tcW w:w="570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56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 and Comprehensive Income</w:t>
              </w:r>
            </w:hyperlink>
          </w:p>
        </w:tc>
        <w:tc>
          <w:tcPr>
            <w:tcW w:w="292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 of Changes in Stockholders’ Equity</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12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w:t>
              </w:r>
            </w:hyperlink>
          </w:p>
        </w:tc>
        <w:tc>
          <w:tcPr>
            <w:tcW w:w="348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2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Unaudited Consolidated Financial Statements</w:t>
              </w:r>
            </w:hyperlink>
          </w:p>
        </w:tc>
        <w:tc>
          <w:tcPr>
            <w:tcW w:w="438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r>
      <w:tr>
        <w:trPr>
          <w:trHeight w:val="196"/>
        </w:trPr>
        <w:tc>
          <w:tcPr>
            <w:tcW w:w="1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OF OPERATIONS</w:t>
              </w:r>
            </w:hyperlink>
          </w:p>
        </w:tc>
        <w:tc>
          <w:tcPr>
            <w:tcW w:w="6780" w:type="dxa"/>
            <w:vAlign w:val="bottom"/>
            <w:tcBorders>
              <w:top w:val="single" w:sz="8" w:color="0000EE"/>
            </w:tcBorders>
            <w:gridSpan w:val="20"/>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 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6800" w:type="dxa"/>
            <w:vAlign w:val="bottom"/>
            <w:tcBorders>
              <w:top w:val="single" w:sz="8" w:color="0000EE"/>
            </w:tcBorders>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4. CONTROLS AND PROCEDURES</w:t>
              </w:r>
            </w:hyperlink>
          </w:p>
        </w:tc>
        <w:tc>
          <w:tcPr>
            <w:tcW w:w="180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Borders>
              <w:bottom w:val="single" w:sz="8" w:color="0000EE"/>
            </w:tcBorders>
            <w:gridSpan w:val="8"/>
          </w:tcPr>
          <w:p>
            <w:pPr>
              <w:jc w:val="cente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PART II. OTHER INFORMATION</w:t>
              </w:r>
            </w:hyperlink>
          </w:p>
        </w:tc>
        <w:tc>
          <w:tcPr>
            <w:tcW w:w="31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 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2540" w:type="dxa"/>
            <w:vAlign w:val="bottom"/>
            <w:tcBorders>
              <w:top w:val="single" w:sz="8" w:color="0000EE"/>
            </w:tcBorders>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 RISK FACTORS</w:t>
              </w:r>
            </w:hyperlink>
          </w:p>
        </w:tc>
        <w:tc>
          <w:tcPr>
            <w:tcW w:w="6060" w:type="dxa"/>
            <w:vAlign w:val="bottom"/>
            <w:gridSpan w:val="1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740" w:type="dxa"/>
            <w:vAlign w:val="bottom"/>
            <w:tcBorders>
              <w:bottom w:val="single" w:sz="8" w:color="0000EE"/>
            </w:tcBorders>
            <w:gridSpan w:val="20"/>
          </w:tcPr>
          <w:p>
            <w:pPr>
              <w:spacing w:after="0"/>
              <w:rPr>
                <w:rFonts w:ascii="Arial" w:cs="Arial" w:eastAsia="Arial" w:hAnsi="Arial"/>
                <w:sz w:val="18"/>
                <w:szCs w:val="18"/>
                <w:color w:val="0000EE"/>
                <w:w w:val="94"/>
              </w:rPr>
            </w:pPr>
            <w:hyperlink w:anchor="page54">
              <w:r>
                <w:rPr>
                  <w:rFonts w:ascii="Arial" w:cs="Arial" w:eastAsia="Arial" w:hAnsi="Arial"/>
                  <w:sz w:val="18"/>
                  <w:szCs w:val="18"/>
                  <w:color w:val="0000EE"/>
                  <w:w w:val="94"/>
                </w:rPr>
                <w:t>ITEM 2. UNREGISTERED SALES OF EQUITY SECURITIES AND USE OF PROCEEDS</w:t>
              </w:r>
            </w:hyperlink>
          </w:p>
        </w:tc>
        <w:tc>
          <w:tcPr>
            <w:tcW w:w="186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2"/>
        </w:trPr>
        <w:tc>
          <w:tcPr>
            <w:tcW w:w="38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ITEM 3. DEFAULTS UPON SENIOR SECURITIES</w:t>
              </w:r>
            </w:hyperlink>
          </w:p>
        </w:tc>
        <w:tc>
          <w:tcPr>
            <w:tcW w:w="47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4. 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2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ITEM 5. OTHER INFORMATION</w:t>
              </w:r>
            </w:hyperlink>
          </w:p>
        </w:tc>
        <w:tc>
          <w:tcPr>
            <w:tcW w:w="540" w:type="dxa"/>
            <w:vAlign w:val="bottom"/>
            <w:tcBorders>
              <w:top w:val="single" w:sz="8" w:color="0000EE"/>
            </w:tcBorders>
            <w:gridSpan w:val="5"/>
          </w:tcPr>
          <w:p>
            <w:pPr>
              <w:spacing w:after="0"/>
              <w:rPr>
                <w:sz w:val="24"/>
                <w:szCs w:val="24"/>
                <w:color w:val="auto"/>
              </w:rPr>
            </w:pPr>
          </w:p>
        </w:tc>
        <w:tc>
          <w:tcPr>
            <w:tcW w:w="55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6. 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1480" w:type="dxa"/>
            <w:vAlign w:val="bottom"/>
            <w:tcBorders>
              <w:top w:val="single" w:sz="8" w:color="0000EE"/>
            </w:tcBorders>
            <w:gridSpan w:val="3"/>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7120" w:type="dxa"/>
            <w:vAlign w:val="bottom"/>
            <w:gridSpan w:val="2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682"/>
        </w:trPr>
        <w:tc>
          <w:tcPr>
            <w:tcW w:w="1100" w:type="dxa"/>
            <w:vAlign w:val="bottom"/>
            <w:tcBorders>
              <w:top w:val="single" w:sz="8" w:color="0000EE"/>
            </w:tcBorders>
          </w:tcPr>
          <w:p>
            <w:pPr>
              <w:spacing w:after="0"/>
              <w:rPr>
                <w:sz w:val="24"/>
                <w:szCs w:val="24"/>
                <w:color w:val="auto"/>
              </w:rPr>
            </w:pPr>
          </w:p>
        </w:tc>
        <w:tc>
          <w:tcPr>
            <w:tcW w:w="4020" w:type="dxa"/>
            <w:vAlign w:val="bottom"/>
            <w:gridSpan w:val="15"/>
          </w:tcPr>
          <w:p>
            <w:pPr>
              <w:jc w:val="right"/>
              <w:ind w:right="5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777"/>
        </w:trPr>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FINANCIAL INFORMATION</w:t>
      </w:r>
    </w:p>
    <w:p>
      <w:pPr>
        <w:spacing w:after="0" w:line="159"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103,468</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 before funds held for clients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Funds held for clients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942,459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1,347,522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1,062,846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1,497,357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Capitalized internal-use software,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Deferred income tax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1,137,441</w:t>
            </w:r>
          </w:p>
        </w:tc>
        <w:tc>
          <w:tcPr>
            <w:tcW w:w="16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1,610,878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2,046</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 before client fund obligations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Client fund obligations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942,459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1,347,522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974,806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1,385,367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Deferred income tax liabilities,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989,828</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1,406,330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200"/>
              <w:spacing w:after="0" w:line="201" w:lineRule="exact"/>
              <w:rPr>
                <w:sz w:val="20"/>
                <w:szCs w:val="20"/>
                <w:color w:val="auto"/>
              </w:rPr>
            </w:pPr>
            <w:r>
              <w:rPr>
                <w:rFonts w:ascii="Arial" w:cs="Arial" w:eastAsia="Arial" w:hAnsi="Arial"/>
                <w:sz w:val="18"/>
                <w:szCs w:val="18"/>
                <w:color w:val="auto"/>
                <w:w w:val="93"/>
              </w:rPr>
              <w:t>Preferred stock, $0.001 par value, 5,000 authorized, no shares issued and outstanding at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June 30, 2017 and March 31, 2018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Common stock, $0.001 par value, 155,000 shares authorized at June 30, 2017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March 31, 2018; 51,738 shares issued and outstanding at June 30, 2017 and 52,649 shares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and outstanding at March 31, 2018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192,837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209,791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147,613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204,548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1,137,441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1,610,878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ind w:left="40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5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Recurring fees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85,314</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105,857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212,581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264,443</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40" w:type="dxa"/>
            <w:vAlign w:val="bottom"/>
            <w:shd w:val="clear" w:color="auto" w:fill="CCEEFF"/>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86,355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108,576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215,070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270,562</w:t>
            </w:r>
          </w:p>
        </w:tc>
        <w:tc>
          <w:tcPr>
            <w:tcW w:w="4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10,349</w:t>
            </w:r>
          </w:p>
        </w:tc>
        <w:tc>
          <w:tcPr>
            <w:tcW w:w="4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90,273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113,407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223,949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280,911</w:t>
            </w:r>
          </w:p>
        </w:tc>
        <w:tc>
          <w:tcPr>
            <w:tcW w:w="4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Recurring revenues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22,436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26,982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62,255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76,711</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Implementation services and other</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33,740</w:t>
            </w:r>
          </w:p>
        </w:tc>
        <w:tc>
          <w:tcPr>
            <w:tcW w:w="40" w:type="dxa"/>
            <w:vAlign w:val="bottom"/>
            <w:shd w:val="clear" w:color="auto" w:fill="CCEEFF"/>
          </w:tcPr>
          <w:p>
            <w:pPr>
              <w:spacing w:after="0"/>
              <w:rPr>
                <w:sz w:val="18"/>
                <w:szCs w:val="18"/>
                <w:color w:val="auto"/>
              </w:rPr>
            </w:pPr>
          </w:p>
        </w:tc>
      </w:tr>
      <w:tr>
        <w:trPr>
          <w:trHeight w:val="210"/>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32,082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110,451</w:t>
            </w:r>
          </w:p>
        </w:tc>
        <w:tc>
          <w:tcPr>
            <w:tcW w:w="40" w:type="dxa"/>
            <w:vAlign w:val="bottom"/>
            <w:shd w:val="clear" w:color="auto" w:fill="CCEEFF"/>
          </w:tcPr>
          <w:p>
            <w:pPr>
              <w:spacing w:after="0"/>
              <w:rPr>
                <w:sz w:val="18"/>
                <w:szCs w:val="18"/>
                <w:color w:val="auto"/>
              </w:rPr>
            </w:pPr>
          </w:p>
        </w:tc>
      </w:tr>
      <w:tr>
        <w:trPr>
          <w:trHeight w:val="21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58,191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74,755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133,125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170,460</w:t>
            </w:r>
          </w:p>
        </w:tc>
        <w:tc>
          <w:tcPr>
            <w:tcW w:w="4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21,242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68,782</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27,227</w:t>
            </w:r>
          </w:p>
        </w:tc>
        <w:tc>
          <w:tcPr>
            <w:tcW w:w="4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15,100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53,338</w:t>
            </w:r>
          </w:p>
        </w:tc>
        <w:tc>
          <w:tcPr>
            <w:tcW w:w="4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43,311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122,395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149,347</w:t>
            </w:r>
          </w:p>
        </w:tc>
        <w:tc>
          <w:tcPr>
            <w:tcW w:w="40" w:type="dxa"/>
            <w:vAlign w:val="bottom"/>
            <w:tcBorders>
              <w:bottom w:val="single" w:sz="8" w:color="CCEEFF"/>
            </w:tcBorders>
          </w:tcPr>
          <w:p>
            <w:pPr>
              <w:spacing w:after="0"/>
              <w:rPr>
                <w:sz w:val="18"/>
                <w:szCs w:val="18"/>
                <w:color w:val="auto"/>
              </w:rPr>
            </w:pPr>
          </w:p>
        </w:tc>
      </w:tr>
      <w:tr>
        <w:trPr>
          <w:trHeight w:val="210"/>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14,880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w:t>
            </w:r>
          </w:p>
        </w:tc>
        <w:tc>
          <w:tcPr>
            <w:tcW w:w="40" w:type="dxa"/>
            <w:vAlign w:val="bottom"/>
          </w:tcPr>
          <w:p>
            <w:pPr>
              <w:spacing w:after="0"/>
              <w:rPr>
                <w:sz w:val="18"/>
                <w:szCs w:val="18"/>
                <w:color w:val="auto"/>
              </w:rPr>
            </w:pPr>
          </w:p>
        </w:tc>
      </w:tr>
      <w:tr>
        <w:trPr>
          <w:trHeight w:val="210"/>
        </w:trPr>
        <w:tc>
          <w:tcPr>
            <w:tcW w:w="5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14,833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20,680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21,578</w:t>
            </w: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(18,497)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(18,573)</w:t>
            </w:r>
          </w:p>
        </w:tc>
      </w:tr>
      <w:tr>
        <w:trPr>
          <w:trHeight w:val="210"/>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14,801</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39,177</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40,151</w:t>
            </w:r>
          </w:p>
        </w:tc>
        <w:tc>
          <w:tcPr>
            <w:tcW w:w="40" w:type="dxa"/>
            <w:vAlign w:val="bottom"/>
            <w:shd w:val="clear" w:color="auto" w:fill="CCEEFF"/>
          </w:tcPr>
          <w:p>
            <w:pPr>
              <w:spacing w:after="0"/>
              <w:rPr>
                <w:sz w:val="19"/>
                <w:szCs w:val="19"/>
                <w:color w:val="auto"/>
              </w:rPr>
            </w:pPr>
          </w:p>
        </w:tc>
      </w:tr>
      <w:tr>
        <w:trPr>
          <w:trHeight w:val="216"/>
        </w:trPr>
        <w:tc>
          <w:tcPr>
            <w:tcW w:w="5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ind w:left="220"/>
              <w:spacing w:after="0"/>
              <w:rPr>
                <w:sz w:val="20"/>
                <w:szCs w:val="20"/>
                <w:color w:val="auto"/>
              </w:rPr>
            </w:pPr>
            <w:r>
              <w:rPr>
                <w:rFonts w:ascii="Arial" w:cs="Arial" w:eastAsia="Arial" w:hAnsi="Arial"/>
                <w:sz w:val="18"/>
                <w:szCs w:val="18"/>
                <w:color w:val="auto"/>
              </w:rPr>
              <w:t>Unrealized losses on securities, net of tax</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loss, net of tax</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0" w:type="dxa"/>
            <w:vAlign w:val="bottom"/>
            <w:tcBorders>
              <w:top w:val="single" w:sz="8" w:color="CCEEFF"/>
            </w:tcBorders>
            <w:shd w:val="clear" w:color="auto" w:fill="CCEEFF"/>
          </w:tcPr>
          <w:p>
            <w:pPr>
              <w:spacing w:after="0"/>
              <w:rPr>
                <w:sz w:val="18"/>
                <w:szCs w:val="18"/>
                <w:color w:val="auto"/>
              </w:rPr>
            </w:pPr>
          </w:p>
        </w:tc>
      </w:tr>
      <w:tr>
        <w:trPr>
          <w:trHeight w:val="217"/>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14,801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39,980</w:t>
            </w:r>
          </w:p>
        </w:tc>
        <w:tc>
          <w:tcPr>
            <w:tcW w:w="40" w:type="dxa"/>
            <w:vAlign w:val="bottom"/>
            <w:tcBorders>
              <w:bottom w:val="single" w:sz="8" w:color="CCEEFF"/>
            </w:tcBorders>
          </w:tcPr>
          <w:p>
            <w:pPr>
              <w:spacing w:after="0"/>
              <w:rPr>
                <w:sz w:val="18"/>
                <w:szCs w:val="18"/>
                <w:color w:val="auto"/>
              </w:rPr>
            </w:pPr>
          </w:p>
        </w:tc>
      </w:tr>
      <w:tr>
        <w:trPr>
          <w:trHeight w:val="216"/>
        </w:trPr>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0.74</w:t>
            </w: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0.77</w:t>
            </w:r>
          </w:p>
        </w:tc>
        <w:tc>
          <w:tcPr>
            <w:tcW w:w="40" w:type="dxa"/>
            <w:vAlign w:val="bottom"/>
          </w:tcPr>
          <w:p>
            <w:pPr>
              <w:spacing w:after="0"/>
              <w:rPr>
                <w:sz w:val="19"/>
                <w:szCs w:val="19"/>
                <w:color w:val="auto"/>
              </w:rPr>
            </w:pPr>
          </w:p>
        </w:tc>
      </w:tr>
      <w:tr>
        <w:trPr>
          <w:trHeight w:val="223"/>
        </w:trPr>
        <w:tc>
          <w:tcPr>
            <w:tcW w:w="51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w w:val="95"/>
              </w:rPr>
              <w:t>Weighted-average shares used in computing net income per share: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5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51,447</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52,615</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51,353</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52,334</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512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54,002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55,030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53,987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54,717</w:t>
            </w:r>
          </w:p>
        </w:tc>
        <w:tc>
          <w:tcPr>
            <w:tcW w:w="4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1"/>
              </w:rPr>
              <w:t>Stockholders’ Equity</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0"/>
                <w:szCs w:val="10"/>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gridSpan w:val="2"/>
            <w:vMerge w:val="continue"/>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400" w:type="dxa"/>
            <w:vAlign w:val="bottom"/>
            <w:gridSpan w:val="6"/>
            <w:vMerge w:val="continue"/>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3"/>
            <w:vMerge w:val="continue"/>
          </w:tcPr>
          <w:p>
            <w:pPr>
              <w:spacing w:after="0"/>
              <w:rPr>
                <w:sz w:val="14"/>
                <w:szCs w:val="14"/>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68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96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2"/>
                <w:szCs w:val="12"/>
                <w:color w:val="auto"/>
              </w:rPr>
            </w:pPr>
          </w:p>
        </w:tc>
        <w:tc>
          <w:tcPr>
            <w:tcW w:w="78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2017</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51,738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$ 192,837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(45,276)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147,613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23,345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620" w:type="dxa"/>
            <w:vAlign w:val="bottom"/>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employee</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purchase plan</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price related to equity awards</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(15,597)</w:t>
            </w:r>
          </w:p>
        </w:tc>
        <w:tc>
          <w:tcPr>
            <w:tcW w:w="1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(15,597)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securities, net of tax</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40,151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2018</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52,649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$ 209,791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204,548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Nine Months Ended</w:t>
      </w:r>
    </w:p>
    <w:p>
      <w:pPr>
        <w:ind w:left="77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40,151</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21,891</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20,640</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expense (benefit)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(18,603)</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Net accretion of discounts and amortization of premiums on available-for-sale 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Net realized losses on sales of available-for-sale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1,762</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Tenant improvement allowance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5,952</w:t>
            </w:r>
          </w:p>
        </w:tc>
      </w:tr>
      <w:tr>
        <w:trPr>
          <w:trHeight w:val="210"/>
        </w:trPr>
        <w:tc>
          <w:tcPr>
            <w:tcW w:w="688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69,343</w:t>
            </w:r>
          </w:p>
        </w:tc>
      </w:tr>
      <w:tr>
        <w:trPr>
          <w:trHeight w:val="216"/>
        </w:trPr>
        <w:tc>
          <w:tcPr>
            <w:tcW w:w="6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available-for-sale securities from funds held for clients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(126,223)</w:t>
            </w:r>
          </w:p>
        </w:tc>
      </w:tr>
      <w:tr>
        <w:trPr>
          <w:trHeight w:val="202"/>
        </w:trPr>
        <w:tc>
          <w:tcPr>
            <w:tcW w:w="6880" w:type="dxa"/>
            <w:vAlign w:val="bottom"/>
          </w:tcPr>
          <w:p>
            <w:pPr>
              <w:ind w:left="220"/>
              <w:spacing w:after="0" w:line="201" w:lineRule="exact"/>
              <w:rPr>
                <w:sz w:val="20"/>
                <w:szCs w:val="20"/>
                <w:color w:val="auto"/>
              </w:rPr>
            </w:pPr>
            <w:r>
              <w:rPr>
                <w:rFonts w:ascii="Arial" w:cs="Arial" w:eastAsia="Arial" w:hAnsi="Arial"/>
                <w:sz w:val="18"/>
                <w:szCs w:val="18"/>
                <w:color w:val="auto"/>
                <w:w w:val="97"/>
              </w:rPr>
              <w:t>Proceeds from sales and maturities of available-for-sale securities from funds held for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clients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51,292</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funds held for clients' cash and cash equivalents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(328,462)</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Capitalized internal-use software costs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(10,073)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(11,442)</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(13,916)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(9,374)</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Lease allowances used for tenant improvements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(7,086)</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business, net of cash acquired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(8,346)</w:t>
            </w:r>
          </w:p>
        </w:tc>
      </w:tr>
      <w:tr>
        <w:trPr>
          <w:trHeight w:val="210"/>
        </w:trPr>
        <w:tc>
          <w:tcPr>
            <w:tcW w:w="6880" w:type="dxa"/>
            <w:vAlign w:val="bottom"/>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(439,641)</w:t>
            </w:r>
          </w:p>
        </w:tc>
      </w:tr>
      <w:tr>
        <w:trPr>
          <w:trHeight w:val="216"/>
        </w:trPr>
        <w:tc>
          <w:tcPr>
            <w:tcW w:w="6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client fund obligations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(69,281)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403,375</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Proceeds from employee stock purchase plan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2,045</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(9,060)</w:t>
            </w:r>
          </w:p>
        </w:tc>
      </w:tr>
      <w:tr>
        <w:trPr>
          <w:trHeight w:val="210"/>
        </w:trPr>
        <w:tc>
          <w:tcPr>
            <w:tcW w:w="68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(73,673)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396,360</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26,062</w:t>
            </w:r>
          </w:p>
        </w:tc>
      </w:tr>
      <w:tr>
        <w:trPr>
          <w:trHeight w:val="216"/>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Equivalents—Beginning of Period</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86,496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103,468</w:t>
            </w:r>
          </w:p>
        </w:tc>
      </w:tr>
      <w:tr>
        <w:trPr>
          <w:trHeight w:val="230"/>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101,450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129,530</w:t>
            </w:r>
          </w:p>
        </w:tc>
      </w:tr>
      <w:tr>
        <w:trPr>
          <w:trHeight w:val="203"/>
        </w:trPr>
        <w:tc>
          <w:tcPr>
            <w:tcW w:w="6880" w:type="dxa"/>
            <w:vAlign w:val="bottom"/>
          </w:tcPr>
          <w:p>
            <w:pPr>
              <w:spacing w:after="0" w:line="203"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Purchase of property and equipment and internal-use software, accrued but not paid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w:t>
            </w:r>
          </w:p>
        </w:tc>
      </w:tr>
      <w:tr>
        <w:trPr>
          <w:trHeight w:val="203"/>
        </w:trPr>
        <w:tc>
          <w:tcPr>
            <w:tcW w:w="68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Supplemental Disclosure of Cash Flow Information</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 net of refunds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6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Consolidation and Use of Estimates</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incurred but not reported medical and dental claims, stock-based compensation, valuation of deferred income tax assets and liabilities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69"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nine months ended March 31, 2018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2017 included in the Company’s Annual Report on Form 10-K filed with the SEC on August 11, 2017.</w:t>
      </w:r>
    </w:p>
    <w:p>
      <w:pPr>
        <w:spacing w:after="0" w:line="167" w:lineRule="exact"/>
        <w:rPr>
          <w:sz w:val="20"/>
          <w:szCs w:val="20"/>
          <w:color w:val="auto"/>
        </w:rPr>
      </w:pPr>
    </w:p>
    <w:p>
      <w:pPr>
        <w:ind w:left="300" w:hanging="297"/>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Funds Held For Clients and Corporate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Funds held for clients is primarily comprised of cash and cash equivalents invested in demand deposit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Starting in July 2017, the Company also invested a portion of its funds held for clients in marketable securities.</w:t>
      </w:r>
    </w:p>
    <w:p>
      <w:pPr>
        <w:spacing w:after="0" w:line="21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Marketable securities classified as available-for-sale are recorded at fair value on the consolidated balance sheets. Unrealized gains and losses, net of applicable income taxes, are reported as other comprehensive income (loss) in the consolidated statements of operations and comprehensive income. Interest on marketable securities included in funds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held for clients is reported as interest income on funds held for clients on the consolidated statements of operations and comprehensive income.</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reviews the composition of its portfolio for any available-for-sale security that has a fair value that falls below its amortized cost. If any security fits this criterion, the Company further evaluates whether other-than-temporary impairment exists by considering whether the Company has the intent and ability to retain the security for a period of time sufficient enough to allow for anticipated fair value recovery. The Company did not record any other-than-temporary impairment charges during the three or nine months ended March 31, 2018.</w:t>
      </w:r>
    </w:p>
    <w:p>
      <w:pPr>
        <w:spacing w:after="0" w:line="188" w:lineRule="exact"/>
        <w:rPr>
          <w:sz w:val="20"/>
          <w:szCs w:val="20"/>
          <w:color w:val="auto"/>
        </w:rPr>
      </w:pPr>
    </w:p>
    <w:p>
      <w:pPr>
        <w:ind w:left="300" w:hanging="297"/>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Income taxes are accounted for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using the asset and liability method. The Company’s provision for income taxes through December 31, 2017 and fiscal 2017 was based on the discrete effective tax rate method. In the third quarter of fiscal 2018 upon the release of the valuation allowance, the Company utilized the annual effective tax rate method to estimate and record tax expense for pre-tax income. Deferred tax assets and liabilities are recognized for the future tax consequences attributable to differences between the financial statement carrying amounts of existing assets and liabilities and their respective tax bases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193" w:lineRule="exact"/>
        <w:rPr>
          <w:sz w:val="20"/>
          <w:szCs w:val="20"/>
          <w:color w:val="auto"/>
        </w:rPr>
      </w:pPr>
    </w:p>
    <w:p>
      <w:pPr>
        <w:ind w:left="300" w:hanging="297"/>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March 2016, the FASB issued ASU 2016-09, Compensation – Stock Compensation (Topic 718) (“ASU 2016-09”) which modifies accounting for excess tax benefits and tax deficiencies, forfeitures, and employer tax withholding requirements. ASU 2016-09 also clarifies certain classifications on the statement of cash flows. ASU 2016-09 is effective for fiscal years beginning after December 15, 2016, with early adoption permitted. The Company adopted this standard effective July 1, 2017, and it resulted in an increase to the Company’s gross net operating loss of $30,783. As of December 31, 2017, the adoption of this standard did not have a material impact on its consolidated financial statements and disclosures due to the Company’s valuation allowance on deferred tax assets. However, during the third quarter of fiscal 2018, the Company released its valuation allowance and as a result, the Company recorded a significant increase in deferred tax assets due to excess tax benefits from employee stock exercises. Refer to Note 9 for additional information on the release of the valuation allowance and the impact of excess tax benefits from employee stock exercises. The Company will continue to estimate forfeitures at each reporting period, rather than electing an accounting policy change to record the impact of such forfeitures as they occur.</w:t>
      </w:r>
    </w:p>
    <w:p>
      <w:pPr>
        <w:spacing w:after="0" w:line="18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 January 2017, the FASB issued ASU 2017-01, Business Combinations (Topic 805) (“ASU 2017-01”) which clarifies the definition of a business. ASU 2017-01 provides guidance to assist entities in evaluating whether transactions should be accounted for as acquisitions or disposals of assets or businesses. It is effective, on a prospective basis, for fiscal years beginning after December 15, 2017, with early adoption permitted. The Company adopted this standard effective January 1, 2018. The adoption of ASU 2017-01 did not have a material impact on the Company’s consolidated financial statements.</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March 2018, the FASB issued ASU 2018-05, Income Taxes (Topic 740) (“ASU 2018-05”) which incorporates the SEC’s Staff Accounting Bulletin 118 (“SAB 118”) issued on December 22, 2017. SAB 118 provides for a provisional measurement period for entities to finalize their accounting for certain income tax effects related to the Tax Cuts and Jobs Act (the “Act”), not to exceed one year from enactment of the new tax law. Entities are permitted to utilize reasonable estimates until they have finished analyzing the effects of the Act. The Company recognized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income tax effects of the Act in the second and third quarter of fiscal 2018 in accordance with SAB 118. Refer to Note 9 for additional information.</w:t>
      </w:r>
    </w:p>
    <w:p>
      <w:pPr>
        <w:spacing w:after="0" w:line="170" w:lineRule="exact"/>
        <w:rPr>
          <w:sz w:val="20"/>
          <w:szCs w:val="20"/>
          <w:color w:val="auto"/>
        </w:rPr>
      </w:pPr>
    </w:p>
    <w:p>
      <w:pPr>
        <w:ind w:left="280" w:hanging="277"/>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(Topic 606) (“ASU 2014-09”). ASU 2014-09 supersedes a majority of existing revenue recognition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In addition, in March 2016, April 2016, May 2016 and December 2016 the FASB issued ASU 2016-08, </w:t>
      </w:r>
      <w:r>
        <w:rPr>
          <w:rFonts w:ascii="Arial" w:cs="Arial" w:eastAsia="Arial" w:hAnsi="Arial"/>
          <w:sz w:val="16"/>
          <w:szCs w:val="16"/>
          <w:i w:val="1"/>
          <w:iCs w:val="1"/>
          <w:color w:val="auto"/>
        </w:rPr>
        <w:t>Revenue from Contracts with Customers (Topic 606): Principal versus Agent Considerations (Reporting Revenue Gross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versus Net) </w:t>
      </w:r>
      <w:r>
        <w:rPr>
          <w:rFonts w:ascii="Arial" w:cs="Arial" w:eastAsia="Arial" w:hAnsi="Arial"/>
          <w:sz w:val="16"/>
          <w:szCs w:val="16"/>
          <w:color w:val="auto"/>
        </w:rPr>
        <w:t>(“ASU 2016-08”), ASU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(“ASU 2016-10”), ASU 2016-12,</w:t>
      </w:r>
      <w:r>
        <w:rPr>
          <w:rFonts w:ascii="Arial" w:cs="Arial" w:eastAsia="Arial" w:hAnsi="Arial"/>
          <w:sz w:val="16"/>
          <w:szCs w:val="16"/>
          <w:i w:val="1"/>
          <w:iCs w:val="1"/>
          <w:color w:val="auto"/>
        </w:rPr>
        <w:t xml:space="preserve"> Revenue from Contracts with Customers (Topic 606): Narrow-Scope Improvements and Practical Expedients </w:t>
      </w:r>
      <w:r>
        <w:rPr>
          <w:rFonts w:ascii="Arial" w:cs="Arial" w:eastAsia="Arial" w:hAnsi="Arial"/>
          <w:sz w:val="16"/>
          <w:szCs w:val="16"/>
          <w:color w:val="auto"/>
        </w:rPr>
        <w:t>(“ASU 2016-12”) and ASU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(“ASU 2016-20”), respectively, to amend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in ASU 2014-09. Topic 606 allows for either a retrospective or cumulative effect transition method. ASU 2014-09 was originally effective for fiscal years beginning after December 15, 2016. In July 2015, the FASB approved a one-year deferral of ASU 2014-09 and all amendments to it, with a new effective date for fiscal years beginning after December 15, 2017 with early adoption permitted as of the original effective date.</w:t>
      </w:r>
    </w:p>
    <w:p>
      <w:pPr>
        <w:spacing w:after="0" w:line="16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currently expects to adopt the new standard in its fiscal year beginning July 1, 2018 using the full retrospective method. While the impact the new revenue recognition standard will have on its consolidated financial statements and disclosures has not yet been fully assessed, the Company currently expects that there will be a material impact in the manner in which it treats certain costs of obtaining new contracts (i.e., selling and commission costs). The new standard will require the Company to defer these costs and amortize them versus its current treatment of expensing these costs as incurred. The Company is continuing to evaluate all potential impacts as well as the changes required for systems, processes and internal controls to meet the new standard’s reporting and disclosure requirements.</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February 2016, the FASB issued ASU 2016-02, Leases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In March 2018, the FASB affirmed its proposed ASU, Leases (Topic 842): </w:t>
      </w:r>
      <w:r>
        <w:rPr>
          <w:rFonts w:ascii="Arial" w:cs="Arial" w:eastAsia="Arial" w:hAnsi="Arial"/>
          <w:sz w:val="17"/>
          <w:szCs w:val="17"/>
          <w:i w:val="1"/>
          <w:iCs w:val="1"/>
          <w:color w:val="auto"/>
        </w:rPr>
        <w:t>Targeted Improvements,</w:t>
      </w:r>
      <w:r>
        <w:rPr>
          <w:rFonts w:ascii="Arial" w:cs="Arial" w:eastAsia="Arial" w:hAnsi="Arial"/>
          <w:sz w:val="17"/>
          <w:szCs w:val="17"/>
          <w:color w:val="auto"/>
        </w:rPr>
        <w:t xml:space="preserve"> which provides an additional transition method allowing an entity to apply the new lease accounting and disclosure requirements only for the year of adoption with the comparative periods continuing to be in accordance with current GAAP. ASU 2016-02 is effective for fiscal years beginning after December 15, 2018, with early adoption permitted. The Company is currently assessing the potential effects of these changes to its consolidated financial statements as well as evaluating the transition methods and expects to adopt this new standard in its fiscal year beginning July 1, 2019.</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March 2018, the Company acquired substantially all the assets of BeneFLEX HR Resources, Inc. (“BeneFLEX”), a third party employee benefits administrator, for $9,346, net of cash acquired. BeneFLEX administers employee benefit plans, including flexible spending accounts, health savings accounts, health reimbursement accounts, COBRA, and others. The Company paid $8,346 upon closing and may be required to pay an additional $1,000 subject to BeneFLEX attaining certain revenue targets and in the absence of indemnity claims. This acquisition expands the portfolio of services available to the Company’s clients by allowing it to provide additional benefit administration solutions to its clients, prospects, and broker partners.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accounts for business combinations in accordance with ASC 805, Business Combinations. The Company recorded the acquisition using the acquisition method of accounting and recognized assets at their fair value as of the date of acquisition. The Company based the preliminary allocation of the purchase price on estimates and assumptions that are subject to change within the purchase price allocation period, which is generally one year from the acquisition date. The primary areas of the purchase price allocation that are not yet finalized relate to the measurement of identifiable intangible assets and the finalization of net working capital adjustments. The Company determined the estimated fair value of identifiable intangible assets acquired primarily by using an income approach.</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w w:val="96"/>
              </w:rPr>
              <w:t>The following table summarizes the preliminary allocation of the purchase price for BeneFLEX:</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Client relationships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Non-solicitation agreements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liabilities assumed</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results from this acquisition have been included in the Company’s consolidated financial statements since the closing of the acquisition. Pro forma information has not been presented because the effect of the acquisition is not material to the Company’s consolidated financial statements. Goodwill will be amortized over a period of 15 years for income tax purposes.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(4) Balance Sheet Information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780" w:type="dxa"/>
            <w:vAlign w:val="bottom"/>
          </w:tcPr>
          <w:p>
            <w:pPr>
              <w:ind w:left="660"/>
              <w:spacing w:after="0"/>
              <w:rPr>
                <w:sz w:val="20"/>
                <w:szCs w:val="20"/>
                <w:color w:val="auto"/>
              </w:rPr>
            </w:pPr>
            <w:r>
              <w:rPr>
                <w:rFonts w:ascii="Arial" w:cs="Arial" w:eastAsia="Arial" w:hAnsi="Arial"/>
                <w:sz w:val="18"/>
                <w:szCs w:val="18"/>
                <w:color w:val="auto"/>
                <w:w w:val="94"/>
              </w:rPr>
              <w:t>The following tables provide details of selected consolidated balance sheet items: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780" w:type="dxa"/>
            <w:vAlign w:val="bottom"/>
          </w:tcPr>
          <w:p>
            <w:pPr>
              <w:ind w:left="660"/>
              <w:spacing w:after="0"/>
              <w:rPr>
                <w:sz w:val="20"/>
                <w:szCs w:val="20"/>
                <w:color w:val="auto"/>
              </w:rPr>
            </w:pPr>
            <w:r>
              <w:rPr>
                <w:rFonts w:ascii="Arial" w:cs="Arial" w:eastAsia="Arial" w:hAnsi="Arial"/>
                <w:sz w:val="18"/>
                <w:szCs w:val="18"/>
                <w:color w:val="auto"/>
              </w:rPr>
              <w:t>Activity in the allowance for doubtful accounts was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Charged to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r>
      <w:tr>
        <w:trPr>
          <w:trHeight w:val="217"/>
        </w:trPr>
        <w:tc>
          <w:tcPr>
            <w:tcW w:w="678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6780" w:type="dxa"/>
            <w:vAlign w:val="bottom"/>
          </w:tcPr>
          <w:p>
            <w:pPr>
              <w:ind w:left="660"/>
              <w:spacing w:after="0"/>
              <w:rPr>
                <w:sz w:val="20"/>
                <w:szCs w:val="20"/>
                <w:color w:val="auto"/>
              </w:rPr>
            </w:pPr>
            <w:r>
              <w:rPr>
                <w:rFonts w:ascii="Arial" w:cs="Arial" w:eastAsia="Arial" w:hAnsi="Arial"/>
                <w:sz w:val="18"/>
                <w:szCs w:val="18"/>
                <w:color w:val="auto"/>
                <w:w w:val="95"/>
              </w:rPr>
              <w:t>Capitalized internal-use software and accumulated amortization were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6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5"/>
          </w:tcPr>
          <w:p>
            <w:pPr>
              <w:ind w:left="14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7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62,629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(32,269)</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(42,627)</w:t>
            </w:r>
          </w:p>
        </w:tc>
        <w:tc>
          <w:tcPr>
            <w:tcW w:w="40" w:type="dxa"/>
            <w:vAlign w:val="bottom"/>
          </w:tcPr>
          <w:p>
            <w:pPr>
              <w:spacing w:after="0"/>
              <w:rPr>
                <w:sz w:val="18"/>
                <w:szCs w:val="18"/>
                <w:color w:val="auto"/>
              </w:rPr>
            </w:pPr>
          </w:p>
        </w:tc>
      </w:tr>
      <w:tr>
        <w:trPr>
          <w:trHeight w:val="217"/>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Amortization of capitalized internal-use software costs is included in Cost of Revenues-Recurring Revenues and amounted to $2,573 and $3,655 for the three months ended March 31, 2017 and 2018, respectively, and $6,207 and $10,358 for the nine months ended March 31, 2017 and 2018,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w:t>
            </w: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Computer equipment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28,526</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5,221</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32,621</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40" w:type="dxa"/>
            <w:vAlign w:val="bottom"/>
            <w:tcBorders>
              <w:bottom w:val="single" w:sz="8" w:color="CCEEFF"/>
            </w:tcBorders>
          </w:tcPr>
          <w:p>
            <w:pPr>
              <w:spacing w:after="0"/>
              <w:rPr>
                <w:sz w:val="18"/>
                <w:szCs w:val="18"/>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83,636</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(33,256)</w:t>
            </w:r>
          </w:p>
        </w:tc>
      </w:tr>
      <w:tr>
        <w:trPr>
          <w:trHeight w:val="217"/>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Depreciation expense amounted to $2,629 and $3,189 for the three months ended March 31, 2017 and 2018, respectively, and $7,336 and $9,206 for the nine months ended March 31, 2017 and 2018, respectively.</w:t>
      </w:r>
    </w:p>
    <w:p>
      <w:pPr>
        <w:spacing w:after="0" w:line="147"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Goodwill represents the excess of cost over the net tangible and identifiable intangible assets of acquired businesses. Goodwill amounts are not amortized, but rather tested for impairment at least annually. Identifiable intangible assets acquired in business combinations are recorded based on fair value at the date of acquisition and amortized over their estimated useful lives. See Note 3 for further information regarding the acquisition completed during the nine months ended March 31, 2018.</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goodwill during the nine months ended March 31,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60" w:type="dxa"/>
            <w:vAlign w:val="bottom"/>
            <w:shd w:val="clear" w:color="auto" w:fill="CCEEFF"/>
          </w:tcPr>
          <w:p>
            <w:pPr>
              <w:spacing w:after="0"/>
              <w:rPr>
                <w:sz w:val="19"/>
                <w:szCs w:val="19"/>
                <w:color w:val="auto"/>
              </w:rPr>
            </w:pPr>
          </w:p>
        </w:tc>
      </w:tr>
      <w:tr>
        <w:trPr>
          <w:trHeight w:val="230"/>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Additions attributable to current period acquisition</w:t>
            </w: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60" w:type="dxa"/>
            <w:vAlign w:val="bottom"/>
            <w:tcBorders>
              <w:bottom w:val="single" w:sz="8" w:color="CCEEFF"/>
            </w:tcBorders>
          </w:tcPr>
          <w:p>
            <w:pPr>
              <w:spacing w:after="0"/>
              <w:rPr>
                <w:sz w:val="19"/>
                <w:szCs w:val="19"/>
                <w:color w:val="auto"/>
              </w:rPr>
            </w:pPr>
          </w:p>
        </w:tc>
      </w:tr>
      <w:tr>
        <w:trPr>
          <w:trHeight w:val="230"/>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419"/>
        </w:trPr>
        <w:tc>
          <w:tcPr>
            <w:tcW w:w="4980" w:type="dxa"/>
            <w:vAlign w:val="bottom"/>
          </w:tcPr>
          <w:p>
            <w:pPr>
              <w:ind w:left="660"/>
              <w:spacing w:after="0"/>
              <w:rPr>
                <w:sz w:val="20"/>
                <w:szCs w:val="20"/>
                <w:color w:val="auto"/>
              </w:rPr>
            </w:pPr>
            <w:r>
              <w:rPr>
                <w:rFonts w:ascii="Arial" w:cs="Arial" w:eastAsia="Arial" w:hAnsi="Arial"/>
                <w:sz w:val="18"/>
                <w:szCs w:val="18"/>
                <w:color w:val="auto"/>
              </w:rPr>
              <w:t>Intangible assets, net consist of the following:</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4"/>
        </w:trPr>
        <w:tc>
          <w:tcPr>
            <w:tcW w:w="4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Useful</w:t>
            </w:r>
          </w:p>
        </w:tc>
      </w:tr>
      <w:tr>
        <w:trPr>
          <w:trHeight w:val="171"/>
        </w:trPr>
        <w:tc>
          <w:tcPr>
            <w:tcW w:w="4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Life</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 years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Non-solicitation agreements</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4"/>
          </w:tcPr>
          <w:p>
            <w:pPr>
              <w:jc w:val="right"/>
              <w:ind w:right="120"/>
              <w:spacing w:after="0"/>
              <w:rPr>
                <w:sz w:val="20"/>
                <w:szCs w:val="20"/>
                <w:color w:val="auto"/>
              </w:rPr>
            </w:pPr>
            <w:r>
              <w:rPr>
                <w:rFonts w:ascii="Arial" w:cs="Arial" w:eastAsia="Arial" w:hAnsi="Arial"/>
                <w:sz w:val="18"/>
                <w:szCs w:val="18"/>
                <w:color w:val="auto"/>
                <w:w w:val="91"/>
              </w:rPr>
              <w:t>2 - 4 years</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(4,033)</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(5,109)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increase in client relationships and non-solicitation agreements is related to the acquisition of BeneFLEX as discussed in Note 3. Amortization expense for acquired intangible assets was $380 and $358 for the three months ended March 31, 2017 and 2018 respectively, and $1,142 and $1,076 for the nine months ended March 31, 2017 and 2018,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for acquired intangible assets is as follows, as of March 31, 2018:</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fiscal 2018</w:t>
            </w:r>
          </w:p>
        </w:tc>
        <w:tc>
          <w:tcPr>
            <w:tcW w:w="5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Fiscal 2019</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2,056</w:t>
            </w:r>
          </w:p>
        </w:tc>
        <w:tc>
          <w:tcPr>
            <w:tcW w:w="60" w:type="dxa"/>
            <w:vAlign w:val="bottom"/>
          </w:tcPr>
          <w:p>
            <w:pPr>
              <w:spacing w:after="0"/>
              <w:rPr>
                <w:sz w:val="18"/>
                <w:szCs w:val="18"/>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2020</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60" w:type="dxa"/>
            <w:vAlign w:val="bottom"/>
            <w:shd w:val="clear" w:color="auto" w:fill="CCEEFF"/>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Fiscal 2021</w:t>
            </w: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2,056</w:t>
            </w:r>
          </w:p>
        </w:tc>
        <w:tc>
          <w:tcPr>
            <w:tcW w:w="60" w:type="dxa"/>
            <w:vAlign w:val="bottom"/>
          </w:tcPr>
          <w:p>
            <w:pPr>
              <w:spacing w:after="0"/>
              <w:rPr>
                <w:sz w:val="18"/>
                <w:szCs w:val="18"/>
                <w:color w:val="auto"/>
              </w:rPr>
            </w:pPr>
          </w:p>
        </w:tc>
      </w:tr>
      <w:tr>
        <w:trPr>
          <w:trHeight w:val="216"/>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2022</w:t>
            </w: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60" w:type="dxa"/>
            <w:vAlign w:val="bottom"/>
            <w:shd w:val="clear" w:color="auto" w:fill="CCEEFF"/>
          </w:tcPr>
          <w:p>
            <w:pPr>
              <w:spacing w:after="0"/>
              <w:rPr>
                <w:sz w:val="18"/>
                <w:szCs w:val="18"/>
                <w:color w:val="auto"/>
              </w:rPr>
            </w:pPr>
          </w:p>
        </w:tc>
      </w:tr>
      <w:tr>
        <w:trPr>
          <w:trHeight w:val="216"/>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4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60" w:type="dxa"/>
            <w:vAlign w:val="bottom"/>
            <w:tcBorders>
              <w:bottom w:val="single" w:sz="8" w:color="CCEEFF"/>
            </w:tcBorders>
          </w:tcPr>
          <w:p>
            <w:pPr>
              <w:spacing w:after="0"/>
              <w:rPr>
                <w:sz w:val="18"/>
                <w:szCs w:val="18"/>
                <w:color w:val="auto"/>
              </w:rPr>
            </w:pPr>
          </w:p>
        </w:tc>
      </w:tr>
      <w:tr>
        <w:trPr>
          <w:trHeight w:val="230"/>
        </w:trPr>
        <w:tc>
          <w:tcPr>
            <w:tcW w:w="3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9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635"/>
        </w:trPr>
        <w:tc>
          <w:tcPr>
            <w:tcW w:w="3240" w:type="dxa"/>
            <w:vAlign w:val="bottom"/>
          </w:tcPr>
          <w:p>
            <w:pPr>
              <w:spacing w:after="0"/>
              <w:rPr>
                <w:sz w:val="24"/>
                <w:szCs w:val="24"/>
                <w:color w:val="auto"/>
              </w:rPr>
            </w:pPr>
          </w:p>
        </w:tc>
        <w:tc>
          <w:tcPr>
            <w:tcW w:w="4900" w:type="dxa"/>
            <w:vAlign w:val="bottom"/>
          </w:tcPr>
          <w:p>
            <w:pPr>
              <w:jc w:val="right"/>
              <w:ind w:right="34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77"/>
        </w:trPr>
        <w:tc>
          <w:tcPr>
            <w:tcW w:w="32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accrued expenses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June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25,361</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10,113</w:t>
            </w:r>
          </w:p>
        </w:tc>
        <w:tc>
          <w:tcPr>
            <w:tcW w:w="40" w:type="dxa"/>
            <w:vAlign w:val="bottom"/>
            <w:tcBorders>
              <w:bottom w:val="single" w:sz="8" w:color="CCEEFF"/>
            </w:tcBorders>
          </w:tcPr>
          <w:p>
            <w:pPr>
              <w:spacing w:after="0"/>
              <w:rPr>
                <w:sz w:val="18"/>
                <w:szCs w:val="18"/>
                <w:color w:val="auto"/>
              </w:rPr>
            </w:pPr>
          </w:p>
        </w:tc>
      </w:tr>
      <w:tr>
        <w:trPr>
          <w:trHeight w:val="217"/>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35,474</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ind w:left="620" w:right="4200" w:hanging="617"/>
        <w:spacing w:after="0" w:line="569" w:lineRule="auto"/>
        <w:tabs>
          <w:tab w:leader="none" w:pos="26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Funds Held for Clients and Corporate Investments </w:t>
      </w:r>
      <w:r>
        <w:rPr>
          <w:rFonts w:ascii="Arial" w:cs="Arial" w:eastAsia="Arial" w:hAnsi="Arial"/>
          <w:sz w:val="16"/>
          <w:szCs w:val="16"/>
          <w:color w:val="auto"/>
        </w:rPr>
        <w:t>Investments consist of the following as of March 31, 2018:</w:t>
      </w:r>
    </w:p>
    <w:tbl>
      <w:tblPr>
        <w:tblLayout w:type="fixed"/>
        <w:tblInd w:w="0" w:type="dxa"/>
        <w:tblCellMar>
          <w:top w:w="0" w:type="dxa"/>
          <w:left w:w="0" w:type="dxa"/>
          <w:bottom w:w="0" w:type="dxa"/>
          <w:right w:w="0" w:type="dxa"/>
        </w:tblCellMar>
      </w:tblPr>
      <w:tr>
        <w:trPr>
          <w:trHeight w:val="150"/>
        </w:trPr>
        <w:tc>
          <w:tcPr>
            <w:tcW w:w="5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ind w:right="54"/>
              <w:spacing w:after="0" w:line="15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74"/>
              <w:spacing w:after="0" w:line="150"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4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Type of Issue</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unrealized</w:t>
            </w:r>
          </w:p>
        </w:tc>
        <w:tc>
          <w:tcPr>
            <w:tcW w:w="1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71"/>
        </w:trPr>
        <w:tc>
          <w:tcPr>
            <w:tcW w:w="54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 cash and cash equivalents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$ 1,272,771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1,272,767</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33,958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33,793</w:t>
            </w:r>
          </w:p>
        </w:tc>
        <w:tc>
          <w:tcPr>
            <w:tcW w:w="0" w:type="dxa"/>
            <w:vAlign w:val="bottom"/>
          </w:tcPr>
          <w:p>
            <w:pPr>
              <w:spacing w:after="0"/>
              <w:rPr>
                <w:sz w:val="1"/>
                <w:szCs w:val="1"/>
                <w:color w:val="auto"/>
              </w:rPr>
            </w:pPr>
          </w:p>
        </w:tc>
      </w:tr>
      <w:tr>
        <w:trPr>
          <w:trHeight w:val="230"/>
        </w:trPr>
        <w:tc>
          <w:tcPr>
            <w:tcW w:w="54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29,165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29,149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11,976</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75,164</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74,918</w:t>
            </w:r>
          </w:p>
        </w:tc>
        <w:tc>
          <w:tcPr>
            <w:tcW w:w="0" w:type="dxa"/>
            <w:vAlign w:val="bottom"/>
          </w:tcPr>
          <w:p>
            <w:pPr>
              <w:spacing w:after="0"/>
              <w:rPr>
                <w:sz w:val="1"/>
                <w:szCs w:val="1"/>
                <w:color w:val="auto"/>
              </w:rPr>
            </w:pPr>
          </w:p>
        </w:tc>
      </w:tr>
      <w:tr>
        <w:trPr>
          <w:trHeight w:val="217"/>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$ 1,347,935</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1,347,685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Funds held for clients’ cash and cash equivalents included demand deposit accounts, commercial paper and money market funds as of March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Classification of investments on the consolidated balance sheets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March 31,</w:t>
            </w:r>
          </w:p>
        </w:tc>
      </w:tr>
      <w:tr>
        <w:trPr>
          <w:trHeight w:val="171"/>
        </w:trPr>
        <w:tc>
          <w:tcPr>
            <w:tcW w:w="80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1,347,522</w:t>
            </w:r>
          </w:p>
        </w:tc>
      </w:tr>
      <w:tr>
        <w:trPr>
          <w:trHeight w:val="216"/>
        </w:trPr>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17"/>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1,347,685</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Available-for-sale securities that have been in an unrealized loss position for a period of less than 12 months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had fair market values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7"/>
              </w:rPr>
              <w:t>losses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31,231</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27,291</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11,976</w:t>
            </w:r>
          </w:p>
        </w:tc>
        <w:tc>
          <w:tcPr>
            <w:tcW w:w="0" w:type="dxa"/>
            <w:vAlign w:val="bottom"/>
          </w:tcPr>
          <w:p>
            <w:pPr>
              <w:spacing w:after="0"/>
              <w:rPr>
                <w:sz w:val="1"/>
                <w:szCs w:val="1"/>
                <w:color w:val="auto"/>
              </w:rPr>
            </w:pPr>
          </w:p>
        </w:tc>
      </w:tr>
      <w:tr>
        <w:trPr>
          <w:trHeight w:val="217"/>
        </w:trPr>
        <w:tc>
          <w:tcPr>
            <w:tcW w:w="70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the Company started investing funds held for clients in available-for-sale securities during the nine months ended March 31, 2018, no securities have been in an unrealized loss position for more than 12 months. The Company did not make any material reclassification adjustments out of accumulated other comprehensive loss for realized gains and losses on the sale of available-for-sale securities during the three or nine months ended March 31, 2018. Gross realized gains and losses on the sale of available-for-sale securities were immaterial for both the three and nine months ended March 31, 2018.</w:t>
      </w:r>
    </w:p>
    <w:p>
      <w:pPr>
        <w:spacing w:after="0" w:line="15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regularly reviews the composition of its portfolio to determine the existence of other-than-temporary-impairment (“OTTI”). The Company did not recognize any OTTI charges in accumulated other comprehensive loss during the three or nine months ended March 31, 2018, nor does it believe that OTTI exists in 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portfolio as of March 31, 2018. The Company plans to retain the securities in an unrealized loss position for a period of time sufficient enough to recover their amortized cost basis or until their maturity date. The Company believes that the unrealized losses on these securities were not due to deterioration in credit risk. The securities in an unrealized loss position held an A-1 rating or better as of March 31, 2018.</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Expected maturities of available-for-sale securities at March 31, 2018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53,036</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One year to two years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20,275</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Two years to three years</w:t>
            </w: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7"/>
        </w:trPr>
        <w:tc>
          <w:tcPr>
            <w:tcW w:w="708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75,164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74,918</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Company applies the fair value measurement and disclosure provisions of ASC 820, Fair Value Measurements and Disclosures, and ASU 2011-04, </w:t>
      </w:r>
      <w:r>
        <w:rPr>
          <w:rFonts w:ascii="Arial" w:cs="Arial" w:eastAsia="Arial" w:hAnsi="Arial"/>
          <w:sz w:val="18"/>
          <w:szCs w:val="18"/>
          <w:i w:val="1"/>
          <w:iCs w:val="1"/>
          <w:color w:val="auto"/>
        </w:rPr>
        <w:t>Fair Value Measurement (Topic 820): Amendments to Achieve Common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 Requirements in U.S. GAAP and IFRS</w:t>
      </w:r>
      <w:r>
        <w:rPr>
          <w:rFonts w:ascii="Arial" w:cs="Arial" w:eastAsia="Arial" w:hAnsi="Arial"/>
          <w:sz w:val="18"/>
          <w:szCs w:val="18"/>
          <w:color w:val="auto"/>
        </w:rPr>
        <w:t>. Fair value is defined as the price that would be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9" w:lineRule="exact"/>
        <w:rPr>
          <w:sz w:val="20"/>
          <w:szCs w:val="20"/>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980" w:right="40" w:hanging="329"/>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1" w:lineRule="exact"/>
        <w:rPr>
          <w:sz w:val="20"/>
          <w:szCs w:val="20"/>
          <w:color w:val="auto"/>
        </w:rPr>
      </w:pPr>
    </w:p>
    <w:p>
      <w:pPr>
        <w:jc w:val="both"/>
        <w:ind w:right="520" w:firstLine="648"/>
        <w:spacing w:after="0" w:line="279" w:lineRule="auto"/>
        <w:rPr>
          <w:sz w:val="20"/>
          <w:szCs w:val="20"/>
          <w:color w:val="auto"/>
        </w:rPr>
      </w:pPr>
      <w:r>
        <w:rPr>
          <w:rFonts w:ascii="Arial" w:cs="Arial" w:eastAsia="Arial" w:hAnsi="Arial"/>
          <w:sz w:val="17"/>
          <w:szCs w:val="17"/>
          <w:color w:val="auto"/>
        </w:rPr>
        <w:t>The Company measures any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2017 and March 31, 2018 based upon the short-term nature of these assets and liabilities.</w:t>
      </w:r>
    </w:p>
    <w:p>
      <w:pPr>
        <w:spacing w:after="0" w:line="171"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asset-backed securities, corporate bonds and commercial paper.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March 31, 2018, and the Company did not transfer assets between Levels during the nine months ended March 31, 2018. The Company did not hold any marketable securities at June 30,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level for the funds held for clients’ cash and cash equivalents and available-for-sale securities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6"/>
              </w:rPr>
              <w:t>Level 2</w:t>
            </w: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Level 3</w:t>
            </w: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 cash and cash equivalents</w:t>
            </w: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$ 1,272,767</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$ 1,247,604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33,793</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29,149</w:t>
            </w: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29,149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11,976</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23"/>
        </w:trPr>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104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74,918</w:t>
            </w:r>
          </w:p>
        </w:tc>
        <w:tc>
          <w:tcPr>
            <w:tcW w:w="6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74,918</w:t>
            </w:r>
          </w:p>
        </w:tc>
        <w:tc>
          <w:tcPr>
            <w:tcW w:w="1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17"/>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0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$ 1,347,685</w:t>
            </w:r>
          </w:p>
        </w:tc>
        <w:tc>
          <w:tcPr>
            <w:tcW w:w="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$ 1,247,604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100,081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Benefit Plans</w:t>
      </w:r>
    </w:p>
    <w:p>
      <w:pPr>
        <w:spacing w:after="0" w:line="229" w:lineRule="exact"/>
        <w:rPr>
          <w:sz w:val="20"/>
          <w:szCs w:val="20"/>
          <w:color w:val="auto"/>
        </w:rPr>
      </w:pPr>
    </w:p>
    <w:p>
      <w:pPr>
        <w:ind w:left="300" w:hanging="297"/>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(the “Evergreen provision”).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 The Company’s board of directors determined that, effective January 1, 2018, it would increase the number of common shares in reserve for issuance under the 2014 Plan by 2,367 shares.</w:t>
      </w:r>
    </w:p>
    <w:p>
      <w:pPr>
        <w:spacing w:after="0" w:line="16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March 31, 2018, the Company had 13,883 shares allocated to the plans, of which 3,848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nine months ended March 31, 2018:</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80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January 1, 2018 Evergreen provision increase</w:t>
            </w:r>
          </w:p>
        </w:tc>
        <w:tc>
          <w:tcPr>
            <w:tcW w:w="900" w:type="dxa"/>
            <w:vAlign w:val="bottom"/>
          </w:tcPr>
          <w:p>
            <w:pPr>
              <w:jc w:val="right"/>
              <w:spacing w:after="0"/>
              <w:rPr>
                <w:sz w:val="20"/>
                <w:szCs w:val="20"/>
                <w:color w:val="auto"/>
              </w:rPr>
            </w:pPr>
            <w:r>
              <w:rPr>
                <w:rFonts w:ascii="Arial" w:cs="Arial" w:eastAsia="Arial" w:hAnsi="Arial"/>
                <w:sz w:val="18"/>
                <w:szCs w:val="18"/>
                <w:color w:val="auto"/>
              </w:rPr>
              <w:t>2,367</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RSUs granted</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(884)</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Shares removed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r>
      <w:tr>
        <w:trPr>
          <w:trHeight w:val="217"/>
        </w:trPr>
        <w:tc>
          <w:tcPr>
            <w:tcW w:w="8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March 31, 2018</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 and comprehensive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4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Cost of revenue – non-recurring</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1,107</w:t>
            </w:r>
          </w:p>
        </w:tc>
        <w:tc>
          <w:tcPr>
            <w:tcW w:w="4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4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2,742</w:t>
            </w:r>
          </w:p>
        </w:tc>
        <w:tc>
          <w:tcPr>
            <w:tcW w:w="4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10,278</w:t>
            </w:r>
          </w:p>
        </w:tc>
        <w:tc>
          <w:tcPr>
            <w:tcW w:w="40" w:type="dxa"/>
            <w:vAlign w:val="bottom"/>
            <w:shd w:val="clear" w:color="auto" w:fill="CCEEFF"/>
          </w:tcPr>
          <w:p>
            <w:pPr>
              <w:spacing w:after="0"/>
              <w:rPr>
                <w:sz w:val="18"/>
                <w:szCs w:val="18"/>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6,247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7,467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18,695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21,891</w:t>
            </w: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the Company capitalized $540 and $550 of stock-based compensation expense in its capitalized internal-use software costs in the three months ended March 31, 2017 and 2018, respectively, and $1,412 and $1,454 in the nine months ended March 31, 2017 and 2018, respectively.</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were no stock options granted during the nine months ended March 31, 2017 or 2018. The table below presents stock option activity during the nine months ended March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price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Options forfeited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18.41</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March 31,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76,638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March 31, 2018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73,936</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line="203" w:lineRule="exact"/>
              <w:rPr>
                <w:sz w:val="20"/>
                <w:szCs w:val="20"/>
                <w:color w:val="auto"/>
              </w:rPr>
            </w:pPr>
            <w:r>
              <w:rPr>
                <w:rFonts w:ascii="Arial" w:cs="Arial" w:eastAsia="Arial" w:hAnsi="Arial"/>
                <w:sz w:val="18"/>
                <w:szCs w:val="18"/>
                <w:color w:val="auto"/>
              </w:rPr>
              <w:t>Options vested and expected to vest at March 31, 2018</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1,970</w:t>
            </w:r>
          </w:p>
        </w:tc>
        <w:tc>
          <w:tcPr>
            <w:tcW w:w="100" w:type="dxa"/>
            <w:vAlign w:val="bottom"/>
          </w:tcPr>
          <w:p>
            <w:pPr>
              <w:spacing w:after="0"/>
              <w:rPr>
                <w:sz w:val="18"/>
                <w:szCs w:val="18"/>
                <w:color w:val="auto"/>
              </w:rPr>
            </w:pP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12.36</w:t>
            </w:r>
          </w:p>
        </w:tc>
        <w:tc>
          <w:tcPr>
            <w:tcW w:w="180" w:type="dxa"/>
            <w:vAlign w:val="bottom"/>
          </w:tcPr>
          <w:p>
            <w:pPr>
              <w:spacing w:after="0"/>
              <w:rPr>
                <w:sz w:val="18"/>
                <w:szCs w:val="18"/>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5.25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76,563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total intrinsic value of options exercised was $2,813 and $3,758 during the three months ended March 31, 2017 and 2018, respectively, and $8,352 and $31,013 during the nine months ended March 31, 2017 and 2018, respectively. At March 31, 2018, there was $262 of total unrecognized compensation cost, net of estimated forfeitures, related to unvested stock options granted under the Plan. That cost is expected to be recognized over a weighted average period of 0.90 years.</w:t>
      </w:r>
    </w:p>
    <w:p>
      <w:pPr>
        <w:spacing w:after="0" w:line="154"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four years following the grant date. Certain RSU awards have time-based vesting conditions while other RSU awards are based on the achievement of certain revenue and Adjusted EBITDA targets in future fiscal years. The following table represents restricted stock unit activity during the nine months ended March 31,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2017</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884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41.73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March 31, 2018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line="203" w:lineRule="exact"/>
              <w:rPr>
                <w:sz w:val="20"/>
                <w:szCs w:val="20"/>
                <w:color w:val="auto"/>
              </w:rPr>
            </w:pPr>
            <w:r>
              <w:rPr>
                <w:rFonts w:ascii="Arial" w:cs="Arial" w:eastAsia="Arial" w:hAnsi="Arial"/>
                <w:sz w:val="18"/>
                <w:szCs w:val="18"/>
                <w:color w:val="auto"/>
              </w:rPr>
              <w:t>RSUs expected to vest at March 31, 2018</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1,635</w:t>
            </w:r>
          </w:p>
        </w:tc>
        <w:tc>
          <w:tcPr>
            <w:tcW w:w="220" w:type="dxa"/>
            <w:vAlign w:val="bottom"/>
          </w:tcPr>
          <w:p>
            <w:pPr>
              <w:spacing w:after="0"/>
              <w:rPr>
                <w:sz w:val="18"/>
                <w:szCs w:val="18"/>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At March 31, 2018, there was $34,872 of total unrecognized compensation cost, net of estimated forfeitures, related to unvested restricted stock units granted. That cost is expected to be recognized over a weighted average period of 1.86 years.</w:t>
      </w:r>
    </w:p>
    <w:p>
      <w:pPr>
        <w:spacing w:after="0" w:line="181" w:lineRule="exact"/>
        <w:rPr>
          <w:sz w:val="20"/>
          <w:szCs w:val="20"/>
          <w:color w:val="auto"/>
        </w:rPr>
      </w:pPr>
    </w:p>
    <w:p>
      <w:pPr>
        <w:ind w:left="300" w:hanging="297"/>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73"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As of March 31, 2018, a total of 1,166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 The Company’s board of directors determined that, effective January 1, 2018, it would increase the number of common shares in reserve for issuance under the ESPP by 395 shares.</w:t>
      </w:r>
    </w:p>
    <w:p>
      <w:pPr>
        <w:spacing w:after="0" w:line="17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Company issued 53 shares upon the completion of its six-month offering period ending November 15, 2017. The Company recorded compensation expense attributable to the ESPP of $304 and $323 for the three months ended March 31, 2017 and 2018, respectively, and $967 and $971 for the nine months ended March 31, 2017 and 2018, respectively, which is included in the summary of stock-based compensation expense above. The grant date fair value of the ESPP offering periods was estimated using the following weighted average assumptions: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3"/>
              </w:rPr>
              <w:t>Nine Months Ended</w:t>
            </w:r>
          </w:p>
        </w:tc>
      </w:tr>
      <w:tr>
        <w:trPr>
          <w:trHeight w:val="215"/>
        </w:trPr>
        <w:tc>
          <w:tcPr>
            <w:tcW w:w="6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March 31,</w:t>
            </w:r>
          </w:p>
        </w:tc>
      </w:tr>
      <w:tr>
        <w:trPr>
          <w:trHeight w:val="210"/>
        </w:trPr>
        <w:tc>
          <w:tcPr>
            <w:tcW w:w="68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38.9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- 53.4 %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28.3 - 39.1 %</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Expected term (years)</w:t>
            </w: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r>
      <w:tr>
        <w:trPr>
          <w:trHeight w:val="230"/>
        </w:trPr>
        <w:tc>
          <w:tcPr>
            <w:tcW w:w="686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0.28</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- 0.61 %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1.02 - 1.35 %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maintains a 401(k) plan with a matching provision that covers all eligible employees. The Company matches 50% of employees’ contributions up to 8% of their gross pay. Contributions were $1,055 and $1,276 for the three months ended March 31, 2017 and 2018, respectively, and $2,732 and $3,382 for the nine months ended March 31, 2017 and 2018, respectively.</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5" w:right="13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Per Share</w:t>
      </w:r>
    </w:p>
    <w:p>
      <w:pPr>
        <w:spacing w:after="0" w:line="229"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Basic net income per common share is computed using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common shares outstanding during the period. Diluted net income per share is computed using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following table presents the calculation of basic and diluted net income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3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14,801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39,177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10,562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40,151</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Denominator:</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shares used in computing net income per share: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51,447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52,615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51,353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52,334</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5380" w:type="dxa"/>
            <w:vAlign w:val="bottom"/>
          </w:tcPr>
          <w:p>
            <w:pPr>
              <w:ind w:left="220"/>
              <w:spacing w:after="0" w:line="201" w:lineRule="exact"/>
              <w:rPr>
                <w:sz w:val="20"/>
                <w:szCs w:val="20"/>
                <w:color w:val="auto"/>
              </w:rPr>
            </w:pPr>
            <w:r>
              <w:rPr>
                <w:rFonts w:ascii="Arial" w:cs="Arial" w:eastAsia="Arial" w:hAnsi="Arial"/>
                <w:sz w:val="18"/>
                <w:szCs w:val="18"/>
                <w:color w:val="auto"/>
                <w:w w:val="97"/>
              </w:rPr>
              <w:t>Employee stock options, restricted stock units and employee stock</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 plan shares</w:t>
            </w:r>
          </w:p>
        </w:tc>
        <w:tc>
          <w:tcPr>
            <w:tcW w:w="3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40" w:type="dxa"/>
            <w:vAlign w:val="bottom"/>
            <w:tcBorders>
              <w:bottom w:val="single" w:sz="8" w:color="CCEEFF"/>
            </w:tcBorders>
          </w:tcPr>
          <w:p>
            <w:pPr>
              <w:spacing w:after="0"/>
              <w:rPr>
                <w:sz w:val="20"/>
                <w:szCs w:val="20"/>
                <w:color w:val="auto"/>
              </w:rPr>
            </w:pPr>
          </w:p>
        </w:tc>
      </w:tr>
      <w:tr>
        <w:trPr>
          <w:trHeight w:val="210"/>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54,002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55,030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53,987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54,717</w:t>
            </w: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0.77</w:t>
            </w:r>
          </w:p>
        </w:tc>
        <w:tc>
          <w:tcPr>
            <w:tcW w:w="40" w:type="dxa"/>
            <w:vAlign w:val="bottom"/>
          </w:tcPr>
          <w:p>
            <w:pPr>
              <w:spacing w:after="0"/>
              <w:rPr>
                <w:sz w:val="18"/>
                <w:szCs w:val="18"/>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following table summarizes the outstanding employee stock options and restricted stock units as of the balance sheet date that were excluded from the diluted per share calculation for the periods presented because to include them would have been anti-dilutive:</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5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13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6220" w:type="dxa"/>
            <w:vAlign w:val="bottom"/>
          </w:tcPr>
          <w:p>
            <w:pPr>
              <w:spacing w:after="0"/>
              <w:rPr>
                <w:sz w:val="14"/>
                <w:szCs w:val="14"/>
                <w:color w:val="auto"/>
              </w:rPr>
            </w:pPr>
          </w:p>
        </w:tc>
        <w:tc>
          <w:tcPr>
            <w:tcW w:w="15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13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62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Borders>
              <w:bottom w:val="single" w:sz="8" w:color="CCEEFF"/>
            </w:tcBorders>
          </w:tcPr>
          <w:p>
            <w:pPr>
              <w:spacing w:after="0"/>
              <w:rPr>
                <w:sz w:val="18"/>
                <w:szCs w:val="18"/>
                <w:color w:val="auto"/>
              </w:rPr>
            </w:pPr>
          </w:p>
        </w:tc>
      </w:tr>
      <w:tr>
        <w:trPr>
          <w:trHeight w:val="217"/>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Company’s quarterly provision for income taxes through December 31, 2017 and fiscal 2017 was based on the discrete effective tax rate method. In the third quarter of fiscal 2018 upon the release of the valuation allowance, the Company utilized the annual effective tax rate method to record the tax expense for pre-tax income through March 31, 2018.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recorded income tax expense (benefit) of $32 and $(18,497) for the three months ended March 31, 2017 and 2018 respectively, and $164 and $(18,573) for the nine months ended March 31, 2017 and 2018, respectively. The tax benefit of $18,497 recorded during the three months ended March 31, 2018 primarily includes the release of substantially all of the Company’s valuation allowance of $22,585 and the excess tax benefits recorded from employee stock exercises of $10,973 during fiscal 2018 partially offset by the estimated impacts of the Tax Cuts and Jobs Act of 2017 (the “Act”) of $9,817 and the Company’s tax provision on income before income taxes of $5,260. The Company’s effective tax rates for the three and nine months ended March 31, 2017 differed from statutory rates primarily due to the existence of a valuation allowance recorded against the preponderance of the net deferred tax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effective tax rates for the three and nine months ended March 31, 2018 differed from statutory rates primarily due to the release of substantially all of the Company’s valuation allowance and excess tax benefits from employee stock exercises partially offset by the estimated impacts of the Act.</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Company reviews the likelihood that it will realize the benefit of its deferred tax assets and, therefore, the need for a valuation allowance on a quarterly basis. The Company established a valuation allowance in fiscal 2014 on all of its net deferred tax assets except for deferred tax liabilities associated with indefinite-lived intangible assets, given that the Company determined that it was more likely than not that the Company would not recognize the benefits of its net operating loss carryforwards prior to their expiration. The Company has continued to record a valuation allowance through the first six months of fiscal 2018. In the third quarter of fiscal 2018, management concluded that all of the valuation allowance for the Company’s U.S. federal deferred tax assets and substantially all state deferred tax assets was no longer needed. This is primarily due to three years’ cumulative income through the third quarter of fiscal 2018 and the forecast of future taxable income. As of March 31, 2018, based on the evaluation of positive and negative evidence, management believes it is more likely than not that the net deferred tax assets will be realized for all federal and substantially all state purposes. Accordingly, management has recognized a non-recurring tax benefit of $22,585 related to the valuation allowance reversal. As of March 31, 2018, the Company continued to maintain a valuation allowance of $541 for state tax benefits. Such assessment may change in the future as further evidence becomes available.</w:t>
      </w:r>
    </w:p>
    <w:p>
      <w:pPr>
        <w:spacing w:after="0" w:line="17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December 22, 2017, the Tax Cuts and Jobs Act of 2017 was signed into law. Over the long term, the Company generally expects to benefit from the lower statutory rates provided by the Act and is currently assessing all other aspects relevant to the Company. The Company operates solely in the United States; therefore, the international provisions of the Act do not apply. In accordance with ASC 740, during the second quarter the Company modified its current federal statutory rate for the year to account for the rate change. At that time, the Company recorded a $156 income tax benefit attributable to the rate change effect on the deferred tax liability for indefinite-lived intangible assets.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response to the Act, the SEC subsequently issued SAB 118 (later codified into ASU 2018-05) allowing registrants to record provisional amounts to the extent a company’s accounting for the Act is incomplete. Pursuant to disclosure under SAB 118, revaluation of deferred taxes as of December 22, 2017 is incomplete. The Company has recorded provisional estimated tax expense of $9,817 related to the rate change and additional limitations on executive compensation. As the Company released substantially all of its valuation allowance against its deferred taxes, this expense is included in the third quarter income tax (benefit). As of March 31, 2018, the Company is still analyzing the impact of the Act with respect to the appropriate period of reversal of deferred tax assets and liabilities, as well as additional limitations on the deductibility of executive compensation and on certain meals and entertainment expenses. The Company needs additional time to finalize its estimates and expects additional guidance to be issued by the Internal Revenue Service before the assessment of the impact of the Act can be completed. The Company currently expects to complete its accounting for the effects of the Act by the end of December 2018.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5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2"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If general economic conditions were to deteriorate, including declines 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private sector employment growth and business productivity, increases in the unemployment rate and changes in interest rates, we may experience delays in our sales cycles, increased pressure from prospective customers to offer discounts and increased pressure from existing customers to renew expiring recurring revenue agreements for lower amounts. Our interest income on funds held for clients continues to be adversely impacted by historically low interest rates.</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operating subsidiary Paylocity Corporation was incorporated in July 1997 as an Illinois corporation. In November 2013, we formed Paylocity Holding Corporation, a Delaware corporation, of which Paylocity Corporation is a wholly owned subsidiary. Paylocity Holding Corporation had no operations prior to the restructuring. Our business operations, excluding interest earned on certain cash holdings and expenses associated with certain secondary stock offerings, have historically been, and are currently, conducted by Paylocity Corporation, and the financial results presented herein are entirely attributable to the results of its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$86.4 million for the three months ended March 31, 2017 to $108.6 million for the three months ended March 31, 2018, representing a 26% year-over-year increase. Recurring revenue increased from $215.1 million for the nine months ended March 31, 2017 to $270.6 million for the nine months ended March 31, 2018, representing a 26% year-over-year increase. Recurring revenue represented 96% of total revenue during both the three and nine months ended March 31, 2017 and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Fees from New Clients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define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percentage of recurring fees from new clients was 42% and 36% for the three months ended March 31, 2017 and 2018, respectively, and 37% and 32% for the nine months ended March 31, 2017 and 2018,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7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or cash provided by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6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define Adjusted Gross Profit as gross profit before amortization of capitalized internal-use software costs, stock-based compensation expense and employer payroll taxes related to stock releases and option exercises. We define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income (loss) before interest expense, income tax expense (benefit), depreciation and amortization expense, stock-based compensation expense, employer payroll taxes related to stock releases and option exercises and acquisition-related costs. The table below sets forth our Adjusted Gross Profit, Adjusted Recurring Gross Profit and Adjusted EBITDA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11"/>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w w:val="99"/>
              </w:rPr>
              <w:t>March 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gridSpan w:val="10"/>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6"/>
          </w:tcPr>
          <w:p>
            <w:pPr>
              <w:jc w:val="center"/>
              <w:ind w:right="5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8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w w:val="92"/>
              </w:rPr>
              <w:t>$61,651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$79,567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$ 142,145</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184,299</w:t>
            </w:r>
          </w:p>
        </w:tc>
        <w:tc>
          <w:tcPr>
            <w:tcW w:w="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840" w:type="dxa"/>
            <w:vAlign w:val="bottom"/>
            <w:gridSpan w:val="6"/>
          </w:tcPr>
          <w:p>
            <w:pPr>
              <w:ind w:left="220"/>
              <w:spacing w:after="0"/>
              <w:rPr>
                <w:sz w:val="20"/>
                <w:szCs w:val="20"/>
                <w:color w:val="auto"/>
              </w:rPr>
            </w:pPr>
            <w:r>
              <w:rPr>
                <w:rFonts w:ascii="Arial" w:cs="Arial" w:eastAsia="Arial" w:hAnsi="Arial"/>
                <w:sz w:val="18"/>
                <w:szCs w:val="18"/>
                <w:color w:val="auto"/>
                <w:w w:val="92"/>
              </w:rPr>
              <w:t>$67,006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$86,012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4"/>
              </w:rPr>
              <w:t>$ 160,741</w:t>
            </w:r>
          </w:p>
        </w:tc>
        <w:tc>
          <w:tcPr>
            <w:tcW w:w="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206,462</w:t>
            </w:r>
          </w:p>
        </w:tc>
        <w:tc>
          <w:tcPr>
            <w:tcW w:w="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w w:val="92"/>
              </w:rPr>
              <w:t>$26,833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$35,765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44,674</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65,602</w:t>
            </w:r>
          </w:p>
        </w:tc>
        <w:tc>
          <w:tcPr>
            <w:tcW w:w="40" w:type="dxa"/>
            <w:vAlign w:val="bottom"/>
            <w:shd w:val="clear" w:color="auto" w:fill="CCEEFF"/>
          </w:tcPr>
          <w:p>
            <w:pPr>
              <w:spacing w:after="0"/>
              <w:rPr>
                <w:sz w:val="18"/>
                <w:szCs w:val="18"/>
                <w:color w:val="auto"/>
              </w:rPr>
            </w:pPr>
          </w:p>
        </w:tc>
      </w:tr>
      <w:tr>
        <w:trPr>
          <w:trHeight w:val="355"/>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13"/>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11"/>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9"/>
          </w:tcPr>
          <w:p>
            <w:pPr>
              <w:jc w:val="center"/>
              <w:ind w:right="17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6"/>
          </w:tcPr>
          <w:p>
            <w:pPr>
              <w:jc w:val="center"/>
              <w:ind w:right="13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Gross profit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4"/>
              </w:rPr>
              <w:t>$ 58,191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4"/>
              </w:rPr>
              <w:t>$ 74,755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133,125</w:t>
            </w:r>
          </w:p>
        </w:tc>
        <w:tc>
          <w:tcPr>
            <w:tcW w:w="60" w:type="dxa"/>
            <w:vAlign w:val="bottom"/>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170,460</w:t>
            </w:r>
          </w:p>
        </w:tc>
        <w:tc>
          <w:tcPr>
            <w:tcW w:w="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40" w:type="dxa"/>
            <w:vAlign w:val="bottom"/>
            <w:shd w:val="clear" w:color="auto" w:fill="CCEEFF"/>
          </w:tcPr>
          <w:p>
            <w:pPr>
              <w:spacing w:after="0"/>
              <w:rPr>
                <w:sz w:val="18"/>
                <w:szCs w:val="18"/>
                <w:color w:val="auto"/>
              </w:rPr>
            </w:pP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 related to</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stock releases and option exercises</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1,157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3,481</w:t>
            </w:r>
          </w:p>
        </w:tc>
        <w:tc>
          <w:tcPr>
            <w:tcW w:w="40" w:type="dxa"/>
            <w:vAlign w:val="bottom"/>
          </w:tcPr>
          <w:p>
            <w:pPr>
              <w:spacing w:after="0"/>
              <w:rPr>
                <w:sz w:val="20"/>
                <w:szCs w:val="20"/>
                <w:color w:val="auto"/>
              </w:rPr>
            </w:pPr>
          </w:p>
        </w:tc>
      </w:tr>
      <w:tr>
        <w:trPr>
          <w:trHeight w:val="217"/>
        </w:trPr>
        <w:tc>
          <w:tcPr>
            <w:tcW w:w="5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$ 61,651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$ 79,567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142,145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184,299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55"/>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13"/>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11"/>
          </w:tcPr>
          <w:p>
            <w:pPr>
              <w:ind w:left="20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5460" w:type="dxa"/>
            <w:vAlign w:val="bottom"/>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14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9"/>
          </w:tcPr>
          <w:p>
            <w:pPr>
              <w:jc w:val="center"/>
              <w:ind w:right="19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6"/>
          </w:tcPr>
          <w:p>
            <w:pPr>
              <w:jc w:val="center"/>
              <w:ind w:right="13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198"/>
        </w:trPr>
        <w:tc>
          <w:tcPr>
            <w:tcW w:w="5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from Total Recurring Revenues to Adjusted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Gross Profit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1"/>
              </w:rPr>
              <w:t>$ 86,355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6"/>
          </w:tcPr>
          <w:p>
            <w:pPr>
              <w:jc w:val="right"/>
              <w:spacing w:after="0"/>
              <w:rPr>
                <w:sz w:val="20"/>
                <w:szCs w:val="20"/>
                <w:color w:val="auto"/>
              </w:rPr>
            </w:pPr>
            <w:r>
              <w:rPr>
                <w:rFonts w:ascii="Arial" w:cs="Arial" w:eastAsia="Arial" w:hAnsi="Arial"/>
                <w:sz w:val="18"/>
                <w:szCs w:val="18"/>
                <w:color w:val="auto"/>
                <w:w w:val="93"/>
              </w:rPr>
              <w:t>$108,576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215,070</w:t>
            </w:r>
          </w:p>
        </w:tc>
        <w:tc>
          <w:tcPr>
            <w:tcW w:w="60" w:type="dxa"/>
            <w:vAlign w:val="bottom"/>
          </w:tcPr>
          <w:p>
            <w:pPr>
              <w:spacing w:after="0"/>
              <w:rPr>
                <w:sz w:val="18"/>
                <w:szCs w:val="18"/>
                <w:color w:val="auto"/>
              </w:rPr>
            </w:pPr>
          </w:p>
        </w:tc>
        <w:tc>
          <w:tcPr>
            <w:tcW w:w="2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270,562</w:t>
            </w:r>
          </w:p>
        </w:tc>
        <w:tc>
          <w:tcPr>
            <w:tcW w:w="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22,436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26,982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62,255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76,711</w:t>
            </w:r>
          </w:p>
        </w:tc>
        <w:tc>
          <w:tcPr>
            <w:tcW w:w="40" w:type="dxa"/>
            <w:vAlign w:val="bottom"/>
            <w:shd w:val="clear" w:color="auto" w:fill="CCEEFF"/>
          </w:tcPr>
          <w:p>
            <w:pPr>
              <w:spacing w:after="0"/>
              <w:rPr>
                <w:sz w:val="18"/>
                <w:szCs w:val="18"/>
                <w:color w:val="auto"/>
              </w:rPr>
            </w:pPr>
          </w:p>
        </w:tc>
      </w:tr>
      <w:tr>
        <w:trPr>
          <w:trHeight w:val="210"/>
        </w:trPr>
        <w:tc>
          <w:tcPr>
            <w:tcW w:w="5460" w:type="dxa"/>
            <w:vAlign w:val="bottom"/>
          </w:tcPr>
          <w:p>
            <w:pPr>
              <w:ind w:left="220"/>
              <w:spacing w:after="0"/>
              <w:rPr>
                <w:sz w:val="20"/>
                <w:szCs w:val="20"/>
                <w:color w:val="auto"/>
              </w:rPr>
            </w:pPr>
            <w:r>
              <w:rPr>
                <w:rFonts w:ascii="Arial" w:cs="Arial" w:eastAsia="Arial" w:hAnsi="Arial"/>
                <w:sz w:val="18"/>
                <w:szCs w:val="18"/>
                <w:color w:val="auto"/>
              </w:rPr>
              <w:t>Recurring gross profit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63,919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81,594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152,815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193,851</w:t>
            </w:r>
          </w:p>
        </w:tc>
        <w:tc>
          <w:tcPr>
            <w:tcW w:w="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40" w:type="dxa"/>
            <w:vAlign w:val="bottom"/>
            <w:shd w:val="clear" w:color="auto" w:fill="CCEEFF"/>
          </w:tcPr>
          <w:p>
            <w:pPr>
              <w:spacing w:after="0"/>
              <w:rPr>
                <w:sz w:val="18"/>
                <w:szCs w:val="18"/>
                <w:color w:val="auto"/>
              </w:rPr>
            </w:pP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 related to</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releases and option exercises</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514</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763</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40" w:type="dxa"/>
            <w:vAlign w:val="bottom"/>
            <w:tcBorders>
              <w:bottom w:val="single" w:sz="8" w:color="CCEEFF"/>
            </w:tcBorders>
          </w:tcPr>
          <w:p>
            <w:pPr>
              <w:spacing w:after="0"/>
              <w:rPr>
                <w:sz w:val="20"/>
                <w:szCs w:val="20"/>
                <w:color w:val="auto"/>
              </w:rPr>
            </w:pPr>
          </w:p>
        </w:tc>
      </w:tr>
      <w:tr>
        <w:trPr>
          <w:trHeight w:val="217"/>
        </w:trPr>
        <w:tc>
          <w:tcPr>
            <w:tcW w:w="5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Recurring Gross Profit</w:t>
            </w: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$ 67,006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6"/>
              </w:rPr>
              <w:t>$ 86,012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160,741</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206,462</w:t>
            </w:r>
          </w:p>
        </w:tc>
        <w:tc>
          <w:tcPr>
            <w:tcW w:w="40" w:type="dxa"/>
            <w:vAlign w:val="bottom"/>
            <w:tcBorders>
              <w:bottom w:val="single" w:sz="8" w:color="CCEEFF"/>
            </w:tcBorders>
            <w:shd w:val="clear" w:color="auto" w:fill="CCEEFF"/>
          </w:tcPr>
          <w:p>
            <w:pPr>
              <w:spacing w:after="0"/>
              <w:rPr>
                <w:sz w:val="18"/>
                <w:szCs w:val="18"/>
                <w:color w:val="auto"/>
              </w:rPr>
            </w:pPr>
          </w:p>
        </w:tc>
      </w:tr>
      <w:tr>
        <w:trPr>
          <w:trHeight w:val="355"/>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5460" w:type="dxa"/>
            <w:vAlign w:val="bottom"/>
          </w:tcPr>
          <w:p>
            <w:pPr>
              <w:spacing w:after="0"/>
              <w:rPr>
                <w:sz w:val="12"/>
                <w:szCs w:val="12"/>
                <w:color w:val="auto"/>
              </w:rPr>
            </w:pPr>
          </w:p>
        </w:tc>
        <w:tc>
          <w:tcPr>
            <w:tcW w:w="280" w:type="dxa"/>
            <w:vAlign w:val="bottom"/>
            <w:gridSpan w:val="3"/>
          </w:tcPr>
          <w:p>
            <w:pPr>
              <w:spacing w:after="0"/>
              <w:rPr>
                <w:sz w:val="12"/>
                <w:szCs w:val="12"/>
                <w:color w:val="auto"/>
              </w:rPr>
            </w:pPr>
          </w:p>
        </w:tc>
        <w:tc>
          <w:tcPr>
            <w:tcW w:w="560" w:type="dxa"/>
            <w:vAlign w:val="bottom"/>
            <w:tcBorders>
              <w:top w:val="single" w:sz="8" w:color="auto"/>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11"/>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8"/>
          </w:tcPr>
          <w:p>
            <w:pPr>
              <w:jc w:val="right"/>
              <w:spacing w:after="0"/>
              <w:rPr>
                <w:sz w:val="20"/>
                <w:szCs w:val="20"/>
                <w:color w:val="auto"/>
              </w:rPr>
            </w:pPr>
            <w:r>
              <w:rPr>
                <w:rFonts w:ascii="Arial" w:cs="Arial" w:eastAsia="Arial" w:hAnsi="Arial"/>
                <w:sz w:val="18"/>
                <w:szCs w:val="18"/>
                <w:color w:val="auto"/>
              </w:rPr>
              <w:t>$14,801</w:t>
            </w: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$ 39,177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$ 10,562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40,151</w:t>
            </w:r>
          </w:p>
        </w:tc>
        <w:tc>
          <w:tcPr>
            <w:tcW w:w="4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8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80" w:type="dxa"/>
            <w:vAlign w:val="bottom"/>
            <w:gridSpan w:val="8"/>
            <w:shd w:val="clear" w:color="auto" w:fill="CCEEFF"/>
          </w:tcPr>
          <w:p>
            <w:pPr>
              <w:jc w:val="right"/>
              <w:ind w:right="60"/>
              <w:spacing w:after="0"/>
              <w:rPr>
                <w:sz w:val="20"/>
                <w:szCs w:val="20"/>
                <w:color w:val="auto"/>
              </w:rPr>
            </w:pPr>
            <w:r>
              <w:rPr>
                <w:rFonts w:ascii="Arial" w:cs="Arial" w:eastAsia="Arial" w:hAnsi="Arial"/>
                <w:sz w:val="18"/>
                <w:szCs w:val="18"/>
                <w:color w:val="auto"/>
              </w:rPr>
              <w:t>(18,497)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(18,573)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gridSpan w:val="8"/>
          </w:tcPr>
          <w:p>
            <w:pPr>
              <w:jc w:val="right"/>
              <w:spacing w:after="0"/>
              <w:rPr>
                <w:sz w:val="20"/>
                <w:szCs w:val="20"/>
                <w:color w:val="auto"/>
              </w:rPr>
            </w:pPr>
            <w:r>
              <w:rPr>
                <w:rFonts w:ascii="Arial" w:cs="Arial" w:eastAsia="Arial" w:hAnsi="Arial"/>
                <w:sz w:val="18"/>
                <w:szCs w:val="18"/>
                <w:color w:val="auto"/>
              </w:rPr>
              <w:t>5,582</w:t>
            </w: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7,202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14,685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20,640</w:t>
            </w:r>
          </w:p>
        </w:tc>
        <w:tc>
          <w:tcPr>
            <w:tcW w:w="40" w:type="dxa"/>
            <w:vAlign w:val="bottom"/>
          </w:tcPr>
          <w:p>
            <w:pPr>
              <w:spacing w:after="0"/>
              <w:rPr>
                <w:sz w:val="18"/>
                <w:szCs w:val="18"/>
                <w:color w:val="auto"/>
              </w:rPr>
            </w:pPr>
          </w:p>
        </w:tc>
      </w:tr>
      <w:tr>
        <w:trPr>
          <w:trHeight w:val="210"/>
        </w:trPr>
        <w:tc>
          <w:tcPr>
            <w:tcW w:w="54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CCEEFF"/>
            </w:tcBorders>
            <w:gridSpan w:val="3"/>
            <w:shd w:val="clear" w:color="auto" w:fill="CCEEFF"/>
          </w:tcPr>
          <w:p>
            <w:pPr>
              <w:spacing w:after="0"/>
              <w:rPr>
                <w:sz w:val="18"/>
                <w:szCs w:val="18"/>
                <w:color w:val="auto"/>
              </w:rPr>
            </w:pPr>
          </w:p>
        </w:tc>
        <w:tc>
          <w:tcPr>
            <w:tcW w:w="60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20,415</w:t>
            </w:r>
          </w:p>
        </w:tc>
        <w:tc>
          <w:tcPr>
            <w:tcW w:w="6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27,882</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25,411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42,218</w:t>
            </w:r>
          </w:p>
        </w:tc>
        <w:tc>
          <w:tcPr>
            <w:tcW w:w="40" w:type="dxa"/>
            <w:vAlign w:val="bottom"/>
            <w:tcBorders>
              <w:top w:val="single" w:sz="8" w:color="CCEEFF"/>
            </w:tcBorders>
            <w:shd w:val="clear" w:color="auto" w:fill="CCEEFF"/>
          </w:tcPr>
          <w:p>
            <w:pPr>
              <w:spacing w:after="0"/>
              <w:rPr>
                <w:sz w:val="18"/>
                <w:szCs w:val="18"/>
                <w:color w:val="auto"/>
              </w:rPr>
            </w:pPr>
          </w:p>
        </w:tc>
      </w:tr>
      <w:tr>
        <w:trPr>
          <w:trHeight w:val="202"/>
        </w:trPr>
        <w:tc>
          <w:tcPr>
            <w:tcW w:w="546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 related to</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stock releases and option exercises</w:t>
            </w:r>
          </w:p>
        </w:tc>
        <w:tc>
          <w:tcPr>
            <w:tcW w:w="880" w:type="dxa"/>
            <w:vAlign w:val="bottom"/>
            <w:gridSpan w:val="8"/>
          </w:tcPr>
          <w:p>
            <w:pPr>
              <w:jc w:val="right"/>
              <w:spacing w:after="0"/>
              <w:rPr>
                <w:sz w:val="20"/>
                <w:szCs w:val="20"/>
                <w:color w:val="auto"/>
              </w:rPr>
            </w:pPr>
            <w:r>
              <w:rPr>
                <w:rFonts w:ascii="Arial" w:cs="Arial" w:eastAsia="Arial" w:hAnsi="Arial"/>
                <w:sz w:val="18"/>
                <w:szCs w:val="18"/>
                <w:color w:val="auto"/>
              </w:rPr>
              <w:t>6,418</w:t>
            </w: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7,692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19,263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23,193</w:t>
            </w:r>
          </w:p>
        </w:tc>
        <w:tc>
          <w:tcPr>
            <w:tcW w:w="4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0" w:type="dxa"/>
            <w:vAlign w:val="bottom"/>
            <w:shd w:val="clear" w:color="auto" w:fill="CCEEFF"/>
          </w:tcPr>
          <w:p>
            <w:pPr>
              <w:spacing w:after="0"/>
              <w:rPr>
                <w:sz w:val="18"/>
                <w:szCs w:val="18"/>
                <w:color w:val="auto"/>
              </w:rPr>
            </w:pPr>
          </w:p>
        </w:tc>
      </w:tr>
      <w:tr>
        <w:trPr>
          <w:trHeight w:val="217"/>
        </w:trPr>
        <w:tc>
          <w:tcPr>
            <w:tcW w:w="5460" w:type="dxa"/>
            <w:vAlign w:val="bottom"/>
          </w:tcPr>
          <w:p>
            <w:pPr>
              <w:ind w:left="220"/>
              <w:spacing w:after="0"/>
              <w:rPr>
                <w:sz w:val="20"/>
                <w:szCs w:val="20"/>
                <w:color w:val="auto"/>
              </w:rPr>
            </w:pPr>
            <w:r>
              <w:rPr>
                <w:rFonts w:ascii="Arial" w:cs="Arial" w:eastAsia="Arial" w:hAnsi="Arial"/>
                <w:sz w:val="18"/>
                <w:szCs w:val="18"/>
                <w:color w:val="auto"/>
              </w:rPr>
              <w:t>Adjusted EBITDA</w:t>
            </w:r>
          </w:p>
        </w:tc>
        <w:tc>
          <w:tcPr>
            <w:tcW w:w="280" w:type="dxa"/>
            <w:vAlign w:val="bottom"/>
            <w:gridSpan w:val="3"/>
          </w:tcPr>
          <w:p>
            <w:pPr>
              <w:spacing w:after="0"/>
              <w:rPr>
                <w:sz w:val="18"/>
                <w:szCs w:val="18"/>
                <w:color w:val="auto"/>
              </w:rPr>
            </w:pPr>
          </w:p>
        </w:tc>
        <w:tc>
          <w:tcPr>
            <w:tcW w:w="6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26,833</w:t>
            </w:r>
          </w:p>
        </w:tc>
        <w:tc>
          <w:tcPr>
            <w:tcW w:w="60" w:type="dxa"/>
            <w:vAlign w:val="bottom"/>
            <w:tcBorders>
              <w:top w:val="single" w:sz="8" w:color="auto"/>
              <w:bottom w:val="single" w:sz="8" w:color="auto"/>
            </w:tcBorders>
            <w:gridSpan w:val="2"/>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$ 35,765</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44,674</w:t>
            </w:r>
          </w:p>
        </w:tc>
        <w:tc>
          <w:tcPr>
            <w:tcW w:w="18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65,602</w:t>
            </w:r>
          </w:p>
        </w:tc>
        <w:tc>
          <w:tcPr>
            <w:tcW w:w="40" w:type="dxa"/>
            <w:vAlign w:val="bottom"/>
          </w:tcPr>
          <w:p>
            <w:pPr>
              <w:spacing w:after="0"/>
              <w:rPr>
                <w:sz w:val="18"/>
                <w:szCs w:val="18"/>
                <w:color w:val="auto"/>
              </w:rPr>
            </w:pPr>
          </w:p>
        </w:tc>
      </w:tr>
      <w:tr>
        <w:trPr>
          <w:trHeight w:val="648"/>
        </w:trPr>
        <w:tc>
          <w:tcPr>
            <w:tcW w:w="5460" w:type="dxa"/>
            <w:vAlign w:val="bottom"/>
          </w:tcPr>
          <w:p>
            <w:pPr>
              <w:ind w:left="444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77"/>
        </w:trPr>
        <w:tc>
          <w:tcPr>
            <w:tcW w:w="5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59" w:firstLine="648"/>
        <w:spacing w:after="0" w:line="270"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fees attributable to our cloud-based payroll and HCM solutions accounted for 95% and 94% of our total revenues during both the three and nine months ended March 31, 2017 and 2018, respectively.</w:t>
      </w:r>
    </w:p>
    <w:p>
      <w:pPr>
        <w:spacing w:after="0" w:line="182" w:lineRule="exact"/>
        <w:rPr>
          <w:sz w:val="20"/>
          <w:szCs w:val="20"/>
          <w:color w:val="auto"/>
        </w:rPr>
      </w:pPr>
    </w:p>
    <w:p>
      <w:pPr>
        <w:ind w:right="79" w:firstLine="648"/>
        <w:spacing w:after="0" w:line="302" w:lineRule="auto"/>
        <w:rPr>
          <w:sz w:val="20"/>
          <w:szCs w:val="20"/>
          <w:color w:val="auto"/>
        </w:rPr>
      </w:pPr>
      <w:r>
        <w:rPr>
          <w:rFonts w:ascii="Arial" w:cs="Arial" w:eastAsia="Arial" w:hAnsi="Arial"/>
          <w:sz w:val="16"/>
          <w:szCs w:val="16"/>
          <w:color w:val="auto"/>
        </w:rPr>
        <w:t>The majority of 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19"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19" w:firstLine="648"/>
        <w:spacing w:after="0" w:line="272" w:lineRule="auto"/>
        <w:rPr>
          <w:sz w:val="20"/>
          <w:szCs w:val="20"/>
          <w:color w:val="auto"/>
        </w:rPr>
      </w:pPr>
      <w:r>
        <w:rPr>
          <w:rFonts w:ascii="Arial" w:cs="Arial" w:eastAsia="Arial" w:hAnsi="Arial"/>
          <w:sz w:val="17"/>
          <w:szCs w:val="17"/>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39" w:firstLine="648"/>
        <w:spacing w:after="0" w:line="273" w:lineRule="auto"/>
        <w:rPr>
          <w:sz w:val="20"/>
          <w:szCs w:val="20"/>
          <w:color w:val="auto"/>
        </w:rPr>
      </w:pPr>
      <w:r>
        <w:rPr>
          <w:rFonts w:ascii="Arial" w:cs="Arial" w:eastAsia="Arial" w:hAnsi="Arial"/>
          <w:sz w:val="17"/>
          <w:szCs w:val="17"/>
          <w:color w:val="auto"/>
        </w:rPr>
        <w:t>Cost of recurring revenues is generally expensed as incurred, and includes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amortization of capitalized internal-use software costs, delivery costs and computing costs, as well as bank fees associated with client fund transfers. We expect to realize cost efficiencies over the long term as our business scales, resulting in improved operating leverage and increased margins.</w:t>
      </w:r>
    </w:p>
    <w:p>
      <w:pPr>
        <w:spacing w:after="0" w:line="178" w:lineRule="exact"/>
        <w:rPr>
          <w:sz w:val="20"/>
          <w:szCs w:val="20"/>
          <w:color w:val="auto"/>
        </w:rPr>
      </w:pPr>
    </w:p>
    <w:p>
      <w:pPr>
        <w:ind w:right="179" w:firstLine="648"/>
        <w:spacing w:after="0" w:line="259"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$2.6 million and $3.7 million of capitalized internal-use software costs during the three months ended March 31, 2017 and 2018, respectively, and $6.2 million and $10.4 million of capitalized internal-use software costs during the nine months ended March 31, 2017 and 2018, respectively.</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Cost of implementation services and other consists primarily of employee-related expenses, including wages, stock-based compensation, bonuses and benefits involved in the implementation of our payroll and other HCM solutions for new clients. Implementation costs are generally fixed in the short-term and exceed associated implementation revenue charged to each client. We intend to grow our business through the addition of new clients, and doing so will require increased personnel to implement our solutions. Therefore, our cost of implementation services and other is expected to increase in absolute dollars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and are typically paid within two months after the start of service. Bonuses paid to sales staff for attainment of certain performance criteria are accrued in the fiscal year in which they are earned and are subsequently paid annually in the first fiscal quarter of the following year.</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nine months ended March 31, 2017 and 2018.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14"/>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6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54"/>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4"/>
                <w:szCs w:val="14"/>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4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4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5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$ 11,485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$ 12,966</w:t>
            </w:r>
          </w:p>
        </w:tc>
        <w:tc>
          <w:tcPr>
            <w:tcW w:w="4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Expensed portion of research and development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9,058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21,492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27,227</w:t>
            </w:r>
          </w:p>
        </w:tc>
        <w:tc>
          <w:tcPr>
            <w:tcW w:w="40" w:type="dxa"/>
            <w:vAlign w:val="bottom"/>
          </w:tcPr>
          <w:p>
            <w:pPr>
              <w:spacing w:after="0"/>
              <w:rPr>
                <w:sz w:val="18"/>
                <w:szCs w:val="18"/>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11,303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13,929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$ 32,977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$ 40,193</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Other income (expense) generally consists of interest income related to interest received on our cash and cash equivalents, net of losses on disposal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ind w:left="1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ind w:left="4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960" w:type="dxa"/>
            <w:vAlign w:val="bottom"/>
          </w:tcPr>
          <w:p>
            <w:pPr>
              <w:spacing w:after="0"/>
              <w:rPr>
                <w:sz w:val="12"/>
                <w:szCs w:val="12"/>
                <w:color w:val="auto"/>
              </w:rPr>
            </w:pPr>
          </w:p>
        </w:tc>
        <w:tc>
          <w:tcPr>
            <w:tcW w:w="1680" w:type="dxa"/>
            <w:vAlign w:val="bottom"/>
            <w:gridSpan w:val="2"/>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271"/>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$85,314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105,857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212,581</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264,443</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6,119</w:t>
            </w:r>
          </w:p>
        </w:tc>
        <w:tc>
          <w:tcPr>
            <w:tcW w:w="4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1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86,355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108,576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215,070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270,562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3,918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10,349</w:t>
            </w:r>
          </w:p>
        </w:tc>
        <w:tc>
          <w:tcPr>
            <w:tcW w:w="4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90,273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113,407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223,949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280,911</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Cost of revenues: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22,436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76,711</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9,646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28,569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33,740</w:t>
            </w:r>
          </w:p>
        </w:tc>
        <w:tc>
          <w:tcPr>
            <w:tcW w:w="4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90,824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110,451</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6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58,191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74,755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133,125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170,460</w:t>
            </w:r>
          </w:p>
        </w:tc>
        <w:tc>
          <w:tcPr>
            <w:tcW w:w="4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21,242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56,988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68,782</w:t>
            </w: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27,227</w:t>
            </w:r>
          </w:p>
        </w:tc>
        <w:tc>
          <w:tcPr>
            <w:tcW w:w="4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15,100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43,915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53,338</w:t>
            </w:r>
          </w:p>
        </w:tc>
        <w:tc>
          <w:tcPr>
            <w:tcW w:w="4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43,311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122,395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149,347</w:t>
            </w:r>
          </w:p>
        </w:tc>
        <w:tc>
          <w:tcPr>
            <w:tcW w:w="40" w:type="dxa"/>
            <w:vAlign w:val="bottom"/>
            <w:tcBorders>
              <w:top w:val="single" w:sz="8" w:color="CCEEFF"/>
            </w:tcBorders>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14,880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21,113</w:t>
            </w: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40" w:type="dxa"/>
            <w:vAlign w:val="bottom"/>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1600" w:type="dxa"/>
            <w:vAlign w:val="bottom"/>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14,833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21,578</w:t>
            </w:r>
          </w:p>
        </w:tc>
        <w:tc>
          <w:tcPr>
            <w:tcW w:w="4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(18,497)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(18,573)</w:t>
            </w: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14,801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40,151</w:t>
            </w:r>
          </w:p>
        </w:tc>
        <w:tc>
          <w:tcPr>
            <w:tcW w:w="40" w:type="dxa"/>
            <w:vAlign w:val="bottom"/>
          </w:tcPr>
          <w:p>
            <w:pPr>
              <w:spacing w:after="0"/>
              <w:rPr>
                <w:sz w:val="18"/>
                <w:szCs w:val="18"/>
                <w:color w:val="auto"/>
              </w:rPr>
            </w:pPr>
          </w:p>
        </w:tc>
      </w:tr>
      <w:tr>
        <w:trPr>
          <w:trHeight w:val="648"/>
        </w:trPr>
        <w:tc>
          <w:tcPr>
            <w:tcW w:w="3960" w:type="dxa"/>
            <w:vAlign w:val="bottom"/>
          </w:tcPr>
          <w:p>
            <w:pPr>
              <w:spacing w:after="0"/>
              <w:rPr>
                <w:sz w:val="24"/>
                <w:szCs w:val="24"/>
                <w:color w:val="auto"/>
              </w:rPr>
            </w:pPr>
          </w:p>
        </w:tc>
        <w:tc>
          <w:tcPr>
            <w:tcW w:w="1600" w:type="dxa"/>
            <w:vAlign w:val="bottom"/>
          </w:tcPr>
          <w:p>
            <w:pPr>
              <w:jc w:val="right"/>
              <w:ind w:right="85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77"/>
        </w:trPr>
        <w:tc>
          <w:tcPr>
            <w:tcW w:w="3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Three Months</w:t>
            </w:r>
          </w:p>
        </w:tc>
        <w:tc>
          <w:tcPr>
            <w:tcW w:w="1580" w:type="dxa"/>
            <w:vAlign w:val="bottom"/>
            <w:gridSpan w:val="9"/>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6"/>
          </w:tcPr>
          <w:p>
            <w:pPr>
              <w:jc w:val="right"/>
              <w:ind w:right="10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6"/>
          </w:tcPr>
          <w:p>
            <w:pPr>
              <w:jc w:val="center"/>
              <w:ind w:left="217"/>
              <w:spacing w:after="0"/>
              <w:rPr>
                <w:sz w:val="20"/>
                <w:szCs w:val="20"/>
                <w:color w:val="auto"/>
              </w:rPr>
            </w:pPr>
            <w:r>
              <w:rPr>
                <w:rFonts w:ascii="Arial" w:cs="Arial" w:eastAsia="Arial" w:hAnsi="Arial"/>
                <w:sz w:val="14"/>
                <w:szCs w:val="14"/>
                <w:b w:val="1"/>
                <w:bCs w:val="1"/>
                <w:color w:val="auto"/>
                <w:w w:val="99"/>
              </w:rPr>
              <w:t>March 31,</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7"/>
          </w:tcPr>
          <w:p>
            <w:pPr>
              <w:jc w:val="right"/>
              <w:ind w:right="57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4"/>
          </w:tcPr>
          <w:p>
            <w:pPr>
              <w:jc w:val="right"/>
              <w:ind w:right="3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gridSpan w:val="3"/>
          </w:tcPr>
          <w:p>
            <w:pPr>
              <w:jc w:val="right"/>
              <w:ind w:right="1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2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color w:val="auto"/>
                <w:w w:val="97"/>
              </w:rPr>
              <w:t>Comparison of Three Months Ended March 31, 2017 and 2018</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10"/>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7"/>
            <w:vMerge w:val="restart"/>
          </w:tcPr>
          <w:p>
            <w:pPr>
              <w:jc w:val="right"/>
              <w:ind w:right="5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6"/>
          </w:tcPr>
          <w:p>
            <w:pPr>
              <w:jc w:val="center"/>
              <w:ind w:left="157"/>
              <w:spacing w:after="0"/>
              <w:rPr>
                <w:sz w:val="20"/>
                <w:szCs w:val="20"/>
                <w:color w:val="auto"/>
              </w:rPr>
            </w:pPr>
            <w:r>
              <w:rPr>
                <w:rFonts w:ascii="Arial" w:cs="Arial" w:eastAsia="Arial" w:hAnsi="Arial"/>
                <w:sz w:val="14"/>
                <w:szCs w:val="14"/>
                <w:b w:val="1"/>
                <w:bCs w:val="1"/>
                <w:color w:val="auto"/>
                <w:w w:val="95"/>
              </w:rPr>
              <w:t>March 31,</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17"/>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85,314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$ 105,857</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$ 20,543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95 %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94 %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16"/>
        </w:trPr>
        <w:tc>
          <w:tcPr>
            <w:tcW w:w="51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Recurring fees for the three months ended March 31, 2018 increased by $20.5 million, or 24%, to $105.9 million from $85.3 million for the three months ended March 31, 2017. Recurring fees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Interest income on funds held for clients for the three months ended March 31, 2018 increased by $1.7 million, or 161% to $2.7 million from $1.0 million for the three months ended March 31, 2017. Interest income on funds held for clients increased primarily as a result of higher average interest rates, increased average daily balances for funds held due to the addition of new clients to our client base and interest income from investing a portion of our funds held for clients in marketable securities starting in July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Implementation services and other revenue for the three months ended March 31, 2018 increased by $0.9 million, or 23%, to $4.8 million from $3.9 million for the three months ended March 31, 2017 primarily due to the changes in the number of new clients and product mix quarter over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22,436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26,982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9,646</w:t>
            </w:r>
          </w:p>
        </w:tc>
        <w:tc>
          <w:tcPr>
            <w:tcW w:w="20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11,670</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2,024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Percentage of implementation services and other</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recurring revenues for the three months ended March 31, 2018 increased by $4.5 million, or 20%,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$27.0 million from $22.4 million for the three months ended March 31, 2017. Cost of recurring revenues increased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continued growth of our business, in particular, $2.2 million in additional employee-related costs resulting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additional personnel necessary to provide services to new and existing clients, $1.1 million in increased internal-use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software amortization and $1.0 million in delivery and other processing-related fees. Recurring gross margin remained flat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2017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Cost of implementation services and other for the three months ended March 31, 2018 increased by $2.0 million, or 21%, to $11.7 million from $9.6 million for the three months ended March 31, 2017. The increase in cost of implementation services and other was primarily the result of $1.9 million of additional employee-related costs resulting from additional personnel necessary to implement our solutions for new and existing clients during the three months ended March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9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7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$ 21,242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$ 26,004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$ 4,762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700" w:type="dxa"/>
            <w:vAlign w:val="bottom"/>
            <w:gridSpan w:val="3"/>
          </w:tcPr>
          <w:p>
            <w:pPr>
              <w:jc w:val="right"/>
              <w:ind w:right="60"/>
              <w:spacing w:after="0"/>
              <w:rPr>
                <w:sz w:val="20"/>
                <w:szCs w:val="20"/>
                <w:color w:val="auto"/>
              </w:rPr>
            </w:pPr>
            <w:r>
              <w:rPr>
                <w:rFonts w:ascii="Arial" w:cs="Arial" w:eastAsia="Arial" w:hAnsi="Arial"/>
                <w:sz w:val="18"/>
                <w:szCs w:val="18"/>
                <w:color w:val="auto"/>
              </w:rPr>
              <w:t>23 %</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23 %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Sales and marketing expenses for the three months ended March 31, 2018 increased by $4.8 million, or 22%, to $26.0 million from $21.2 million for the three months ended March 31, 2017. The increase in sales and marketing expense was primarily the result of $4.3 million of additional employee-related costs from the expansion of our sales team (including management, sales engineers, direct sales, sales administration and sales lead generation support).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0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6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6,969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9,058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2,089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3280" w:type="dxa"/>
            <w:vAlign w:val="bottom"/>
            <w:gridSpan w:val="3"/>
          </w:tcPr>
          <w:p>
            <w:pPr>
              <w:jc w:val="right"/>
              <w:ind w:right="100"/>
              <w:spacing w:after="0"/>
              <w:rPr>
                <w:sz w:val="20"/>
                <w:szCs w:val="20"/>
                <w:color w:val="auto"/>
              </w:rPr>
            </w:pPr>
            <w:r>
              <w:rPr>
                <w:rFonts w:ascii="Arial" w:cs="Arial" w:eastAsia="Arial" w:hAnsi="Arial"/>
                <w:sz w:val="18"/>
                <w:szCs w:val="18"/>
                <w:color w:val="auto"/>
              </w:rPr>
              <w:t>8 %</w:t>
            </w:r>
          </w:p>
        </w:tc>
        <w:tc>
          <w:tcPr>
            <w:tcW w:w="2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3240" w:type="dxa"/>
            <w:vAlign w:val="bottom"/>
          </w:tcPr>
          <w:p>
            <w:pPr>
              <w:spacing w:after="0"/>
              <w:rPr>
                <w:sz w:val="24"/>
                <w:szCs w:val="24"/>
                <w:color w:val="auto"/>
              </w:rPr>
            </w:pPr>
          </w:p>
        </w:tc>
        <w:tc>
          <w:tcPr>
            <w:tcW w:w="2320" w:type="dxa"/>
            <w:vAlign w:val="bottom"/>
          </w:tcPr>
          <w:p>
            <w:pPr>
              <w:jc w:val="right"/>
              <w:ind w:right="850"/>
              <w:spacing w:after="0"/>
              <w:rPr>
                <w:sz w:val="20"/>
                <w:szCs w:val="20"/>
                <w:color w:val="auto"/>
              </w:rPr>
            </w:pPr>
            <w:r>
              <w:rPr>
                <w:rFonts w:ascii="Arial" w:cs="Arial" w:eastAsia="Arial" w:hAnsi="Arial"/>
                <w:sz w:val="18"/>
                <w:szCs w:val="18"/>
                <w:color w:val="auto"/>
              </w:rPr>
              <w:t>25</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3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Research and development expenses for the three months ended March 31, 2018 increased by $2.1 million, or 30%, to $9.1 million from $7.0 million for the three months ended March 31, 2017. The increase in research and development expense was primarily the result of $2.3 million of additional employee-related costs related to additional development personnel, partially offset by higher quarter-over-quarter capitalized internal-use software costs of $0.5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9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$ 15,100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$ 19,228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$ 4,128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700" w:type="dxa"/>
            <w:vAlign w:val="bottom"/>
            <w:gridSpan w:val="3"/>
          </w:tcPr>
          <w:p>
            <w:pPr>
              <w:jc w:val="right"/>
              <w:ind w:right="60"/>
              <w:spacing w:after="0"/>
              <w:rPr>
                <w:sz w:val="20"/>
                <w:szCs w:val="20"/>
                <w:color w:val="auto"/>
              </w:rPr>
            </w:pPr>
            <w:r>
              <w:rPr>
                <w:rFonts w:ascii="Arial" w:cs="Arial" w:eastAsia="Arial" w:hAnsi="Arial"/>
                <w:sz w:val="18"/>
                <w:szCs w:val="18"/>
                <w:color w:val="auto"/>
              </w:rPr>
              <w:t>17 %</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17 %</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General and administrative expenses for the three months ended March 31, 2018 increased by $4.1 million, or 27%, to $19.2 million from $15.1 million for the three months ended March 31, 2017. The increase in general and administrative expense was primarily the result of $1.7 million of additional employee-related costs related to additional personnel, $1.0 million in additional stock-based compensation associated with our equity incentive plan and $0.8 million of increased occupancy costs incurred as a result of our requirement for additional office space.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261"/>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w w:val="98"/>
              </w:rPr>
              <w:t>Percentage of total revenues</w:t>
            </w:r>
          </w:p>
        </w:tc>
        <w:tc>
          <w:tcPr>
            <w:tcW w:w="3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ind w:left="280"/>
              <w:spacing w:after="0"/>
              <w:rPr>
                <w:sz w:val="20"/>
                <w:szCs w:val="20"/>
                <w:color w:val="auto"/>
              </w:rPr>
            </w:pPr>
            <w:r>
              <w:rPr>
                <w:rFonts w:ascii="Arial" w:cs="Arial" w:eastAsia="Arial" w:hAnsi="Arial"/>
                <w:sz w:val="18"/>
                <w:szCs w:val="18"/>
                <w:color w:val="auto"/>
              </w:rPr>
              <w:t>Not Meaningful</w:t>
            </w:r>
          </w:p>
        </w:tc>
        <w:tc>
          <w:tcPr>
            <w:tcW w:w="3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Other income (expense) for the three months ended March 31, 2018 increased by $0.3 million as compared to the three months ended March 31, 2017. The increase in other income (expense) was primarily due to higher average interest rates as well as higher average daily balances for our cash and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4"/>
                <w:szCs w:val="14"/>
                <w:color w:val="auto"/>
              </w:rPr>
            </w:pPr>
          </w:p>
        </w:tc>
        <w:tc>
          <w:tcPr>
            <w:tcW w:w="108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Income tax expense (benefit)</w:t>
            </w:r>
          </w:p>
        </w:tc>
        <w:tc>
          <w:tcPr>
            <w:tcW w:w="3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(18,497)</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(18,529)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w w:val="98"/>
              </w:rPr>
              <w:t>Percentage of total revenues</w:t>
            </w:r>
          </w:p>
        </w:tc>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0 %</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17 %</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ind w:left="280"/>
              <w:spacing w:after="0"/>
              <w:rPr>
                <w:sz w:val="20"/>
                <w:szCs w:val="20"/>
                <w:color w:val="auto"/>
              </w:rPr>
            </w:pPr>
            <w:r>
              <w:rPr>
                <w:rFonts w:ascii="Arial" w:cs="Arial" w:eastAsia="Arial" w:hAnsi="Arial"/>
                <w:sz w:val="18"/>
                <w:szCs w:val="18"/>
                <w:color w:val="auto"/>
              </w:rPr>
              <w:t>Not Meaningful</w:t>
            </w: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difference in income tax expense (benefit) of $18.5 million for the three months ended March 31, 2018 as compared to the three months ended March 31, 2017 was primarily due to $22.6 million tax benefit from the release of the valuation allowance and $11.0 million from excess tax benefits realized from employee stock exercises, partially offset by $9.8 million of estimated tax expense from the Tax Cuts and Jobs Act of 2017 and the provision for income taxes through March 31, 2018 of $5.3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Nine Months Ended March 31, 2017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7"/>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212,581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$ 264,443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$ 51,862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200" w:type="dxa"/>
            <w:vAlign w:val="bottom"/>
          </w:tcPr>
          <w:p>
            <w:pPr>
              <w:jc w:val="center"/>
              <w:ind w:right="1630"/>
              <w:spacing w:after="0"/>
              <w:rPr>
                <w:sz w:val="20"/>
                <w:szCs w:val="20"/>
                <w:color w:val="auto"/>
              </w:rPr>
            </w:pPr>
            <w:r>
              <w:rPr>
                <w:rFonts w:ascii="Arial" w:cs="Arial" w:eastAsia="Arial" w:hAnsi="Arial"/>
                <w:sz w:val="18"/>
                <w:szCs w:val="18"/>
                <w:color w:val="auto"/>
                <w:w w:val="88"/>
              </w:rPr>
              <w:t>Percentage of total revenues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95 %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94 %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16"/>
        </w:trPr>
        <w:tc>
          <w:tcPr>
            <w:tcW w:w="4200" w:type="dxa"/>
            <w:vAlign w:val="bottom"/>
          </w:tcPr>
          <w:p>
            <w:pPr>
              <w:jc w:val="center"/>
              <w:ind w:right="1630"/>
              <w:spacing w:after="0"/>
              <w:rPr>
                <w:sz w:val="20"/>
                <w:szCs w:val="20"/>
                <w:color w:val="auto"/>
              </w:rPr>
            </w:pPr>
            <w:r>
              <w:rPr>
                <w:rFonts w:ascii="Arial" w:cs="Arial" w:eastAsia="Arial" w:hAnsi="Arial"/>
                <w:sz w:val="18"/>
                <w:szCs w:val="18"/>
                <w:color w:val="auto"/>
                <w:w w:val="88"/>
              </w:rPr>
              <w:t>Percentage of total revenues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jc w:val="center"/>
              <w:ind w:right="1630"/>
              <w:spacing w:after="0"/>
              <w:rPr>
                <w:sz w:val="20"/>
                <w:szCs w:val="20"/>
                <w:color w:val="auto"/>
              </w:rPr>
            </w:pPr>
            <w:r>
              <w:rPr>
                <w:rFonts w:ascii="Arial" w:cs="Arial" w:eastAsia="Arial" w:hAnsi="Arial"/>
                <w:sz w:val="18"/>
                <w:szCs w:val="18"/>
                <w:color w:val="auto"/>
                <w:w w:val="90"/>
              </w:rPr>
              <w:t>Implementation services and other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10,349</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0"/>
        </w:trPr>
        <w:tc>
          <w:tcPr>
            <w:tcW w:w="4200" w:type="dxa"/>
            <w:vAlign w:val="bottom"/>
          </w:tcPr>
          <w:p>
            <w:pPr>
              <w:jc w:val="center"/>
              <w:ind w:right="1630"/>
              <w:spacing w:after="0"/>
              <w:rPr>
                <w:sz w:val="20"/>
                <w:szCs w:val="20"/>
                <w:color w:val="auto"/>
              </w:rPr>
            </w:pPr>
            <w:r>
              <w:rPr>
                <w:rFonts w:ascii="Arial" w:cs="Arial" w:eastAsia="Arial" w:hAnsi="Arial"/>
                <w:sz w:val="18"/>
                <w:szCs w:val="18"/>
                <w:color w:val="auto"/>
                <w:w w:val="88"/>
              </w:rPr>
              <w:t>Percentage of total revenues</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Recurring fees for the nine months ended March 31, 2018 increased by $51.9 million, or 24%, to $264.4 million from $212.6 million for the nine months ended March 31, 2017. Recurring fees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Interest income on funds held for clients for the nine months ended March 31, 2018 increased by $3.6 million, or 146% to $6.1 million from $2.5 million for the nine months ended March 31, 2017. Interest income on funds held for clients increased primarily as a result of higher average interest rates, increased average daily balances for funds held due to the addition of new clients to our client base and interest income from investing a portion of our funds held for clients in marketable securities starting in July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Implementation services and other revenue for the nine months ended March 31, 2018 increased by $1.5 million, or 17%, to $10.3 million from $8.9 million for the nine months ended March 31, 2017 primarily due to the changes in the number of new clients and product mix period over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Nine Months Ended</w:t>
            </w:r>
          </w:p>
        </w:tc>
        <w:tc>
          <w:tcPr>
            <w:tcW w:w="60" w:type="dxa"/>
            <w:vAlign w:val="bottom"/>
          </w:tcPr>
          <w:p>
            <w:pPr>
              <w:spacing w:after="0"/>
              <w:rPr>
                <w:sz w:val="14"/>
                <w:szCs w:val="14"/>
                <w:color w:val="auto"/>
              </w:rPr>
            </w:pPr>
          </w:p>
        </w:tc>
        <w:tc>
          <w:tcPr>
            <w:tcW w:w="10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62,255</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$ 76,711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$ 14,456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4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29 %</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28 %</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71 %</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72 %</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28,569</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6"/>
              </w:rPr>
              <w:t>$ 33,740</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5,171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Percentage of implementation services and other</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322 %</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326 %</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recurring revenues for the nine months ended March 31, 2018 increased by $14.5 million, or 23%,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$76.7 million from $62.3 million for the nine months ended March 31, 2017. Cost of recurring revenues increased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continued growth of our business, in particular, $6.1 million in additional employee-related costs resulting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additional personnel necessary to provide services to new and existing clients, $4.2 million in increased internal-use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software amortization and $3.7 million in delivery and other processing-related fees. Recurring gross margin remained flat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March 31, 2017 and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Cost of implementation services and other for the nine months ended March 31, 2018 increased by $5.2 million, or 18%, to $33.7 million from $28.6 million for the nine months ended March 31, 2017. The increase in cost of implementation services and other was primarily the result of $4.5 million of additional employee-related costs resulting from additional personnel necessary to implement our solutions for new and existing clients during the nine months ended March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9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97"/>
              </w:rPr>
              <w:t>Change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9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10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72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$ 56,988</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$ 68,782</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$ 11,794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25 %</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24 %</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Sales and marketing expenses for the nine months ended March 31, 2018 increased by $11.8 million, or 21%, to $68.8 million from $57.0 million for the nine months ended March 31, 2017. The increase in sales and marketing expense was primarily the result of $9.8 million of additional employee-related costs from the expansion of our sales team (including management, sales engineers, direct sales, sales administration and sales lead generation support) and $0.8 million in additional stock-based compensation associated with our equity incentive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$ 21,492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$ 27,227</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$ 5,735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700" w:type="dxa"/>
            <w:vAlign w:val="bottom"/>
            <w:gridSpan w:val="3"/>
          </w:tcPr>
          <w:p>
            <w:pPr>
              <w:jc w:val="right"/>
              <w:ind w:right="60"/>
              <w:spacing w:after="0"/>
              <w:rPr>
                <w:sz w:val="20"/>
                <w:szCs w:val="20"/>
                <w:color w:val="auto"/>
              </w:rPr>
            </w:pPr>
            <w:r>
              <w:rPr>
                <w:rFonts w:ascii="Arial" w:cs="Arial" w:eastAsia="Arial" w:hAnsi="Arial"/>
                <w:sz w:val="18"/>
                <w:szCs w:val="18"/>
                <w:color w:val="auto"/>
              </w:rPr>
              <w:t>10 %</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10 %</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Research and development expenses for the nine months ended March 31, 2018 increased by $5.7 million, or 27%, to $27.2 million from $21.5 million for the nine months ended March 31, 2017. The increase in research and development expense was primarily the result of $6.4 million of additional employee-related costs related to additional development personnel, partially offset by higher year-over-year capitalized internal-use software costs of $1.7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7"/>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9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66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$ 43,915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$ 53,338</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$ 9,423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700" w:type="dxa"/>
            <w:vAlign w:val="bottom"/>
            <w:gridSpan w:val="3"/>
          </w:tcPr>
          <w:p>
            <w:pPr>
              <w:jc w:val="right"/>
              <w:ind w:right="60"/>
              <w:spacing w:after="0"/>
              <w:rPr>
                <w:sz w:val="20"/>
                <w:szCs w:val="20"/>
                <w:color w:val="auto"/>
              </w:rPr>
            </w:pPr>
            <w:r>
              <w:rPr>
                <w:rFonts w:ascii="Arial" w:cs="Arial" w:eastAsia="Arial" w:hAnsi="Arial"/>
                <w:sz w:val="18"/>
                <w:szCs w:val="18"/>
                <w:color w:val="auto"/>
              </w:rPr>
              <w:t>19 %</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19 %</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General and administrative expenses for the nine months ended March 31, 2018 increased by $9.4 million, or 21%, to $53.3 million from $43.9 million for the nine months ended March 31, 2017. The increase in general and administrative expense was primarily the result of $3.8 million of additional employee-related costs related to additional personnel, $2.9 million of increased occupancy costs incurred as a result of our requirement for additional office space and $1.6 million in additional stock-based compensation associated with our equity incentive plan.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left="241"/>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w w:val="98"/>
              </w:rPr>
              <w:t>Percentage of total revenues</w:t>
            </w:r>
          </w:p>
        </w:tc>
        <w:tc>
          <w:tcPr>
            <w:tcW w:w="3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ind w:left="280"/>
              <w:spacing w:after="0"/>
              <w:rPr>
                <w:sz w:val="20"/>
                <w:szCs w:val="20"/>
                <w:color w:val="auto"/>
              </w:rPr>
            </w:pPr>
            <w:r>
              <w:rPr>
                <w:rFonts w:ascii="Arial" w:cs="Arial" w:eastAsia="Arial" w:hAnsi="Arial"/>
                <w:sz w:val="18"/>
                <w:szCs w:val="18"/>
                <w:color w:val="auto"/>
              </w:rPr>
              <w:t>Not Meaningful</w:t>
            </w:r>
          </w:p>
        </w:tc>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40" w:firstLine="648"/>
        <w:spacing w:after="0" w:line="286" w:lineRule="auto"/>
        <w:rPr>
          <w:sz w:val="20"/>
          <w:szCs w:val="20"/>
          <w:color w:val="auto"/>
        </w:rPr>
      </w:pPr>
      <w:r>
        <w:rPr>
          <w:rFonts w:ascii="Arial" w:cs="Arial" w:eastAsia="Arial" w:hAnsi="Arial"/>
          <w:sz w:val="17"/>
          <w:szCs w:val="17"/>
          <w:color w:val="auto"/>
        </w:rPr>
        <w:t>Other income (expense) for the nine months ended March 31, 2018 increased by $0.5 million as compared to the nine months ended March 31, 2017. The increase in other income (expense) was primarily due to higher average interest rates as well as higher average daily balances for our cash and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Nine Months Ended</w:t>
            </w:r>
          </w:p>
        </w:tc>
        <w:tc>
          <w:tcPr>
            <w:tcW w:w="40" w:type="dxa"/>
            <w:vAlign w:val="bottom"/>
          </w:tcPr>
          <w:p>
            <w:pPr>
              <w:spacing w:after="0"/>
              <w:rPr>
                <w:sz w:val="14"/>
                <w:szCs w:val="14"/>
                <w:color w:val="auto"/>
              </w:rPr>
            </w:pPr>
          </w:p>
        </w:tc>
        <w:tc>
          <w:tcPr>
            <w:tcW w:w="110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7"/>
              </w:rPr>
              <w:t>Income tax expense (benefit)</w:t>
            </w:r>
          </w:p>
        </w:tc>
        <w:tc>
          <w:tcPr>
            <w:tcW w:w="3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(18,573)</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(18,737)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w w:val="98"/>
              </w:rPr>
              <w:t>Percentage of total revenues</w:t>
            </w:r>
          </w:p>
        </w:tc>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0 %</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6 %</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36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ind w:left="280"/>
              <w:spacing w:after="0"/>
              <w:rPr>
                <w:sz w:val="20"/>
                <w:szCs w:val="20"/>
                <w:color w:val="auto"/>
              </w:rPr>
            </w:pPr>
            <w:r>
              <w:rPr>
                <w:rFonts w:ascii="Arial" w:cs="Arial" w:eastAsia="Arial" w:hAnsi="Arial"/>
                <w:sz w:val="18"/>
                <w:szCs w:val="18"/>
                <w:color w:val="auto"/>
              </w:rPr>
              <w:t>Not Meaningful</w:t>
            </w: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difference in income tax expense (benefit) of $18.7 million for the nine months ended March 31, 2018 as compared to the nine months ended March 31, 2017 was primarily due to $22.6 million benefit from the release of the valuation allowance and $11.0 million benefit from excess benefits realized from employee stock exercises, partially offset by $9.8 million of estimated tax expense from the Tax Cuts and Jobs Act of 2017 and the provision for income taxes through March 31, 2018 of $5.1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right="200" w:firstLine="648"/>
        <w:spacing w:after="0" w:line="342"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9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Implementation revenues are also typically higher during our fiscal third quarter as many of our new clients elect to implement our services following a calendar year-end. Implementation gross profit varies on a quarterly basis as costs are generally fixed in the near-term, while revenues vary based on the number of new client implementations.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We added a significant accounting policy related to the investment of funds held for clients in marketable securities starting in the first quarter of fiscal 2018. Refer to Note 2 of the Notes to the Unaudited Consolidated Financial Statements for additional detail around these investments. Our critical accounting policies and use of estimates are disclosed in our audited consolidated financial statements for the year ended June 30, 2017 included in our Annual Report on Form 10-K filed with the SEC on August 11,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 As of March 31, 2018, our principal source of liquidity was $129.5 million of cash and cash equivalents.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seek to establish borrowing capacity to satisfy those needs.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cash flows from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of each payroll cycle. Funds held for clients are primarily placed in demand deposit accounts with various financial institutions. We also invest a portion of the funds held for clients in highly liquid, investment-grade marketable securities. Funds held for clients are used for the repayment of client fund obligations.</w:t>
      </w:r>
    </w:p>
    <w:p>
      <w:pPr>
        <w:spacing w:after="0" w:line="193"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We believe our current cash and cash equivalents and cash flow from operations will be sufficient to meet our working capital, capital expenditure and other investment requirements for at least the next 12 months.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b w:val="1"/>
                <w:bCs w:val="1"/>
                <w:color w:val="auto"/>
              </w:rPr>
              <w:t>Nine Months Ended March 31,</w:t>
            </w:r>
          </w:p>
        </w:tc>
      </w:tr>
      <w:tr>
        <w:trPr>
          <w:trHeight w:val="142"/>
        </w:trPr>
        <w:tc>
          <w:tcPr>
            <w:tcW w:w="6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69,343</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available-for-sale securities from funds held for clients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(126,223)</w:t>
            </w:r>
          </w:p>
        </w:tc>
      </w:tr>
      <w:tr>
        <w:trPr>
          <w:trHeight w:val="202"/>
        </w:trPr>
        <w:tc>
          <w:tcPr>
            <w:tcW w:w="6800" w:type="dxa"/>
            <w:vAlign w:val="bottom"/>
          </w:tcPr>
          <w:p>
            <w:pPr>
              <w:ind w:left="320"/>
              <w:spacing w:after="0" w:line="201" w:lineRule="exact"/>
              <w:rPr>
                <w:sz w:val="20"/>
                <w:szCs w:val="20"/>
                <w:color w:val="auto"/>
              </w:rPr>
            </w:pPr>
            <w:r>
              <w:rPr>
                <w:rFonts w:ascii="Arial" w:cs="Arial" w:eastAsia="Arial" w:hAnsi="Arial"/>
                <w:sz w:val="18"/>
                <w:szCs w:val="18"/>
                <w:color w:val="auto"/>
                <w:w w:val="94"/>
              </w:rPr>
              <w:t>Proceeds from sales and maturities of available-for-sale securities from funds held for</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800" w:type="dxa"/>
            <w:vAlign w:val="bottom"/>
          </w:tcPr>
          <w:p>
            <w:pPr>
              <w:ind w:left="320"/>
              <w:spacing w:after="0"/>
              <w:rPr>
                <w:sz w:val="20"/>
                <w:szCs w:val="20"/>
                <w:color w:val="auto"/>
              </w:rPr>
            </w:pPr>
            <w:r>
              <w:rPr>
                <w:rFonts w:ascii="Arial" w:cs="Arial" w:eastAsia="Arial" w:hAnsi="Arial"/>
                <w:sz w:val="18"/>
                <w:szCs w:val="18"/>
                <w:color w:val="auto"/>
              </w:rPr>
              <w:t>clients</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51,292</w:t>
            </w:r>
          </w:p>
        </w:tc>
        <w:tc>
          <w:tcPr>
            <w:tcW w:w="80" w:type="dxa"/>
            <w:vAlign w:val="bottom"/>
          </w:tcPr>
          <w:p>
            <w:pPr>
              <w:spacing w:after="0"/>
              <w:rPr>
                <w:sz w:val="20"/>
                <w:szCs w:val="20"/>
                <w:color w:val="auto"/>
              </w:rPr>
            </w:pPr>
          </w:p>
        </w:tc>
      </w:tr>
      <w:tr>
        <w:trPr>
          <w:trHeight w:val="216"/>
        </w:trPr>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funds held for clients' cash and cash equivalents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(328,462)</w:t>
            </w:r>
          </w:p>
        </w:tc>
      </w:tr>
      <w:tr>
        <w:trPr>
          <w:trHeight w:val="216"/>
        </w:trPr>
        <w:tc>
          <w:tcPr>
            <w:tcW w:w="6800" w:type="dxa"/>
            <w:vAlign w:val="bottom"/>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(11,442)</w:t>
            </w:r>
          </w:p>
        </w:tc>
      </w:tr>
      <w:tr>
        <w:trPr>
          <w:trHeight w:val="216"/>
        </w:trPr>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(9,374)</w:t>
            </w:r>
          </w:p>
        </w:tc>
      </w:tr>
      <w:tr>
        <w:trPr>
          <w:trHeight w:val="216"/>
        </w:trPr>
        <w:tc>
          <w:tcPr>
            <w:tcW w:w="6800" w:type="dxa"/>
            <w:vAlign w:val="bottom"/>
          </w:tcPr>
          <w:p>
            <w:pPr>
              <w:ind w:left="300"/>
              <w:spacing w:after="0"/>
              <w:rPr>
                <w:sz w:val="20"/>
                <w:szCs w:val="20"/>
                <w:color w:val="auto"/>
              </w:rPr>
            </w:pPr>
            <w:r>
              <w:rPr>
                <w:rFonts w:ascii="Arial" w:cs="Arial" w:eastAsia="Arial" w:hAnsi="Arial"/>
                <w:sz w:val="18"/>
                <w:szCs w:val="18"/>
                <w:color w:val="auto"/>
              </w:rPr>
              <w:t>Lease allowances used for tenant improvements</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(7,086)</w:t>
            </w:r>
          </w:p>
        </w:tc>
      </w:tr>
      <w:tr>
        <w:trPr>
          <w:trHeight w:val="216"/>
        </w:trPr>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of business, net of cash acquired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(8,346)</w:t>
            </w:r>
          </w:p>
        </w:tc>
      </w:tr>
      <w:tr>
        <w:trPr>
          <w:trHeight w:val="210"/>
        </w:trPr>
        <w:tc>
          <w:tcPr>
            <w:tcW w:w="6800" w:type="dxa"/>
            <w:vAlign w:val="bottom"/>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(439,641)</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320"/>
              <w:spacing w:after="0"/>
              <w:rPr>
                <w:sz w:val="20"/>
                <w:szCs w:val="20"/>
                <w:color w:val="auto"/>
              </w:rPr>
            </w:pPr>
            <w:r>
              <w:rPr>
                <w:rFonts w:ascii="Arial" w:cs="Arial" w:eastAsia="Arial" w:hAnsi="Arial"/>
                <w:sz w:val="18"/>
                <w:szCs w:val="18"/>
                <w:color w:val="auto"/>
              </w:rPr>
              <w:t>Net change in client fund obligations</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(69,281)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403,375</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ind w:left="320"/>
              <w:spacing w:after="0"/>
              <w:rPr>
                <w:sz w:val="20"/>
                <w:szCs w:val="20"/>
                <w:color w:val="auto"/>
              </w:rPr>
            </w:pPr>
            <w:r>
              <w:rPr>
                <w:rFonts w:ascii="Arial" w:cs="Arial" w:eastAsia="Arial" w:hAnsi="Arial"/>
                <w:sz w:val="18"/>
                <w:szCs w:val="18"/>
                <w:color w:val="auto"/>
              </w:rPr>
              <w:t>Taxes paid related to net share settlement of equity awards</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(9,060)</w:t>
            </w:r>
          </w:p>
        </w:tc>
      </w:tr>
      <w:tr>
        <w:trPr>
          <w:trHeight w:val="210"/>
        </w:trPr>
        <w:tc>
          <w:tcPr>
            <w:tcW w:w="68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396,360</w:t>
            </w:r>
          </w:p>
        </w:tc>
        <w:tc>
          <w:tcPr>
            <w:tcW w:w="80" w:type="dxa"/>
            <w:vAlign w:val="bottom"/>
            <w:tcBorders>
              <w:top w:val="single" w:sz="8" w:color="CCEEFF"/>
            </w:tcBorders>
            <w:shd w:val="clear" w:color="auto" w:fill="CCEEFF"/>
          </w:tcPr>
          <w:p>
            <w:pPr>
              <w:spacing w:after="0"/>
              <w:rPr>
                <w:sz w:val="18"/>
                <w:szCs w:val="18"/>
                <w:color w:val="auto"/>
              </w:rPr>
            </w:pPr>
          </w:p>
        </w:tc>
      </w:tr>
      <w:tr>
        <w:trPr>
          <w:trHeight w:val="217"/>
        </w:trPr>
        <w:tc>
          <w:tcPr>
            <w:tcW w:w="68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26,062</w:t>
            </w:r>
          </w:p>
        </w:tc>
        <w:tc>
          <w:tcPr>
            <w:tcW w:w="80" w:type="dxa"/>
            <w:vAlign w:val="bottom"/>
          </w:tcPr>
          <w:p>
            <w:pPr>
              <w:spacing w:after="0"/>
              <w:rPr>
                <w:sz w:val="18"/>
                <w:szCs w:val="18"/>
                <w:color w:val="auto"/>
              </w:rPr>
            </w:pPr>
          </w:p>
        </w:tc>
      </w:tr>
      <w:tr>
        <w:trPr>
          <w:trHeight w:val="648"/>
        </w:trPr>
        <w:tc>
          <w:tcPr>
            <w:tcW w:w="6800" w:type="dxa"/>
            <w:vAlign w:val="bottom"/>
          </w:tcPr>
          <w:p>
            <w:pPr>
              <w:ind w:left="44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77"/>
        </w:trPr>
        <w:tc>
          <w:tcPr>
            <w:tcW w:w="6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was $43.3 million and $69.3 million for the nine months ended</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March 31, 2017 and 2018, respectively. The increase in net cash provided by operating activities from the nine months ended March 31, 2017 to the nine months ended March 31, 2018 was primarily due to improved operating results after adjusting for non-cash items including stock-based compensation expense, depreciation and amortization expense and the change in deferred income tax related to non-cash tax adjustments. Refer to Note 9 of the Notes to the Unaudited Consolidated Financial Statements for additional detail related to the change in deferred income tax. The increase was also due to $6.0 million received for tenant improvement allowances.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cash provided by (used in) investing activities was $45.3 million and $(439.6) million for the nine months ended March 31, 2017 and 2018, respectively.</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Changes in net cash provided by (used in) investing activities are significantly influenced by the amount of funds held for clients at the end of a reporting period. Changes in the amount of funds held for clients from period to period will vary substantially as a result of the timing of payroll and tax obligations due. Our payroll processing activities involve the movement of significant funds from accounts of employers to employees and relevant taxing authorities. During fiscal 2017, we processed over $92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 these ACH arrangements to handle our transactions for the foreseeable future. Fluctuations in the net change in funds held for clients’ cash and cash equivalents are also impacted by the timing of purchases and sales and maturities of investments as we invest a portion of the funds held for clients in highly liquid, investment-grade marketable securities.</w:t>
      </w:r>
    </w:p>
    <w:p>
      <w:pPr>
        <w:spacing w:after="0" w:line="18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Excluding the net change in funds held for clients’ cash and cash equivalents and purchases and proceeds from sales and maturities of available-for-sale securities from funds held for clients, our net cash used in investing activities was $24.0 million and $36.2 million for the nine months ended March 31, 2017 and 2018, respectively. The change in net cash used in investing activities was primarily due to $8.3 million in net cash used to acquire BeneFLEX and $7.1 million in lease allowances used for tenant improvements, partially offset by $4.5 million in fewer purchases of property and equipment during the nine months ended March 31, 2018 as compared to March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Net cash provided by (used in) financing activities was $(73.7) and $396.4 million for the nine months ended March 31, 2017 and 2018, respectively. Excluding the net change in client fund obligations, net cash used in financing activities was $(4.4) million and $(7.0) million for the nine months ended March 31, 2017 and 2018, respectively. The change in cash provided by (used in) financing activities, excluding the net change in client fund obligations, was primarily the result of higher taxes paid related to net share settlement of equity awards.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March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154"/>
              <w:spacing w:after="0"/>
              <w:rPr>
                <w:sz w:val="20"/>
                <w:szCs w:val="20"/>
                <w:color w:val="auto"/>
              </w:rPr>
            </w:pPr>
            <w:r>
              <w:rPr>
                <w:rFonts w:ascii="Arial" w:cs="Arial" w:eastAsia="Arial" w:hAnsi="Arial"/>
                <w:sz w:val="14"/>
                <w:szCs w:val="14"/>
                <w:b w:val="1"/>
                <w:bCs w:val="1"/>
                <w:color w:val="auto"/>
                <w:w w:val="95"/>
              </w:rPr>
              <w:t>Payment Due By Fiscal Period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Less than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6"/>
              </w:rPr>
              <w:t>1</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1-3 Years</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1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$112,871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$18,156</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$17,320</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$68,976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5,231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2,550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2,681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118,102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17,320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68,976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3500" w:type="dxa"/>
            <w:vAlign w:val="bottom"/>
          </w:tcPr>
          <w:p>
            <w:pPr>
              <w:spacing w:after="0"/>
              <w:rPr>
                <w:sz w:val="24"/>
                <w:szCs w:val="24"/>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7"/>
        </w:trPr>
        <w:tc>
          <w:tcPr>
            <w:tcW w:w="3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19" w:firstLine="648"/>
        <w:spacing w:after="0" w:line="286" w:lineRule="auto"/>
        <w:rPr>
          <w:sz w:val="20"/>
          <w:szCs w:val="20"/>
          <w:color w:val="auto"/>
        </w:rPr>
      </w:pPr>
      <w:r>
        <w:rPr>
          <w:rFonts w:ascii="Arial" w:cs="Arial" w:eastAsia="Arial" w:hAnsi="Arial"/>
          <w:sz w:val="16"/>
          <w:szCs w:val="16"/>
          <w:color w:val="auto"/>
        </w:rPr>
        <w:t>We expect to increase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$13.9 million and</w:t>
      </w:r>
    </w:p>
    <w:p>
      <w:pPr>
        <w:spacing w:after="0" w:line="2" w:lineRule="exact"/>
        <w:rPr>
          <w:sz w:val="20"/>
          <w:szCs w:val="20"/>
          <w:color w:val="auto"/>
        </w:rPr>
      </w:pPr>
    </w:p>
    <w:p>
      <w:pPr>
        <w:ind w:right="39"/>
        <w:spacing w:after="0" w:line="254" w:lineRule="auto"/>
        <w:rPr>
          <w:sz w:val="20"/>
          <w:szCs w:val="20"/>
          <w:color w:val="auto"/>
        </w:rPr>
      </w:pPr>
      <w:r>
        <w:rPr>
          <w:rFonts w:ascii="Arial" w:cs="Arial" w:eastAsia="Arial" w:hAnsi="Arial"/>
          <w:sz w:val="18"/>
          <w:szCs w:val="18"/>
          <w:color w:val="auto"/>
        </w:rPr>
        <w:t>$9.4 million for the nine months ended March 31, 2017 and 2018, respectively, exclusive of capitalized internal-use software costs of $10.1 million and $11.4 million for the same periods, respectively. During the nine months ended March 31, 2018, we also spent $7.1 million on capital expenditures for which we have received or will receive reimbursement for tenant improvement allowances.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39"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79" w:firstLine="648"/>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of March 31, 2018, we had cash and cash equivalents of $129.5 million and funds held for clients of $1,347.5 million. We deposit our cash and cash equivalents and significant portions of our funds held for clients in demand deposit accounts with various financial institutions. Starting in July 2017, we invested a portion of our funds held for clients in marketable securities including commercial paper, corporate bonds and asset-backed securities which were classified as available-for-sale securities as of March 31, 2018.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a falling rate environment, a decline in interest rates would decrease our interest income earned on both cash and cash equivalents and funds held for clients. An increase in the overall interest rate environment may cause the market value of portions of our funds held for clients invested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7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Based upon a sensitivity model that measures market value changes caused by interest rate fluctuations, an immediate 25-basis point increase in interest rates would have resulted in a decrease in the market value of our available-for-sale securities included in funds held for clients by $0.1 million as of March 31, 2018. A 25-basis point decrease in interest rates would have resulted in a $0.1 million increase in the market value of our available-for-sale securities included in funds held for clients as of March 31, 2018. Fluctuations in the value of our available-for-sale securities caused by a change in interest rates are recorded in other comprehensive income and are only realized if we sell the underlying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March 31, 2018,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consolidated financial statements and related notes.</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causing the value of our common stock to decline substantially.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660" w:hanging="325"/>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repeal of or changes to the laws and regulations related to the products and services which we offer;</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majority of our agreements with clients do not have a specified term and are generally cancellable by our clients upon 60 days’ or less notice. If a significant number of clients elected to terminate their agreements with us, our operating results and our business would be adversely affected.</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losses in the past, and we may not be able to sustain profitability for the foreseeable future.</w:t>
      </w:r>
    </w:p>
    <w:p>
      <w:pPr>
        <w:spacing w:after="0" w:line="23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incurred net losses of $7,110,000, $13,972,000 and $3,851,000 in fiscal 2014, fiscal 2015 and fiscal 2016, respectively. While we generated net income in fiscal 2017 and in the first nine months of fiscal 2018, it does not ensure that we will earn continued net income in future periods.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we incur significant legal, accounting and other expenses in order to comply with the rules and regulations to which we are subject to as a public company. These increased expenditures have made it harder for us to achieve and maintain profitability. We also may incur losses in the future for a number of other unforeseen reasons. Accordingly, we may incur losses in the foreseeable future.</w:t>
      </w:r>
    </w:p>
    <w:p>
      <w:pPr>
        <w:spacing w:after="0" w:line="16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may be adversely impacted if the Patient Protection and Affordable Care Act, or the ACA, is repealed in its entirety or certain aspects of the ACA are repealed or changed.</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ACA remains subject to legislative efforts to repeal, modify or delay the implementation of all or certain aspects of the law. Generally, if the ACA is repealed or modified in whole or in part, or if implementation of certain aspects of the ACA is delayed, such repeal, modification or delay could adversely impact our existing and future business and operating results. For example, any such repeal, modification or delay could negatively impact the revenue we currently generate from our ACA Compliance solution as well as overall gross margins. While we expect continued challenges to the ACA, at this time we are unable to more precisely predict the full impact of any repeal, modification or delay in the implementation of the ACA.</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54"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data loss, theft and other security breaches, including penetration tests of our systems by independent third parties, if our security measures are breached, our business could be substantially harmed and we could incur significant liabilities. The costs of investigating, mitigating, and reporting such a breach to affected individuals (if required) can be substantial. Any such breach or unauthorized access could negatively affect our ability to attract new clients, cause existing clients to terminate their agreements with us, result in reputational damage and subject us to lawsuits, regulatory fines (including, in the case of our benefit administration solution, BeneFLEX, penalties for failure to comply with HIPAA) or other actions or liabilities which could materially and adversely affect our business and operating results.</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9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approximately 30% of our new sales in fiscal 2017 were referred to us from our referral network participants. In most cases, our relationships with referral network participants are informal, although in some cases, we have formalized relationships where we are a recommended vendor for their client.</w:t>
      </w:r>
    </w:p>
    <w:p>
      <w:pPr>
        <w:spacing w:after="0" w:line="15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5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2017 we processed over $92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currently have agreements with eleven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6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2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increase the cost of our solutions or reduce the effectiveness of our applications and adversely affect our business.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addition, HIPAA, as amended by the Health Information Technology for Economic and Clinical Health Act, and its implementing regulations, applies to our benefit administration solution, BeneFLEX, as a business associate.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we do not effectively implement our solutions or our clients are not satisfied with our implementation services.</w:t>
      </w:r>
    </w:p>
    <w:p>
      <w:pPr>
        <w:spacing w:after="0" w:line="170"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Our ability to deliver our payroll and HCM solutions depends on our ability to effectively implement and to transition to, and train our clients on, our solutions. We do not recognize revenue from new clients until they process their first payroll. Further, the majority of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business could be affected if we are unable to accommodate increased demand for our implementation services resulting from growth in our business.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client services may adversely affect our relationships with our clients and our financial results.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Once our applications are deployed, our clients depend on our client service organization to resolve issues relating to our solutions. The majority of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8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7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300" w:hanging="325"/>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Damage from fire, power loss, natural disasters and other force majeure events outside our control;</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in the operation of our data centers could adversely affect our business.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6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1"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Our clients might assert claims against us in the future alleging that they suffered damages due to a defect, error, or other failure of our product or service processes. A product liability claim and errors or omissions claim could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subject us to significant legal defense costs and adverse publicity regardless of the merits or eventual outcome of such a claim.</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invest funds held for our clients in liquid, investment-grade marketable securities such as corporate bonds, commercial paper, and asset-backed securities, money market securities, and other cash equivalents. We follow an established client fund investment policy and set of guidelines to monitor and help mitigate our exposure to liquidity and credit risks.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addition, these funds are held in consolidated accounts in trust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6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negative or unforeseen tax consequences.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December 2017, both houses of the U.S. Congress passed legislation, known as the Tax Cuts and Jobs Act of 2017, that was approved and signed into law. This legislation could have a material benefit or material adverse impact on our effective tax rate, tax expense and cash flow. We are in the process of evaluating the potential aggregate impact the enactment of this passed legislation will have on our financial condition, cash flows and results of operations. Any benefits associated with lower U.S. corporate tax rates could be reduced or offset by other tax changes adverse to our business or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7"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future would have a material adverse effect on our business or operating results, our inability to license this technology could adversely affect our ability to compete.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64" w:lineRule="auto"/>
        <w:rPr>
          <w:sz w:val="20"/>
          <w:szCs w:val="20"/>
          <w:color w:val="auto"/>
        </w:rPr>
      </w:pPr>
      <w:r>
        <w:rPr>
          <w:rFonts w:ascii="Arial" w:cs="Arial" w:eastAsia="Arial" w:hAnsi="Arial"/>
          <w:sz w:val="18"/>
          <w:szCs w:val="18"/>
          <w:color w:val="auto"/>
        </w:rPr>
        <w:t>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1"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99" w:firstLine="648"/>
        <w:spacing w:after="0" w:line="291"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67"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78" w:lineRule="exact"/>
        <w:rPr>
          <w:sz w:val="20"/>
          <w:szCs w:val="20"/>
          <w:color w:val="auto"/>
        </w:rPr>
      </w:pPr>
    </w:p>
    <w:p>
      <w:pPr>
        <w:ind w:right="39" w:firstLine="648"/>
        <w:spacing w:after="0" w:line="272" w:lineRule="auto"/>
        <w:rPr>
          <w:sz w:val="20"/>
          <w:szCs w:val="20"/>
          <w:color w:val="auto"/>
        </w:rPr>
      </w:pPr>
      <w:r>
        <w:rPr>
          <w:rFonts w:ascii="Arial" w:cs="Arial" w:eastAsia="Arial" w:hAnsi="Arial"/>
          <w:sz w:val="17"/>
          <w:szCs w:val="17"/>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78" w:lineRule="exact"/>
        <w:rPr>
          <w:sz w:val="20"/>
          <w:szCs w:val="20"/>
          <w:color w:val="auto"/>
        </w:rPr>
      </w:pPr>
    </w:p>
    <w:p>
      <w:pPr>
        <w:ind w:right="279"/>
        <w:spacing w:after="0" w:line="381" w:lineRule="auto"/>
        <w:rPr>
          <w:sz w:val="20"/>
          <w:szCs w:val="20"/>
          <w:color w:val="auto"/>
        </w:rPr>
      </w:pPr>
      <w:r>
        <w:rPr>
          <w:rFonts w:ascii="Arial" w:cs="Arial" w:eastAsia="Arial" w:hAnsi="Arial"/>
          <w:sz w:val="15"/>
          <w:szCs w:val="15"/>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01"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right="299" w:firstLine="6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ind w:right="259"/>
        <w:spacing w:after="0" w:line="261"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will need to expand our ACH capacity as we grow our business.</w:t>
      </w:r>
    </w:p>
    <w:p>
      <w:pPr>
        <w:spacing w:after="0" w:line="184"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9"/>
        <w:spacing w:after="0" w:line="277" w:lineRule="auto"/>
        <w:rPr>
          <w:sz w:val="20"/>
          <w:szCs w:val="20"/>
          <w:color w:val="auto"/>
        </w:rPr>
      </w:pPr>
      <w:r>
        <w:rPr>
          <w:rFonts w:ascii="Arial" w:cs="Arial" w:eastAsia="Arial" w:hAnsi="Arial"/>
          <w:sz w:val="18"/>
          <w:szCs w:val="18"/>
          <w:color w:val="auto"/>
        </w:rPr>
        <w:t>we are unable to obtain adequate financing or financing on terms satisfactory to us when we require it, our ability to continue to support our business growth and to respond to business challenges could be significantly limited.</w:t>
      </w:r>
    </w:p>
    <w:p>
      <w:pPr>
        <w:spacing w:after="0" w:line="170"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8"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78" w:lineRule="exact"/>
        <w:rPr>
          <w:sz w:val="20"/>
          <w:szCs w:val="20"/>
          <w:color w:val="auto"/>
        </w:rPr>
      </w:pPr>
    </w:p>
    <w:p>
      <w:pPr>
        <w:ind w:right="27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right="39"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65" w:lineRule="exact"/>
        <w:rPr>
          <w:sz w:val="20"/>
          <w:szCs w:val="20"/>
          <w:color w:val="auto"/>
        </w:rPr>
      </w:pPr>
    </w:p>
    <w:p>
      <w:pPr>
        <w:ind w:right="299"/>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1" w:lineRule="exact"/>
        <w:rPr>
          <w:sz w:val="20"/>
          <w:szCs w:val="20"/>
          <w:color w:val="auto"/>
        </w:rPr>
      </w:pPr>
    </w:p>
    <w:p>
      <w:pPr>
        <w:ind w:right="59" w:firstLine="648"/>
        <w:spacing w:after="0" w:line="286" w:lineRule="auto"/>
        <w:rPr>
          <w:sz w:val="20"/>
          <w:szCs w:val="20"/>
          <w:color w:val="auto"/>
        </w:rPr>
      </w:pPr>
      <w:r>
        <w:rPr>
          <w:rFonts w:ascii="Arial" w:cs="Arial" w:eastAsia="Arial" w:hAnsi="Arial"/>
          <w:sz w:val="17"/>
          <w:szCs w:val="17"/>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jc w:val="both"/>
        <w:ind w:right="99" w:firstLine="648"/>
        <w:spacing w:after="0" w:line="312" w:lineRule="auto"/>
        <w:rPr>
          <w:sz w:val="20"/>
          <w:szCs w:val="20"/>
          <w:color w:val="auto"/>
        </w:rPr>
      </w:pPr>
      <w:r>
        <w:rPr>
          <w:rFonts w:ascii="Arial" w:cs="Arial" w:eastAsia="Arial" w:hAnsi="Arial"/>
          <w:sz w:val="16"/>
          <w:szCs w:val="16"/>
          <w:color w:val="auto"/>
        </w:rPr>
        <w:t>In addition, we have limited experience in acquiring other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47" w:lineRule="exact"/>
        <w:rPr>
          <w:sz w:val="20"/>
          <w:szCs w:val="20"/>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140" w:hanging="325"/>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1300" w:right="420" w:hanging="325"/>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00" w:right="240" w:hanging="325"/>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580"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April 27, 2018, our directors, executive officers and holders of more than 5% of our common stock, together with their respective affiliates, beneficially owned, in the aggregate, approximately 41.8%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181" w:lineRule="exact"/>
        <w:rPr>
          <w:sz w:val="20"/>
          <w:szCs w:val="20"/>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business plans or commercial relationships;</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340" w:hanging="325"/>
        <w:spacing w:after="0" w:line="30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Threatened or actual litigation; and</w:t>
      </w:r>
    </w:p>
    <w:p>
      <w:pPr>
        <w:spacing w:after="0" w:line="225" w:lineRule="exact"/>
        <w:rPr>
          <w:rFonts w:ascii="Arial" w:cs="Arial" w:eastAsia="Arial" w:hAnsi="Arial"/>
          <w:sz w:val="18"/>
          <w:szCs w:val="18"/>
          <w:color w:val="auto"/>
        </w:rPr>
      </w:pPr>
    </w:p>
    <w:p>
      <w:pPr>
        <w:ind w:left="1300" w:right="80" w:hanging="325"/>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1"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of our common stock by existing stockholders could depress the market price of our common stock.</w:t>
      </w:r>
    </w:p>
    <w:p>
      <w:pPr>
        <w:spacing w:after="0" w:line="26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As of April 27, 2018, we had an aggregate of 52,653,118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5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addition, we have registered 17,853,893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management or control over us that stockholders may consider favorable. Our amended and restated certificate of incorporation and bylaws:</w:t>
      </w:r>
    </w:p>
    <w:p>
      <w:pPr>
        <w:spacing w:after="0" w:line="35" w:lineRule="exact"/>
        <w:rPr>
          <w:sz w:val="20"/>
          <w:szCs w:val="20"/>
          <w:color w:val="auto"/>
        </w:rPr>
      </w:pPr>
    </w:p>
    <w:p>
      <w:pPr>
        <w:ind w:left="1300" w:right="240" w:hanging="325"/>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00" w:right="300" w:hanging="325"/>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6"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00" w:right="120" w:hanging="325"/>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00" w:right="680" w:hanging="325"/>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93"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On September 30, 2015, we completed a secondary offering of 4,301,000 shares of common stock at a price of $29.75 per share, before underwriting discounts and commissions. The offer and sale of all of the shares in the secondary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59"/>
        <w:spacing w:after="0" w:line="264" w:lineRule="auto"/>
        <w:rPr>
          <w:sz w:val="20"/>
          <w:szCs w:val="20"/>
          <w:color w:val="auto"/>
        </w:rPr>
      </w:pPr>
      <w:r>
        <w:rPr>
          <w:rFonts w:ascii="Arial" w:cs="Arial" w:eastAsia="Arial" w:hAnsi="Arial"/>
          <w:sz w:val="18"/>
          <w:szCs w:val="18"/>
          <w:color w:val="auto"/>
        </w:rPr>
        <w:t>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information required by this Item is set forth in the Index to Exhibits immediately following this page.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40" w:type="dxa"/>
            <w:vAlign w:val="bottom"/>
            <w:gridSpan w:val="9"/>
          </w:tcPr>
          <w:p>
            <w:pPr>
              <w:ind w:left="2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Nos.</w:t>
            </w:r>
          </w:p>
        </w:tc>
        <w:tc>
          <w:tcPr>
            <w:tcW w:w="28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9"/>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rPr>
            </w:pPr>
            <w:hyperlink r:id="rId65">
              <w:r>
                <w:rPr>
                  <w:rFonts w:ascii="Arial" w:cs="Arial" w:eastAsia="Arial" w:hAnsi="Arial"/>
                  <w:sz w:val="18"/>
                  <w:szCs w:val="18"/>
                  <w:color w:val="0000EE"/>
                </w:rPr>
                <w:t>First Amended and Restated Certificate of Incorporation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Corporation’s Form S-1 Registration Statement (Registration No. 333-193661).</w:t>
              </w:r>
            </w:hyperlink>
          </w:p>
        </w:tc>
        <w:tc>
          <w:tcPr>
            <w:tcW w:w="13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4"/>
              </w:rPr>
            </w:pPr>
            <w:hyperlink r:id="rId66">
              <w:r>
                <w:rPr>
                  <w:rFonts w:ascii="Arial" w:cs="Arial" w:eastAsia="Arial" w:hAnsi="Arial"/>
                  <w:sz w:val="18"/>
                  <w:szCs w:val="18"/>
                  <w:color w:val="0000EE"/>
                  <w:w w:val="94"/>
                </w:rPr>
                <w:t>Amended and Restated Bylaws of Paylocity Holding 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Corporation’s Annual Report on Form 10-K for the year ended June 30, 2017 (File No. 001-36348)).</w:t>
              </w:r>
            </w:hyperlink>
          </w:p>
        </w:tc>
        <w:tc>
          <w:tcPr>
            <w:tcW w:w="480" w:type="dxa"/>
            <w:vAlign w:val="bottom"/>
            <w:tcBorders>
              <w:top w:val="single" w:sz="8" w:color="0000EE"/>
            </w:tcBorders>
            <w:gridSpan w:val="4"/>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Certification of Chief Executive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adopted pursuant to Section 302 of the Sarbanes-Oxley Act of 2002.</w:t>
              </w:r>
            </w:hyperlink>
          </w:p>
        </w:tc>
        <w:tc>
          <w:tcPr>
            <w:tcW w:w="2580" w:type="dxa"/>
            <w:vAlign w:val="bottom"/>
            <w:tcBorders>
              <w:top w:val="single" w:sz="8" w:color="0000EE"/>
            </w:tcBorders>
            <w:gridSpan w:val="6"/>
          </w:tcPr>
          <w:p>
            <w:pPr>
              <w:spacing w:after="0"/>
              <w:rPr>
                <w:sz w:val="15"/>
                <w:szCs w:val="15"/>
                <w:color w:val="auto"/>
              </w:rPr>
            </w:pPr>
          </w:p>
        </w:tc>
        <w:tc>
          <w:tcPr>
            <w:tcW w:w="360" w:type="dxa"/>
            <w:vAlign w:val="bottom"/>
            <w:gridSpan w:val="2"/>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Certification of Chief Financial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adopted pursuant to Section 302 of the Sarbanes-Oxley Act of 2002.</w:t>
              </w:r>
            </w:hyperlink>
          </w:p>
        </w:tc>
        <w:tc>
          <w:tcPr>
            <w:tcW w:w="2520" w:type="dxa"/>
            <w:vAlign w:val="bottom"/>
            <w:tcBorders>
              <w:top w:val="single" w:sz="8" w:color="0000EE"/>
            </w:tcBorders>
            <w:gridSpan w:val="4"/>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2002, by Chief Executive Officer.</w:t>
              </w:r>
            </w:hyperlink>
          </w:p>
        </w:tc>
        <w:tc>
          <w:tcPr>
            <w:tcW w:w="380" w:type="dxa"/>
            <w:vAlign w:val="bottom"/>
            <w:gridSpan w:val="3"/>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Borders>
              <w:right w:val="single" w:sz="8" w:color="0000EE"/>
            </w:tcBorders>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2002, by Chief Financial Officer.</w:t>
              </w:r>
            </w:hyperlink>
          </w:p>
        </w:tc>
        <w:tc>
          <w:tcPr>
            <w:tcW w:w="5060" w:type="dxa"/>
            <w:vAlign w:val="bottom"/>
            <w:tcBorders>
              <w:top w:val="single" w:sz="8" w:color="0000EE"/>
            </w:tcBorders>
            <w:gridSpan w:val="6"/>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ind w:left="280" w:hanging="278"/>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280" w:hanging="277"/>
        <w:spacing w:after="0"/>
        <w:tabs>
          <w:tab w:leader="none" w:pos="2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500" w:type="dxa"/>
            <w:vAlign w:val="bottom"/>
            <w:gridSpan w:val="2"/>
          </w:tcPr>
          <w:p>
            <w:pPr>
              <w:ind w:left="1840"/>
              <w:spacing w:after="0"/>
              <w:rPr>
                <w:sz w:val="20"/>
                <w:szCs w:val="20"/>
                <w:color w:val="auto"/>
              </w:rPr>
            </w:pPr>
            <w:r>
              <w:rPr>
                <w:rFonts w:ascii="Arial" w:cs="Arial" w:eastAsia="Arial" w:hAnsi="Arial"/>
                <w:sz w:val="18"/>
                <w:szCs w:val="18"/>
                <w:color w:val="auto"/>
              </w:rPr>
              <w:t>PAYLOCITY HOLDING CORPORATION</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60"/>
              <w:spacing w:after="0"/>
              <w:rPr>
                <w:sz w:val="20"/>
                <w:szCs w:val="20"/>
                <w:color w:val="auto"/>
              </w:rPr>
            </w:pPr>
            <w:r>
              <w:rPr>
                <w:rFonts w:ascii="Arial" w:cs="Arial" w:eastAsia="Arial" w:hAnsi="Arial"/>
                <w:sz w:val="18"/>
                <w:szCs w:val="18"/>
                <w:color w:val="auto"/>
              </w:rPr>
              <w:t>May 4, 2018</w:t>
            </w:r>
          </w:p>
        </w:tc>
        <w:tc>
          <w:tcPr>
            <w:tcW w:w="2440" w:type="dxa"/>
            <w:vAlign w:val="bottom"/>
          </w:tcPr>
          <w:p>
            <w:pPr>
              <w:ind w:left="184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98"/>
        </w:trPr>
        <w:tc>
          <w:tcPr>
            <w:tcW w:w="5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440" w:type="dxa"/>
            <w:vAlign w:val="bottom"/>
          </w:tcPr>
          <w:p>
            <w:pPr>
              <w:ind w:left="184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Steven R. Beauchamp</w:t>
            </w:r>
          </w:p>
        </w:tc>
      </w:tr>
      <w:tr>
        <w:trPr>
          <w:trHeight w:val="234"/>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40" w:type="dxa"/>
            <w:vAlign w:val="bottom"/>
          </w:tcPr>
          <w:p>
            <w:pPr>
              <w:ind w:left="184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65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60"/>
              <w:spacing w:after="0"/>
              <w:rPr>
                <w:sz w:val="20"/>
                <w:szCs w:val="20"/>
                <w:color w:val="auto"/>
              </w:rPr>
            </w:pPr>
            <w:r>
              <w:rPr>
                <w:rFonts w:ascii="Arial" w:cs="Arial" w:eastAsia="Arial" w:hAnsi="Arial"/>
                <w:sz w:val="18"/>
                <w:szCs w:val="18"/>
                <w:color w:val="auto"/>
              </w:rPr>
              <w:t>May 4, 2018</w:t>
            </w:r>
          </w:p>
        </w:tc>
        <w:tc>
          <w:tcPr>
            <w:tcW w:w="2440" w:type="dxa"/>
            <w:vAlign w:val="bottom"/>
          </w:tcPr>
          <w:p>
            <w:pPr>
              <w:ind w:left="184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198"/>
        </w:trPr>
        <w:tc>
          <w:tcPr>
            <w:tcW w:w="5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440" w:type="dxa"/>
            <w:vAlign w:val="bottom"/>
          </w:tcPr>
          <w:p>
            <w:pPr>
              <w:ind w:left="184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Toby J. Williams</w:t>
            </w:r>
          </w:p>
        </w:tc>
      </w:tr>
      <w:tr>
        <w:trPr>
          <w:trHeight w:val="216"/>
        </w:trPr>
        <w:tc>
          <w:tcPr>
            <w:tcW w:w="5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40" w:type="dxa"/>
            <w:vAlign w:val="bottom"/>
          </w:tcPr>
          <w:p>
            <w:pPr>
              <w:ind w:left="184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(Principal</w:t>
            </w:r>
          </w:p>
        </w:tc>
      </w:tr>
      <w:tr>
        <w:trPr>
          <w:trHeight w:val="234"/>
        </w:trPr>
        <w:tc>
          <w:tcPr>
            <w:tcW w:w="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3"/>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left="1280" w:hanging="395"/>
        <w:spacing w:after="0"/>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40" w:firstLine="445"/>
        <w:spacing w:after="0" w:line="238" w:lineRule="auto"/>
        <w:tabs>
          <w:tab w:leader="none" w:pos="1726"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quarter ended March 31, 2018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left="440" w:right="60" w:firstLine="445"/>
        <w:spacing w:after="0" w:line="224" w:lineRule="auto"/>
        <w:tabs>
          <w:tab w:leader="none" w:pos="128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May 4, 2018</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42"/>
        </w:trPr>
        <w:tc>
          <w:tcPr>
            <w:tcW w:w="5180" w:type="dxa"/>
            <w:vAlign w:val="bottom"/>
          </w:tcPr>
          <w:p>
            <w:pPr>
              <w:ind w:left="4540"/>
              <w:spacing w:after="0" w:line="142" w:lineRule="exact"/>
              <w:rPr>
                <w:sz w:val="20"/>
                <w:szCs w:val="20"/>
                <w:color w:val="auto"/>
              </w:rPr>
            </w:pPr>
            <w:r>
              <w:rPr>
                <w:rFonts w:ascii="Arial" w:cs="Arial" w:eastAsia="Arial" w:hAnsi="Arial"/>
                <w:sz w:val="16"/>
                <w:szCs w:val="16"/>
                <w:b w:val="1"/>
                <w:bCs w:val="1"/>
                <w:color w:val="auto"/>
              </w:rPr>
              <w:t>Name:</w:t>
            </w: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9"/>
              </w:rPr>
              <w:t>Steven R. Beauchamp</w:t>
            </w:r>
          </w:p>
        </w:tc>
      </w:tr>
      <w:tr>
        <w:trPr>
          <w:trHeight w:val="234"/>
        </w:trPr>
        <w:tc>
          <w:tcPr>
            <w:tcW w:w="5180" w:type="dxa"/>
            <w:vAlign w:val="bottom"/>
          </w:tcPr>
          <w:p>
            <w:pPr>
              <w:ind w:left="4540"/>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38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144" w:lineRule="exact"/>
        <w:rPr>
          <w:sz w:val="20"/>
          <w:szCs w:val="20"/>
          <w:color w:val="auto"/>
        </w:rPr>
      </w:pPr>
    </w:p>
    <w:p>
      <w:pPr>
        <w:ind w:left="1280" w:hanging="395"/>
        <w:spacing w:after="0"/>
        <w:tabs>
          <w:tab w:leader="none" w:pos="12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40" w:firstLine="445"/>
        <w:spacing w:after="0" w:line="238" w:lineRule="auto"/>
        <w:tabs>
          <w:tab w:leader="none" w:pos="1726"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fiscal quarter ended March 31, 2018 that has materially affected, or is reasonably likely to materially affect, the registrant’s internal control over financial reporting; and</w:t>
      </w:r>
    </w:p>
    <w:p>
      <w:pPr>
        <w:spacing w:after="0" w:line="120" w:lineRule="exact"/>
        <w:rPr>
          <w:rFonts w:ascii="Arial" w:cs="Arial" w:eastAsia="Arial" w:hAnsi="Arial"/>
          <w:sz w:val="17"/>
          <w:szCs w:val="17"/>
          <w:color w:val="auto"/>
        </w:rPr>
      </w:pPr>
    </w:p>
    <w:p>
      <w:pPr>
        <w:ind w:left="440" w:right="60" w:firstLine="445"/>
        <w:spacing w:after="0" w:line="224" w:lineRule="auto"/>
        <w:tabs>
          <w:tab w:leader="none" w:pos="128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May 4, 2018</w:t>
            </w: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/S/ Toby J. Williams</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540"/>
              <w:spacing w:after="0" w:line="189" w:lineRule="exact"/>
              <w:rPr>
                <w:sz w:val="20"/>
                <w:szCs w:val="20"/>
                <w:color w:val="auto"/>
              </w:rPr>
            </w:pPr>
            <w:r>
              <w:rPr>
                <w:rFonts w:ascii="Arial" w:cs="Arial" w:eastAsia="Arial" w:hAnsi="Arial"/>
                <w:sz w:val="18"/>
                <w:szCs w:val="18"/>
                <w:b w:val="1"/>
                <w:bCs w:val="1"/>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176"/>
        </w:trPr>
        <w:tc>
          <w:tcPr>
            <w:tcW w:w="5180" w:type="dxa"/>
            <w:vAlign w:val="bottom"/>
          </w:tcPr>
          <w:p>
            <w:pPr>
              <w:ind w:left="4540"/>
              <w:spacing w:after="0" w:line="176"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 (Principal Financial</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6"/>
              </w:rPr>
              <w:t>Officer)</w:t>
            </w:r>
          </w:p>
        </w:tc>
        <w:tc>
          <w:tcPr>
            <w:tcW w:w="0" w:type="dxa"/>
            <w:vAlign w:val="bottom"/>
          </w:tcPr>
          <w:p>
            <w:pPr>
              <w:spacing w:after="0"/>
              <w:rPr>
                <w:sz w:val="1"/>
                <w:szCs w:val="1"/>
                <w:color w:val="auto"/>
              </w:rPr>
            </w:pPr>
          </w:p>
        </w:tc>
      </w:tr>
      <w:tr>
        <w:trPr>
          <w:trHeight w:val="38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23" w:lineRule="exact"/>
        <w:rPr>
          <w:sz w:val="20"/>
          <w:szCs w:val="20"/>
          <w:color w:val="auto"/>
        </w:rPr>
      </w:pPr>
    </w:p>
    <w:p>
      <w:pPr>
        <w:ind w:right="100" w:firstLine="441"/>
        <w:spacing w:after="0" w:line="214" w:lineRule="auto"/>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2018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20"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Dated: May 4, 2018</w:t>
      </w:r>
      <w:r>
        <w:rPr>
          <w:sz w:val="20"/>
          <w:szCs w:val="20"/>
          <w:color w:val="auto"/>
        </w:rPr>
        <w:tab/>
      </w:r>
      <w:r>
        <w:rPr>
          <w:rFonts w:ascii="Arial" w:cs="Arial" w:eastAsia="Arial" w:hAnsi="Arial"/>
          <w:sz w:val="15"/>
          <w:szCs w:val="15"/>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5960"/>
        <w:spacing w:after="0" w:line="203" w:lineRule="auto"/>
        <w:rPr>
          <w:sz w:val="20"/>
          <w:szCs w:val="20"/>
          <w:color w:val="auto"/>
        </w:rPr>
      </w:pPr>
      <w:r>
        <w:rPr>
          <w:rFonts w:ascii="Arial" w:cs="Arial" w:eastAsia="Arial" w:hAnsi="Arial"/>
          <w:sz w:val="18"/>
          <w:szCs w:val="18"/>
          <w:b w:val="1"/>
          <w:bCs w:val="1"/>
          <w:color w:val="auto"/>
        </w:rPr>
        <w:t>Steven R. Beauchamp</w:t>
      </w:r>
    </w:p>
    <w:p>
      <w:pPr>
        <w:ind w:left="5900"/>
        <w:spacing w:after="0"/>
        <w:rPr>
          <w:sz w:val="20"/>
          <w:szCs w:val="20"/>
          <w:color w:val="auto"/>
        </w:rPr>
      </w:pPr>
      <w:r>
        <w:rPr>
          <w:rFonts w:ascii="Arial" w:cs="Arial" w:eastAsia="Arial" w:hAnsi="Arial"/>
          <w:sz w:val="18"/>
          <w:szCs w:val="18"/>
          <w:b w:val="1"/>
          <w:bCs w:val="1"/>
          <w:color w:val="auto"/>
        </w:rPr>
        <w:t>Chief Executive 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23" w:lineRule="exact"/>
        <w:rPr>
          <w:sz w:val="20"/>
          <w:szCs w:val="20"/>
          <w:color w:val="auto"/>
        </w:rPr>
      </w:pPr>
    </w:p>
    <w:p>
      <w:pPr>
        <w:ind w:right="140" w:firstLine="441"/>
        <w:spacing w:after="0" w:line="214" w:lineRule="auto"/>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2018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3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May 4, 2018</w:t>
      </w:r>
      <w:r>
        <w:rPr>
          <w:sz w:val="20"/>
          <w:szCs w:val="20"/>
          <w:color w:val="auto"/>
        </w:rPr>
        <w:tab/>
      </w:r>
      <w:r>
        <w:rPr>
          <w:rFonts w:ascii="Arial" w:cs="Arial" w:eastAsia="Arial" w:hAnsi="Arial"/>
          <w:sz w:val="16"/>
          <w:szCs w:val="16"/>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-635</wp:posOffset>
            </wp:positionV>
            <wp:extent cx="30784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4220"/>
        <w:spacing w:after="0" w:line="203" w:lineRule="auto"/>
        <w:rPr>
          <w:sz w:val="20"/>
          <w:szCs w:val="20"/>
          <w:color w:val="auto"/>
        </w:rPr>
      </w:pPr>
      <w:r>
        <w:rPr>
          <w:rFonts w:ascii="Arial" w:cs="Arial" w:eastAsia="Arial" w:hAnsi="Arial"/>
          <w:sz w:val="18"/>
          <w:szCs w:val="18"/>
          <w:b w:val="1"/>
          <w:bCs w:val="1"/>
          <w:color w:val="auto"/>
        </w:rPr>
        <w:t>Toby J. Williams</w:t>
      </w:r>
    </w:p>
    <w:p>
      <w:pPr>
        <w:jc w:val="center"/>
        <w:ind w:left="422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2"/>
    </w:lvl>
  </w:abstractNum>
  <w:abstractNum w:abstractNumId="4">
    <w:nsid w:val="DED7263"/>
    <w:multiLevelType w:val="hybridMultilevel"/>
    <w:lvl w:ilvl="0">
      <w:lvlJc w:val="left"/>
      <w:lvlText w:val="(%1)"/>
      <w:numFmt w:val="lowerLetter"/>
      <w:start w:val="3"/>
    </w:lvl>
  </w:abstractNum>
  <w:abstractNum w:abstractNumId="5">
    <w:nsid w:val="7FDCC233"/>
    <w:multiLevelType w:val="hybridMultilevel"/>
    <w:lvl w:ilvl="0">
      <w:lvlJc w:val="left"/>
      <w:lvlText w:val="(%1)"/>
      <w:numFmt w:val="lowerLetter"/>
      <w:start w:val="4"/>
    </w:lvl>
  </w:abstractNum>
  <w:abstractNum w:abstractNumId="6">
    <w:nsid w:val="1BEFD79F"/>
    <w:multiLevelType w:val="hybridMultilevel"/>
    <w:lvl w:ilvl="0">
      <w:lvlJc w:val="left"/>
      <w:lvlText w:val="(%1)"/>
      <w:numFmt w:val="lowerLetter"/>
      <w:start w:val="5"/>
    </w:lvl>
  </w:abstractNum>
  <w:abstractNum w:abstractNumId="7">
    <w:nsid w:val="41A7C4C9"/>
    <w:multiLevelType w:val="hybridMultilevel"/>
    <w:lvl w:ilvl="0">
      <w:lvlJc w:val="left"/>
      <w:lvlText w:val="(%1)"/>
      <w:numFmt w:val="lowerLetter"/>
      <w:start w:val="6"/>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2"/>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lvl w:ilvl="1">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65" Type="http://schemas.openxmlformats.org/officeDocument/2006/relationships/hyperlink" Target="http://www.sec.gov/Archives/edgar/data/1591698/000104746914000931/a2218171zex-3_2.htm" TargetMode="External"/><Relationship Id="rId66" Type="http://schemas.openxmlformats.org/officeDocument/2006/relationships/hyperlink" Target="http://www.sec.gov/Archives/edgar/data/1591698/000155837017006561/pcty-20170630ex321ac616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2019-12-28T22:29:10Z</dcterms:created>
  <dcterms:modified xsi:type="dcterms:W3CDTF">2019-12-28T22:29:10Z</dcterms:modified>
</cp:coreProperties>
</file>