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-207645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133350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8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160020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660" w:hanging="326"/>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September 30, 2021</w:t>
      </w:r>
    </w:p>
    <w:p>
      <w:pPr>
        <w:spacing w:after="0" w:line="140" w:lineRule="exact"/>
        <w:rPr>
          <w:sz w:val="24"/>
          <w:szCs w:val="24"/>
          <w:color w:val="auto"/>
        </w:rPr>
      </w:pPr>
    </w:p>
    <w:p>
      <w:pPr>
        <w:ind w:left="660" w:hanging="326"/>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3" w:lineRule="exact"/>
        <w:rPr>
          <w:sz w:val="24"/>
          <w:szCs w:val="24"/>
          <w:color w:val="auto"/>
        </w:rPr>
      </w:pPr>
    </w:p>
    <w:p>
      <w:pPr>
        <w:ind w:left="3960"/>
        <w:spacing w:after="0"/>
        <w:tabs>
          <w:tab w:leader="none" w:pos="59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Commission file number 001-36348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152400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PAYLOCITY HOLDING CORPORATION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47625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6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460" w:type="dxa"/>
            <w:vAlign w:val="bottom"/>
            <w:gridSpan w:val="2"/>
          </w:tcPr>
          <w:p>
            <w:pPr>
              <w:jc w:val="center"/>
              <w:ind w:left="1488"/>
              <w:spacing w:after="0"/>
              <w:rPr>
                <w:sz w:val="20"/>
                <w:szCs w:val="20"/>
                <w:color w:val="auto"/>
              </w:rPr>
            </w:pPr>
            <w:r>
              <w:rPr>
                <w:rFonts w:ascii="Arial" w:cs="Arial" w:eastAsia="Arial" w:hAnsi="Arial"/>
                <w:sz w:val="14"/>
                <w:szCs w:val="14"/>
                <w:b w:val="1"/>
                <w:bCs w:val="1"/>
                <w:color w:val="auto"/>
                <w:w w:val="94"/>
              </w:rPr>
              <w:t>Delaware</w:t>
            </w:r>
          </w:p>
        </w:tc>
        <w:tc>
          <w:tcPr>
            <w:tcW w:w="3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40" w:type="dxa"/>
            <w:vAlign w:val="bottom"/>
          </w:tcPr>
          <w:p>
            <w:pPr>
              <w:jc w:val="center"/>
              <w:ind w:right="1608"/>
              <w:spacing w:after="0"/>
              <w:rPr>
                <w:sz w:val="20"/>
                <w:szCs w:val="20"/>
                <w:color w:val="auto"/>
              </w:rPr>
            </w:pPr>
            <w:r>
              <w:rPr>
                <w:rFonts w:ascii="Arial" w:cs="Arial" w:eastAsia="Arial" w:hAnsi="Arial"/>
                <w:sz w:val="14"/>
                <w:szCs w:val="14"/>
                <w:b w:val="1"/>
                <w:bCs w:val="1"/>
                <w:color w:val="auto"/>
                <w:w w:val="93"/>
              </w:rPr>
              <w:t>46-4066644</w:t>
            </w:r>
          </w:p>
        </w:tc>
        <w:tc>
          <w:tcPr>
            <w:tcW w:w="0" w:type="dxa"/>
            <w:vAlign w:val="bottom"/>
          </w:tcPr>
          <w:p>
            <w:pPr>
              <w:spacing w:after="0"/>
              <w:rPr>
                <w:sz w:val="1"/>
                <w:szCs w:val="1"/>
                <w:color w:val="auto"/>
              </w:rPr>
            </w:pPr>
          </w:p>
        </w:tc>
      </w:tr>
      <w:tr>
        <w:trPr>
          <w:trHeight w:val="149"/>
        </w:trPr>
        <w:tc>
          <w:tcPr>
            <w:tcW w:w="3460" w:type="dxa"/>
            <w:vAlign w:val="bottom"/>
            <w:gridSpan w:val="2"/>
          </w:tcPr>
          <w:p>
            <w:pPr>
              <w:jc w:val="center"/>
              <w:ind w:left="1508"/>
              <w:spacing w:after="0" w:line="149" w:lineRule="exact"/>
              <w:rPr>
                <w:sz w:val="20"/>
                <w:szCs w:val="20"/>
                <w:color w:val="auto"/>
              </w:rPr>
            </w:pPr>
            <w:r>
              <w:rPr>
                <w:rFonts w:ascii="Arial" w:cs="Arial" w:eastAsia="Arial" w:hAnsi="Arial"/>
                <w:sz w:val="14"/>
                <w:szCs w:val="14"/>
                <w:color w:val="auto"/>
                <w:w w:val="95"/>
              </w:rPr>
              <w:t>(State or other jurisdiction of</w:t>
            </w:r>
          </w:p>
        </w:tc>
        <w:tc>
          <w:tcPr>
            <w:tcW w:w="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40" w:type="dxa"/>
            <w:vAlign w:val="bottom"/>
          </w:tcPr>
          <w:p>
            <w:pPr>
              <w:jc w:val="center"/>
              <w:ind w:right="1608"/>
              <w:spacing w:after="0" w:line="149" w:lineRule="exact"/>
              <w:rPr>
                <w:sz w:val="20"/>
                <w:szCs w:val="20"/>
                <w:color w:val="auto"/>
              </w:rPr>
            </w:pPr>
            <w:r>
              <w:rPr>
                <w:rFonts w:ascii="Arial" w:cs="Arial" w:eastAsia="Arial" w:hAnsi="Arial"/>
                <w:sz w:val="14"/>
                <w:szCs w:val="14"/>
                <w:color w:val="auto"/>
                <w:w w:val="94"/>
              </w:rPr>
              <w:t>(IRS Employer</w:t>
            </w:r>
          </w:p>
        </w:tc>
        <w:tc>
          <w:tcPr>
            <w:tcW w:w="0" w:type="dxa"/>
            <w:vAlign w:val="bottom"/>
          </w:tcPr>
          <w:p>
            <w:pPr>
              <w:spacing w:after="0"/>
              <w:rPr>
                <w:sz w:val="1"/>
                <w:szCs w:val="1"/>
                <w:color w:val="auto"/>
              </w:rPr>
            </w:pPr>
          </w:p>
        </w:tc>
      </w:tr>
      <w:tr>
        <w:trPr>
          <w:trHeight w:val="182"/>
        </w:trPr>
        <w:tc>
          <w:tcPr>
            <w:tcW w:w="3460" w:type="dxa"/>
            <w:vAlign w:val="bottom"/>
            <w:gridSpan w:val="2"/>
          </w:tcPr>
          <w:p>
            <w:pPr>
              <w:jc w:val="center"/>
              <w:ind w:left="1508"/>
              <w:spacing w:after="0"/>
              <w:rPr>
                <w:sz w:val="20"/>
                <w:szCs w:val="20"/>
                <w:color w:val="auto"/>
              </w:rPr>
            </w:pPr>
            <w:r>
              <w:rPr>
                <w:rFonts w:ascii="Arial" w:cs="Arial" w:eastAsia="Arial" w:hAnsi="Arial"/>
                <w:sz w:val="14"/>
                <w:szCs w:val="14"/>
                <w:color w:val="auto"/>
                <w:w w:val="94"/>
              </w:rPr>
              <w:t>incorporation or organization)</w:t>
            </w:r>
          </w:p>
        </w:tc>
        <w:tc>
          <w:tcPr>
            <w:tcW w:w="3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40" w:type="dxa"/>
            <w:vAlign w:val="bottom"/>
          </w:tcPr>
          <w:p>
            <w:pPr>
              <w:jc w:val="center"/>
              <w:ind w:right="1608"/>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286"/>
        </w:trPr>
        <w:tc>
          <w:tcPr>
            <w:tcW w:w="3460" w:type="dxa"/>
            <w:vAlign w:val="bottom"/>
            <w:gridSpan w:val="2"/>
          </w:tcPr>
          <w:p>
            <w:pPr>
              <w:jc w:val="center"/>
              <w:ind w:left="1588"/>
              <w:spacing w:after="0"/>
              <w:rPr>
                <w:sz w:val="20"/>
                <w:szCs w:val="20"/>
                <w:color w:val="auto"/>
              </w:rPr>
            </w:pPr>
            <w:r>
              <w:rPr>
                <w:rFonts w:ascii="Arial" w:cs="Arial" w:eastAsia="Arial" w:hAnsi="Arial"/>
                <w:sz w:val="14"/>
                <w:szCs w:val="14"/>
                <w:b w:val="1"/>
                <w:bCs w:val="1"/>
                <w:color w:val="auto"/>
                <w:w w:val="94"/>
              </w:rPr>
              <w:t>1400 American Lane</w:t>
            </w:r>
          </w:p>
        </w:tc>
        <w:tc>
          <w:tcPr>
            <w:tcW w:w="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40" w:type="dxa"/>
            <w:vAlign w:val="bottom"/>
            <w:vMerge w:val="restart"/>
          </w:tcPr>
          <w:p>
            <w:pPr>
              <w:jc w:val="right"/>
              <w:ind w:right="2308"/>
              <w:spacing w:after="0"/>
              <w:rPr>
                <w:sz w:val="20"/>
                <w:szCs w:val="20"/>
                <w:color w:val="auto"/>
              </w:rPr>
            </w:pPr>
            <w:r>
              <w:rPr>
                <w:rFonts w:ascii="Arial" w:cs="Arial" w:eastAsia="Arial" w:hAnsi="Arial"/>
                <w:sz w:val="14"/>
                <w:szCs w:val="14"/>
                <w:b w:val="1"/>
                <w:bCs w:val="1"/>
                <w:color w:val="auto"/>
              </w:rPr>
              <w:t>60173</w:t>
            </w:r>
          </w:p>
        </w:tc>
        <w:tc>
          <w:tcPr>
            <w:tcW w:w="0" w:type="dxa"/>
            <w:vAlign w:val="bottom"/>
          </w:tcPr>
          <w:p>
            <w:pPr>
              <w:spacing w:after="0"/>
              <w:rPr>
                <w:sz w:val="1"/>
                <w:szCs w:val="1"/>
                <w:color w:val="auto"/>
              </w:rPr>
            </w:pPr>
          </w:p>
        </w:tc>
      </w:tr>
      <w:tr>
        <w:trPr>
          <w:trHeight w:val="152"/>
        </w:trPr>
        <w:tc>
          <w:tcPr>
            <w:tcW w:w="3460" w:type="dxa"/>
            <w:vAlign w:val="bottom"/>
            <w:gridSpan w:val="2"/>
          </w:tcPr>
          <w:p>
            <w:pPr>
              <w:jc w:val="center"/>
              <w:ind w:left="1608"/>
              <w:spacing w:after="0" w:line="153" w:lineRule="exact"/>
              <w:rPr>
                <w:sz w:val="20"/>
                <w:szCs w:val="20"/>
                <w:color w:val="auto"/>
              </w:rPr>
            </w:pPr>
            <w:r>
              <w:rPr>
                <w:rFonts w:ascii="Arial" w:cs="Arial" w:eastAsia="Arial" w:hAnsi="Arial"/>
                <w:sz w:val="14"/>
                <w:szCs w:val="14"/>
                <w:b w:val="1"/>
                <w:bCs w:val="1"/>
                <w:color w:val="auto"/>
                <w:w w:val="94"/>
              </w:rPr>
              <w:t>Schaumburg, Illinois</w:t>
            </w:r>
          </w:p>
        </w:tc>
        <w:tc>
          <w:tcPr>
            <w:tcW w:w="3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900" w:type="dxa"/>
            <w:vAlign w:val="bottom"/>
            <w:gridSpan w:val="6"/>
          </w:tcPr>
          <w:p>
            <w:pPr>
              <w:jc w:val="center"/>
              <w:ind w:right="1780"/>
              <w:spacing w:after="0" w:line="145" w:lineRule="exact"/>
              <w:rPr>
                <w:sz w:val="20"/>
                <w:szCs w:val="20"/>
                <w:color w:val="auto"/>
              </w:rPr>
            </w:pPr>
            <w:r>
              <w:rPr>
                <w:rFonts w:ascii="Arial" w:cs="Arial" w:eastAsia="Arial" w:hAnsi="Arial"/>
                <w:sz w:val="14"/>
                <w:szCs w:val="14"/>
                <w:color w:val="auto"/>
                <w:w w:val="95"/>
              </w:rPr>
              <w:t>(Address of principal executive offices)</w:t>
            </w:r>
          </w:p>
        </w:tc>
        <w:tc>
          <w:tcPr>
            <w:tcW w:w="3340" w:type="dxa"/>
            <w:vAlign w:val="bottom"/>
          </w:tcPr>
          <w:p>
            <w:pPr>
              <w:ind w:left="460"/>
              <w:spacing w:after="0" w:line="145" w:lineRule="exact"/>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40" w:type="dxa"/>
            <w:vAlign w:val="bottom"/>
            <w:gridSpan w:val="2"/>
          </w:tcPr>
          <w:p>
            <w:pPr>
              <w:jc w:val="center"/>
              <w:ind w:left="328"/>
              <w:spacing w:after="0" w:line="153" w:lineRule="exact"/>
              <w:rPr>
                <w:sz w:val="20"/>
                <w:szCs w:val="20"/>
                <w:color w:val="auto"/>
              </w:rPr>
            </w:pPr>
            <w:r>
              <w:rPr>
                <w:rFonts w:ascii="Arial" w:cs="Arial" w:eastAsia="Arial" w:hAnsi="Arial"/>
                <w:sz w:val="14"/>
                <w:szCs w:val="14"/>
                <w:b w:val="1"/>
                <w:bCs w:val="1"/>
                <w:color w:val="auto"/>
                <w:w w:val="93"/>
              </w:rPr>
              <w:t>(847) 463-3200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4"/>
          </w:tcPr>
          <w:p>
            <w:pPr>
              <w:jc w:val="center"/>
              <w:ind w:right="120"/>
              <w:spacing w:after="0"/>
              <w:rPr>
                <w:sz w:val="20"/>
                <w:szCs w:val="20"/>
                <w:color w:val="auto"/>
              </w:rPr>
            </w:pPr>
            <w:r>
              <w:rPr>
                <w:rFonts w:ascii="Arial" w:cs="Arial" w:eastAsia="Arial" w:hAnsi="Arial"/>
                <w:sz w:val="14"/>
                <w:szCs w:val="14"/>
                <w:color w:val="auto"/>
                <w:w w:val="92"/>
              </w:rPr>
              <w:t>(Registrant’s telephone number, including area code)</w:t>
            </w: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3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500" w:type="dxa"/>
            <w:vAlign w:val="bottom"/>
            <w:gridSpan w:val="2"/>
          </w:tcPr>
          <w:p>
            <w:pPr>
              <w:spacing w:after="0"/>
              <w:rPr>
                <w:sz w:val="5"/>
                <w:szCs w:val="5"/>
                <w:color w:val="auto"/>
              </w:rPr>
            </w:pPr>
          </w:p>
        </w:tc>
        <w:tc>
          <w:tcPr>
            <w:tcW w:w="3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3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40" w:type="dxa"/>
            <w:vAlign w:val="bottom"/>
            <w:gridSpan w:val="4"/>
          </w:tcPr>
          <w:p>
            <w:pPr>
              <w:jc w:val="center"/>
              <w:ind w:right="120"/>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380" w:type="dxa"/>
            <w:vAlign w:val="bottom"/>
          </w:tcPr>
          <w:p>
            <w:pPr>
              <w:spacing w:after="0"/>
              <w:rPr>
                <w:sz w:val="24"/>
                <w:szCs w:val="24"/>
                <w:color w:val="auto"/>
              </w:rPr>
            </w:pPr>
          </w:p>
        </w:tc>
        <w:tc>
          <w:tcPr>
            <w:tcW w:w="30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2"/>
              </w:rPr>
              <w:t>Trading Symbol(s)</w:t>
            </w:r>
          </w:p>
        </w:tc>
        <w:tc>
          <w:tcPr>
            <w:tcW w:w="3340" w:type="dxa"/>
            <w:vAlign w:val="bottom"/>
          </w:tcPr>
          <w:p>
            <w:pPr>
              <w:ind w:left="34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5"/>
        </w:trPr>
        <w:tc>
          <w:tcPr>
            <w:tcW w:w="324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40" w:type="dxa"/>
            <w:vAlign w:val="bottom"/>
          </w:tcPr>
          <w:p>
            <w:pPr>
              <w:jc w:val="center"/>
              <w:spacing w:after="0"/>
              <w:rPr>
                <w:sz w:val="20"/>
                <w:szCs w:val="20"/>
                <w:color w:val="auto"/>
              </w:rPr>
            </w:pPr>
            <w:r>
              <w:rPr>
                <w:rFonts w:ascii="Arial" w:cs="Arial" w:eastAsia="Arial" w:hAnsi="Arial"/>
                <w:sz w:val="14"/>
                <w:szCs w:val="14"/>
                <w:color w:val="auto"/>
                <w:w w:val="91"/>
              </w:rPr>
              <w:t>Common Stock, par value $0.001 per share</w:t>
            </w:r>
          </w:p>
        </w:tc>
        <w:tc>
          <w:tcPr>
            <w:tcW w:w="2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2840" w:type="dxa"/>
            <w:vAlign w:val="bottom"/>
            <w:gridSpan w:val="2"/>
          </w:tcPr>
          <w:p>
            <w:pPr>
              <w:jc w:val="center"/>
              <w:ind w:right="380"/>
              <w:spacing w:after="0"/>
              <w:rPr>
                <w:sz w:val="20"/>
                <w:szCs w:val="20"/>
                <w:color w:val="auto"/>
              </w:rPr>
            </w:pPr>
            <w:r>
              <w:rPr>
                <w:rFonts w:ascii="Arial" w:cs="Arial" w:eastAsia="Arial" w:hAnsi="Arial"/>
                <w:sz w:val="14"/>
                <w:szCs w:val="14"/>
                <w:color w:val="auto"/>
              </w:rPr>
              <w:t>PCTY</w:t>
            </w:r>
          </w:p>
        </w:tc>
        <w:tc>
          <w:tcPr>
            <w:tcW w:w="220" w:type="dxa"/>
            <w:vAlign w:val="bottom"/>
            <w:vMerge w:val="continue"/>
          </w:tcPr>
          <w:p>
            <w:pPr>
              <w:spacing w:after="0"/>
              <w:rPr>
                <w:sz w:val="15"/>
                <w:szCs w:val="15"/>
                <w:color w:val="auto"/>
              </w:rPr>
            </w:pPr>
          </w:p>
        </w:tc>
        <w:tc>
          <w:tcPr>
            <w:tcW w:w="3340" w:type="dxa"/>
            <w:vAlign w:val="bottom"/>
          </w:tcPr>
          <w:p>
            <w:pPr>
              <w:ind w:left="460"/>
              <w:spacing w:after="0"/>
              <w:rPr>
                <w:sz w:val="20"/>
                <w:szCs w:val="20"/>
                <w:color w:val="auto"/>
              </w:rPr>
            </w:pPr>
            <w:r>
              <w:rPr>
                <w:rFonts w:ascii="Arial" w:cs="Arial" w:eastAsia="Arial" w:hAnsi="Arial"/>
                <w:sz w:val="14"/>
                <w:szCs w:val="14"/>
                <w:color w:val="auto"/>
              </w:rPr>
              <w:t>The NASDAQ Global Select Market LLC</w:t>
            </w:r>
          </w:p>
        </w:tc>
        <w:tc>
          <w:tcPr>
            <w:tcW w:w="0" w:type="dxa"/>
            <w:vAlign w:val="bottom"/>
          </w:tcPr>
          <w:p>
            <w:pPr>
              <w:spacing w:after="0"/>
              <w:rPr>
                <w:sz w:val="1"/>
                <w:szCs w:val="1"/>
                <w:color w:val="auto"/>
              </w:rPr>
            </w:pPr>
          </w:p>
        </w:tc>
      </w:tr>
    </w:tbl>
    <w:p>
      <w:pPr>
        <w:spacing w:after="0" w:line="204" w:lineRule="exact"/>
        <w:rPr>
          <w:sz w:val="24"/>
          <w:szCs w:val="24"/>
          <w:color w:val="auto"/>
        </w:rPr>
      </w:pPr>
    </w:p>
    <w:p>
      <w:pPr>
        <w:ind w:left="20" w:right="420" w:firstLine="441"/>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ind w:left="20" w:right="20" w:firstLine="441"/>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12" w:lineRule="exact"/>
        <w:rPr>
          <w:sz w:val="24"/>
          <w:szCs w:val="24"/>
          <w:color w:val="auto"/>
        </w:rPr>
      </w:pPr>
    </w:p>
    <w:p>
      <w:pPr>
        <w:jc w:val="both"/>
        <w:ind w:left="20" w:right="60" w:firstLine="441"/>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520" w:type="dxa"/>
        <w:tblCellMar>
          <w:top w:w="0" w:type="dxa"/>
          <w:left w:w="0" w:type="dxa"/>
          <w:bottom w:w="0" w:type="dxa"/>
          <w:right w:w="0" w:type="dxa"/>
        </w:tblCellMar>
      </w:tblPr>
      <w:tr>
        <w:trPr>
          <w:trHeight w:val="226"/>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5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3900" w:type="dxa"/>
            <w:vAlign w:val="bottom"/>
          </w:tcPr>
          <w:p>
            <w:pPr>
              <w:ind w:left="2200"/>
              <w:spacing w:after="0"/>
              <w:rPr>
                <w:sz w:val="20"/>
                <w:szCs w:val="20"/>
                <w:color w:val="auto"/>
              </w:rPr>
            </w:pPr>
            <w:r>
              <w:rPr>
                <w:rFonts w:ascii="Arial" w:cs="Arial" w:eastAsia="Arial" w:hAnsi="Arial"/>
                <w:sz w:val="14"/>
                <w:szCs w:val="14"/>
                <w:color w:val="auto"/>
              </w:rPr>
              <w:t>Accelerated Filer</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25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3900" w:type="dxa"/>
            <w:vAlign w:val="bottom"/>
          </w:tcPr>
          <w:p>
            <w:pPr>
              <w:ind w:left="2200"/>
              <w:spacing w:after="0"/>
              <w:rPr>
                <w:sz w:val="20"/>
                <w:szCs w:val="20"/>
                <w:color w:val="auto"/>
              </w:rPr>
            </w:pPr>
            <w:r>
              <w:rPr>
                <w:rFonts w:ascii="Arial" w:cs="Arial" w:eastAsia="Arial" w:hAnsi="Arial"/>
                <w:sz w:val="14"/>
                <w:szCs w:val="14"/>
                <w:color w:val="auto"/>
                <w:w w:val="95"/>
              </w:rPr>
              <w:t>Smaller Reporting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1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900" w:type="dxa"/>
            <w:vAlign w:val="bottom"/>
          </w:tcPr>
          <w:p>
            <w:pPr>
              <w:ind w:left="2200"/>
              <w:spacing w:after="0"/>
              <w:rPr>
                <w:sz w:val="20"/>
                <w:szCs w:val="20"/>
                <w:color w:val="auto"/>
              </w:rPr>
            </w:pPr>
            <w:r>
              <w:rPr>
                <w:rFonts w:ascii="Arial" w:cs="Arial" w:eastAsia="Arial" w:hAnsi="Arial"/>
                <w:sz w:val="14"/>
                <w:szCs w:val="14"/>
                <w:color w:val="auto"/>
                <w:w w:val="97"/>
              </w:rPr>
              <w:t>Emerging Growth Company</w:t>
            </w:r>
          </w:p>
        </w:tc>
        <w:tc>
          <w:tcPr>
            <w:tcW w:w="24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180" w:lineRule="exact"/>
        <w:rPr>
          <w:sz w:val="24"/>
          <w:szCs w:val="24"/>
          <w:color w:val="auto"/>
        </w:rPr>
      </w:pPr>
    </w:p>
    <w:p>
      <w:pPr>
        <w:ind w:left="20" w:right="340" w:firstLine="44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4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7" w:lineRule="exact"/>
        <w:rPr>
          <w:sz w:val="24"/>
          <w:szCs w:val="24"/>
          <w:color w:val="auto"/>
        </w:rPr>
      </w:pPr>
    </w:p>
    <w:p>
      <w:pPr>
        <w:ind w:left="20" w:right="100" w:firstLine="441"/>
        <w:spacing w:after="0" w:line="253" w:lineRule="auto"/>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 55,026,308 shares of Common Stock, $0.001 par value per share, as of October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405130</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-14605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27940</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w:t>
            </w:r>
          </w:p>
        </w:tc>
      </w:tr>
      <w:tr>
        <w:trPr>
          <w:trHeight w:val="38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60" w:type="dxa"/>
            <w:vAlign w:val="bottom"/>
            <w:gridSpan w:val="16"/>
          </w:tcPr>
          <w:p>
            <w:pPr>
              <w:jc w:val="center"/>
              <w:ind w:right="2880"/>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80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ITEM 1. FINANCIAL STATEMENTS</w:t>
              </w:r>
            </w:hyperlink>
          </w:p>
        </w:tc>
        <w:tc>
          <w:tcPr>
            <w:tcW w:w="5620" w:type="dxa"/>
            <w:vAlign w:val="bottom"/>
            <w:gridSpan w:val="15"/>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28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Consolidated Balance Sheets</w:t>
              </w:r>
            </w:hyperlink>
          </w:p>
        </w:tc>
        <w:tc>
          <w:tcPr>
            <w:tcW w:w="5540" w:type="dxa"/>
            <w:vAlign w:val="bottom"/>
            <w:gridSpan w:val="13"/>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412"/>
        </w:trPr>
        <w:tc>
          <w:tcPr>
            <w:tcW w:w="20" w:type="dxa"/>
            <w:vAlign w:val="bottom"/>
          </w:tcPr>
          <w:p>
            <w:pPr>
              <w:spacing w:after="0"/>
              <w:rPr>
                <w:sz w:val="24"/>
                <w:szCs w:val="24"/>
                <w:color w:val="auto"/>
              </w:rPr>
            </w:pPr>
          </w:p>
        </w:tc>
        <w:tc>
          <w:tcPr>
            <w:tcW w:w="842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Operations and Comprehensive Income</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412"/>
        </w:trPr>
        <w:tc>
          <w:tcPr>
            <w:tcW w:w="20" w:type="dxa"/>
            <w:vAlign w:val="bottom"/>
          </w:tcPr>
          <w:p>
            <w:pPr>
              <w:spacing w:after="0"/>
              <w:rPr>
                <w:sz w:val="24"/>
                <w:szCs w:val="24"/>
                <w:color w:val="auto"/>
              </w:rPr>
            </w:pPr>
          </w:p>
        </w:tc>
        <w:tc>
          <w:tcPr>
            <w:tcW w:w="51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Consolidated Statement of Changes in Stockholders’ Equity</w:t>
              </w:r>
            </w:hyperlink>
          </w:p>
        </w:tc>
        <w:tc>
          <w:tcPr>
            <w:tcW w:w="540" w:type="dxa"/>
            <w:vAlign w:val="bottom"/>
            <w:tcBorders>
              <w:top w:val="single" w:sz="8" w:color="0000EE"/>
            </w:tcBorders>
            <w:gridSpan w:val="3"/>
          </w:tcPr>
          <w:p>
            <w:pPr>
              <w:spacing w:after="0"/>
              <w:rPr>
                <w:sz w:val="24"/>
                <w:szCs w:val="24"/>
                <w:color w:val="auto"/>
              </w:rPr>
            </w:pPr>
          </w:p>
        </w:tc>
        <w:tc>
          <w:tcPr>
            <w:tcW w:w="2760" w:type="dxa"/>
            <w:vAlign w:val="bottom"/>
            <w:gridSpan w:val="4"/>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412"/>
        </w:trPr>
        <w:tc>
          <w:tcPr>
            <w:tcW w:w="20" w:type="dxa"/>
            <w:vAlign w:val="bottom"/>
          </w:tcPr>
          <w:p>
            <w:pPr>
              <w:spacing w:after="0"/>
              <w:rPr>
                <w:sz w:val="24"/>
                <w:szCs w:val="24"/>
                <w:color w:val="auto"/>
              </w:rPr>
            </w:pPr>
          </w:p>
        </w:tc>
        <w:tc>
          <w:tcPr>
            <w:tcW w:w="36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Statements of Cash Flows</w:t>
              </w:r>
            </w:hyperlink>
          </w:p>
        </w:tc>
        <w:tc>
          <w:tcPr>
            <w:tcW w:w="4760" w:type="dxa"/>
            <w:vAlign w:val="bottom"/>
            <w:gridSpan w:val="10"/>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412"/>
        </w:trPr>
        <w:tc>
          <w:tcPr>
            <w:tcW w:w="20" w:type="dxa"/>
            <w:vAlign w:val="bottom"/>
          </w:tcPr>
          <w:p>
            <w:pPr>
              <w:spacing w:after="0"/>
              <w:rPr>
                <w:sz w:val="24"/>
                <w:szCs w:val="24"/>
                <w:color w:val="auto"/>
              </w:rPr>
            </w:pPr>
          </w:p>
        </w:tc>
        <w:tc>
          <w:tcPr>
            <w:tcW w:w="42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the Unaudited Consolidated Financial Statements</w:t>
              </w:r>
            </w:hyperlink>
          </w:p>
        </w:tc>
        <w:tc>
          <w:tcPr>
            <w:tcW w:w="4220" w:type="dxa"/>
            <w:vAlign w:val="bottom"/>
            <w:gridSpan w:val="8"/>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412"/>
        </w:trPr>
        <w:tc>
          <w:tcPr>
            <w:tcW w:w="20" w:type="dxa"/>
            <w:vAlign w:val="bottom"/>
          </w:tcPr>
          <w:p>
            <w:pPr>
              <w:spacing w:after="0"/>
              <w:rPr>
                <w:sz w:val="24"/>
                <w:szCs w:val="24"/>
                <w:color w:val="auto"/>
              </w:rPr>
            </w:pPr>
          </w:p>
        </w:tc>
        <w:tc>
          <w:tcPr>
            <w:tcW w:w="8420" w:type="dxa"/>
            <w:vAlign w:val="bottom"/>
            <w:gridSpan w:val="2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w:t>
              </w:r>
            </w:hyperlink>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1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OF OPERATIONS</w:t>
              </w:r>
            </w:hyperlink>
          </w:p>
        </w:tc>
        <w:tc>
          <w:tcPr>
            <w:tcW w:w="280" w:type="dxa"/>
            <w:vAlign w:val="bottom"/>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800" w:type="dxa"/>
            <w:vAlign w:val="bottom"/>
            <w:tcBorders>
              <w:bottom w:val="single" w:sz="8" w:color="0000EE"/>
            </w:tcBorders>
            <w:gridSpan w:val="21"/>
          </w:tcPr>
          <w:p>
            <w:pPr>
              <w:spacing w:after="0"/>
              <w:rPr>
                <w:rFonts w:ascii="Arial" w:cs="Arial" w:eastAsia="Arial" w:hAnsi="Arial"/>
                <w:sz w:val="18"/>
                <w:szCs w:val="18"/>
                <w:color w:val="0000EE"/>
                <w:w w:val="97"/>
              </w:rPr>
            </w:pPr>
            <w:hyperlink w:anchor="page31">
              <w:r>
                <w:rPr>
                  <w:rFonts w:ascii="Arial" w:cs="Arial" w:eastAsia="Arial" w:hAnsi="Arial"/>
                  <w:sz w:val="18"/>
                  <w:szCs w:val="18"/>
                  <w:color w:val="0000EE"/>
                  <w:w w:val="97"/>
                </w:rPr>
                <w:t>ITEM 3. QUANTITATIVE AND QUALITATIVE DISCLOSURES ABOUT MARKET RISK</w:t>
              </w:r>
            </w:hyperlink>
          </w:p>
        </w:tc>
        <w:tc>
          <w:tcPr>
            <w:tcW w:w="1620" w:type="dxa"/>
            <w:vAlign w:val="bottom"/>
            <w:gridSpan w:val="2"/>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412"/>
        </w:trPr>
        <w:tc>
          <w:tcPr>
            <w:tcW w:w="20" w:type="dxa"/>
            <w:vAlign w:val="bottom"/>
          </w:tcPr>
          <w:p>
            <w:pPr>
              <w:spacing w:after="0"/>
              <w:rPr>
                <w:sz w:val="24"/>
                <w:szCs w:val="24"/>
                <w:color w:val="auto"/>
              </w:rPr>
            </w:pPr>
          </w:p>
        </w:tc>
        <w:tc>
          <w:tcPr>
            <w:tcW w:w="326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32">
              <w:r>
                <w:rPr>
                  <w:rFonts w:ascii="Arial" w:cs="Arial" w:eastAsia="Arial" w:hAnsi="Arial"/>
                  <w:sz w:val="18"/>
                  <w:szCs w:val="18"/>
                  <w:color w:val="0000EE"/>
                  <w:w w:val="94"/>
                </w:rPr>
                <w:t>ITEM 4. CONTROLS AND PROCEDURES</w:t>
              </w:r>
            </w:hyperlink>
          </w:p>
        </w:tc>
        <w:tc>
          <w:tcPr>
            <w:tcW w:w="5160" w:type="dxa"/>
            <w:vAlign w:val="bottom"/>
            <w:gridSpan w:val="11"/>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41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20" w:type="dxa"/>
            <w:vAlign w:val="bottom"/>
            <w:gridSpan w:val="15"/>
          </w:tcPr>
          <w:p>
            <w:pPr>
              <w:jc w:val="center"/>
              <w:ind w:right="3020"/>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PART II. OTHER INFORMATION</w:t>
              </w:r>
            </w:hyperlink>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2820" w:type="dxa"/>
            <w:vAlign w:val="bottom"/>
            <w:gridSpan w:val="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1. LEGAL PROCEEDINGS</w:t>
              </w:r>
            </w:hyperlink>
          </w:p>
        </w:tc>
        <w:tc>
          <w:tcPr>
            <w:tcW w:w="2560" w:type="dxa"/>
            <w:vAlign w:val="bottom"/>
            <w:tcBorders>
              <w:top w:val="single" w:sz="8" w:color="0000EE"/>
            </w:tcBorders>
            <w:gridSpan w:val="8"/>
          </w:tcPr>
          <w:p>
            <w:pPr>
              <w:spacing w:after="0"/>
              <w:rPr>
                <w:sz w:val="24"/>
                <w:szCs w:val="24"/>
                <w:color w:val="auto"/>
              </w:rPr>
            </w:pPr>
          </w:p>
        </w:tc>
        <w:tc>
          <w:tcPr>
            <w:tcW w:w="3040" w:type="dxa"/>
            <w:vAlign w:val="bottom"/>
            <w:gridSpan w:val="6"/>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412"/>
        </w:trPr>
        <w:tc>
          <w:tcPr>
            <w:tcW w:w="20" w:type="dxa"/>
            <w:vAlign w:val="bottom"/>
          </w:tcPr>
          <w:p>
            <w:pPr>
              <w:spacing w:after="0"/>
              <w:rPr>
                <w:sz w:val="24"/>
                <w:szCs w:val="24"/>
                <w:color w:val="auto"/>
              </w:rPr>
            </w:pPr>
          </w:p>
        </w:tc>
        <w:tc>
          <w:tcPr>
            <w:tcW w:w="20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ITEM 1A. RISK FACTORS</w:t>
              </w:r>
            </w:hyperlink>
          </w:p>
        </w:tc>
        <w:tc>
          <w:tcPr>
            <w:tcW w:w="480" w:type="dxa"/>
            <w:vAlign w:val="bottom"/>
            <w:tcBorders>
              <w:top w:val="single" w:sz="8" w:color="0000EE"/>
            </w:tcBorders>
          </w:tcPr>
          <w:p>
            <w:pPr>
              <w:spacing w:after="0"/>
              <w:rPr>
                <w:sz w:val="24"/>
                <w:szCs w:val="24"/>
                <w:color w:val="auto"/>
              </w:rPr>
            </w:pPr>
          </w:p>
        </w:tc>
        <w:tc>
          <w:tcPr>
            <w:tcW w:w="5900" w:type="dxa"/>
            <w:vAlign w:val="bottom"/>
            <w:gridSpan w:val="18"/>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412"/>
        </w:trPr>
        <w:tc>
          <w:tcPr>
            <w:tcW w:w="20" w:type="dxa"/>
            <w:vAlign w:val="bottom"/>
          </w:tcPr>
          <w:p>
            <w:pPr>
              <w:spacing w:after="0"/>
              <w:rPr>
                <w:sz w:val="24"/>
                <w:szCs w:val="24"/>
                <w:color w:val="auto"/>
              </w:rPr>
            </w:pPr>
          </w:p>
        </w:tc>
        <w:tc>
          <w:tcPr>
            <w:tcW w:w="8420" w:type="dxa"/>
            <w:vAlign w:val="bottom"/>
            <w:gridSpan w:val="2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2. UNREGISTERED SALES OF EQUITY SECURITIES AND USE OF PROCEEDS</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412"/>
        </w:trPr>
        <w:tc>
          <w:tcPr>
            <w:tcW w:w="20" w:type="dxa"/>
            <w:vAlign w:val="bottom"/>
          </w:tcPr>
          <w:p>
            <w:pPr>
              <w:spacing w:after="0"/>
              <w:rPr>
                <w:sz w:val="24"/>
                <w:szCs w:val="24"/>
                <w:color w:val="auto"/>
              </w:rPr>
            </w:pPr>
          </w:p>
        </w:tc>
        <w:tc>
          <w:tcPr>
            <w:tcW w:w="384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ITEM 3. DEFAULTS UPON SENIOR SECURITIES</w:t>
              </w:r>
            </w:hyperlink>
          </w:p>
        </w:tc>
        <w:tc>
          <w:tcPr>
            <w:tcW w:w="2880" w:type="dxa"/>
            <w:vAlign w:val="bottom"/>
            <w:tcBorders>
              <w:top w:val="single" w:sz="8" w:color="0000EE"/>
            </w:tcBorders>
            <w:gridSpan w:val="6"/>
          </w:tcPr>
          <w:p>
            <w:pPr>
              <w:spacing w:after="0"/>
              <w:rPr>
                <w:sz w:val="24"/>
                <w:szCs w:val="24"/>
                <w:color w:val="auto"/>
              </w:rPr>
            </w:pPr>
          </w:p>
        </w:tc>
        <w:tc>
          <w:tcPr>
            <w:tcW w:w="1700" w:type="dxa"/>
            <w:vAlign w:val="bottom"/>
            <w:gridSpan w:val="3"/>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412"/>
        </w:trPr>
        <w:tc>
          <w:tcPr>
            <w:tcW w:w="20" w:type="dxa"/>
            <w:vAlign w:val="bottom"/>
          </w:tcPr>
          <w:p>
            <w:pPr>
              <w:spacing w:after="0"/>
              <w:rPr>
                <w:sz w:val="24"/>
                <w:szCs w:val="24"/>
                <w:color w:val="auto"/>
              </w:rPr>
            </w:pPr>
          </w:p>
        </w:tc>
        <w:tc>
          <w:tcPr>
            <w:tcW w:w="310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ITEM 4. MINE SAFETY DISCLOSURES</w:t>
              </w:r>
            </w:hyperlink>
          </w:p>
        </w:tc>
        <w:tc>
          <w:tcPr>
            <w:tcW w:w="5320" w:type="dxa"/>
            <w:vAlign w:val="bottom"/>
            <w:gridSpan w:val="12"/>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412"/>
        </w:trPr>
        <w:tc>
          <w:tcPr>
            <w:tcW w:w="20" w:type="dxa"/>
            <w:vAlign w:val="bottom"/>
          </w:tcPr>
          <w:p>
            <w:pPr>
              <w:spacing w:after="0"/>
              <w:rPr>
                <w:sz w:val="24"/>
                <w:szCs w:val="24"/>
                <w:color w:val="auto"/>
              </w:rPr>
            </w:pPr>
          </w:p>
        </w:tc>
        <w:tc>
          <w:tcPr>
            <w:tcW w:w="254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33">
              <w:r>
                <w:rPr>
                  <w:rFonts w:ascii="Arial" w:cs="Arial" w:eastAsia="Arial" w:hAnsi="Arial"/>
                  <w:sz w:val="18"/>
                  <w:szCs w:val="18"/>
                  <w:color w:val="0000EE"/>
                  <w:w w:val="96"/>
                </w:rPr>
                <w:t>ITEM 5. OTHER INFORMATION</w:t>
              </w:r>
            </w:hyperlink>
          </w:p>
        </w:tc>
        <w:tc>
          <w:tcPr>
            <w:tcW w:w="5880" w:type="dxa"/>
            <w:vAlign w:val="bottom"/>
            <w:gridSpan w:val="17"/>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412"/>
        </w:trPr>
        <w:tc>
          <w:tcPr>
            <w:tcW w:w="20" w:type="dxa"/>
            <w:vAlign w:val="bottom"/>
          </w:tcPr>
          <w:p>
            <w:pPr>
              <w:spacing w:after="0"/>
              <w:rPr>
                <w:sz w:val="24"/>
                <w:szCs w:val="24"/>
                <w:color w:val="auto"/>
              </w:rPr>
            </w:pPr>
          </w:p>
        </w:tc>
        <w:tc>
          <w:tcPr>
            <w:tcW w:w="148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33">
              <w:r>
                <w:rPr>
                  <w:rFonts w:ascii="Arial" w:cs="Arial" w:eastAsia="Arial" w:hAnsi="Arial"/>
                  <w:sz w:val="18"/>
                  <w:szCs w:val="18"/>
                  <w:color w:val="0000EE"/>
                  <w:w w:val="97"/>
                </w:rPr>
                <w:t>ITEM 6. EXHIBITS</w:t>
              </w:r>
            </w:hyperlink>
          </w:p>
        </w:tc>
        <w:tc>
          <w:tcPr>
            <w:tcW w:w="6940" w:type="dxa"/>
            <w:vAlign w:val="bottom"/>
            <w:gridSpan w:val="20"/>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412"/>
        </w:trPr>
        <w:tc>
          <w:tcPr>
            <w:tcW w:w="20" w:type="dxa"/>
            <w:vAlign w:val="bottom"/>
          </w:tcPr>
          <w:p>
            <w:pPr>
              <w:spacing w:after="0"/>
              <w:rPr>
                <w:sz w:val="24"/>
                <w:szCs w:val="24"/>
                <w:color w:val="auto"/>
              </w:rPr>
            </w:pPr>
          </w:p>
        </w:tc>
        <w:tc>
          <w:tcPr>
            <w:tcW w:w="1100" w:type="dxa"/>
            <w:vAlign w:val="bottom"/>
            <w:tcBorders>
              <w:bottom w:val="single" w:sz="8" w:color="0000EE"/>
            </w:tcBorders>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SIGNATURES</w:t>
              </w:r>
            </w:hyperlink>
          </w:p>
        </w:tc>
        <w:tc>
          <w:tcPr>
            <w:tcW w:w="7320" w:type="dxa"/>
            <w:vAlign w:val="bottom"/>
            <w:gridSpan w:val="22"/>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669"/>
        </w:trPr>
        <w:tc>
          <w:tcPr>
            <w:tcW w:w="5140" w:type="dxa"/>
            <w:vAlign w:val="bottom"/>
            <w:gridSpan w:val="17"/>
          </w:tcPr>
          <w:p>
            <w:pPr>
              <w:jc w:val="right"/>
              <w:ind w:right="6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FINANCIAL INFORMATION</w:t>
      </w:r>
    </w:p>
    <w:p>
      <w:pPr>
        <w:spacing w:after="0" w:line="105"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color w:val="auto"/>
        </w:rPr>
        <w:t>Financial Statements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PAYLOCITY HOLDING CORPORATION</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data)</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September 30,</w:t>
            </w:r>
          </w:p>
        </w:tc>
      </w:tr>
      <w:tr>
        <w:trPr>
          <w:trHeight w:val="171"/>
        </w:trPr>
        <w:tc>
          <w:tcPr>
            <w:tcW w:w="69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r>
      <w:tr>
        <w:trPr>
          <w:trHeight w:val="196"/>
        </w:trPr>
        <w:tc>
          <w:tcPr>
            <w:tcW w:w="6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66,431</w:t>
            </w:r>
          </w:p>
        </w:tc>
      </w:tr>
      <w:tr>
        <w:trPr>
          <w:trHeight w:val="216"/>
        </w:trPr>
        <w:tc>
          <w:tcPr>
            <w:tcW w:w="6920" w:type="dxa"/>
            <w:vAlign w:val="bottom"/>
          </w:tcPr>
          <w:p>
            <w:pPr>
              <w:ind w:left="220"/>
              <w:spacing w:after="0"/>
              <w:rPr>
                <w:sz w:val="20"/>
                <w:szCs w:val="20"/>
                <w:color w:val="auto"/>
              </w:rPr>
            </w:pPr>
            <w:r>
              <w:rPr>
                <w:rFonts w:ascii="Arial" w:cs="Arial" w:eastAsia="Arial" w:hAnsi="Arial"/>
                <w:sz w:val="18"/>
                <w:szCs w:val="18"/>
                <w:color w:val="auto"/>
              </w:rPr>
              <w:t>Corporate investments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3,151</w:t>
            </w:r>
          </w:p>
        </w:tc>
      </w:tr>
      <w:tr>
        <w:trPr>
          <w:trHeight w:val="216"/>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8,094</w:t>
            </w:r>
          </w:p>
        </w:tc>
      </w:tr>
      <w:tr>
        <w:trPr>
          <w:trHeight w:val="216"/>
        </w:trPr>
        <w:tc>
          <w:tcPr>
            <w:tcW w:w="6920" w:type="dxa"/>
            <w:vAlign w:val="bottom"/>
          </w:tcPr>
          <w:p>
            <w:pPr>
              <w:ind w:left="220"/>
              <w:spacing w:after="0"/>
              <w:rPr>
                <w:sz w:val="20"/>
                <w:szCs w:val="20"/>
                <w:color w:val="auto"/>
              </w:rPr>
            </w:pPr>
            <w:r>
              <w:rPr>
                <w:rFonts w:ascii="Arial" w:cs="Arial" w:eastAsia="Arial" w:hAnsi="Arial"/>
                <w:sz w:val="18"/>
                <w:szCs w:val="18"/>
                <w:color w:val="auto"/>
              </w:rPr>
              <w:t>Deferred contract costs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44,230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46,928</w:t>
            </w:r>
          </w:p>
        </w:tc>
      </w:tr>
      <w:tr>
        <w:trPr>
          <w:trHeight w:val="216"/>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21,903</w:t>
            </w:r>
          </w:p>
        </w:tc>
      </w:tr>
      <w:tr>
        <w:trPr>
          <w:trHeight w:val="209"/>
        </w:trPr>
        <w:tc>
          <w:tcPr>
            <w:tcW w:w="6920" w:type="dxa"/>
            <w:vAlign w:val="bottom"/>
          </w:tcPr>
          <w:p>
            <w:pPr>
              <w:ind w:left="320"/>
              <w:spacing w:after="0"/>
              <w:rPr>
                <w:sz w:val="20"/>
                <w:szCs w:val="20"/>
                <w:color w:val="auto"/>
              </w:rPr>
            </w:pPr>
            <w:r>
              <w:rPr>
                <w:rFonts w:ascii="Arial" w:cs="Arial" w:eastAsia="Arial" w:hAnsi="Arial"/>
                <w:sz w:val="18"/>
                <w:szCs w:val="18"/>
                <w:color w:val="auto"/>
              </w:rPr>
              <w:t>Total current assets before funds held for clients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273,206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146,507</w:t>
            </w:r>
          </w:p>
        </w:tc>
      </w:tr>
      <w:tr>
        <w:trPr>
          <w:trHeight w:val="216"/>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Funds held for clients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1,759,677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3,185,520</w:t>
            </w:r>
          </w:p>
        </w:tc>
      </w:tr>
      <w:tr>
        <w:trPr>
          <w:trHeight w:val="209"/>
        </w:trPr>
        <w:tc>
          <w:tcPr>
            <w:tcW w:w="692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2,032,883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3,332,027</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48,719</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59,835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62,265</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44,249</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37,175</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68,022</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Long-term deferred contract costs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170,663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179,079</w:t>
            </w:r>
          </w:p>
        </w:tc>
      </w:tr>
      <w:tr>
        <w:trPr>
          <w:trHeight w:val="216"/>
        </w:trPr>
        <w:tc>
          <w:tcPr>
            <w:tcW w:w="6920" w:type="dxa"/>
            <w:vAlign w:val="bottom"/>
            <w:shd w:val="clear" w:color="auto" w:fill="CCEEFF"/>
          </w:tcPr>
          <w:p>
            <w:pPr>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prepaid expenses and other</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7,399</w:t>
            </w:r>
          </w:p>
        </w:tc>
      </w:tr>
      <w:tr>
        <w:trPr>
          <w:trHeight w:val="216"/>
        </w:trPr>
        <w:tc>
          <w:tcPr>
            <w:tcW w:w="6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 assets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32,602</w:t>
            </w:r>
          </w:p>
        </w:tc>
      </w:tr>
      <w:tr>
        <w:trPr>
          <w:trHeight w:val="209"/>
        </w:trPr>
        <w:tc>
          <w:tcPr>
            <w:tcW w:w="6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2,414,885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3,811,537</w:t>
            </w:r>
          </w:p>
        </w:tc>
      </w:tr>
      <w:tr>
        <w:trPr>
          <w:trHeight w:val="20"/>
        </w:trPr>
        <w:tc>
          <w:tcPr>
            <w:tcW w:w="6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7"/>
        </w:trPr>
        <w:tc>
          <w:tcPr>
            <w:tcW w:w="6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w:t>
            </w:r>
          </w:p>
        </w:tc>
      </w:tr>
      <w:tr>
        <w:trPr>
          <w:trHeight w:val="216"/>
        </w:trPr>
        <w:tc>
          <w:tcPr>
            <w:tcW w:w="6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103,109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81,017</w:t>
            </w:r>
          </w:p>
        </w:tc>
      </w:tr>
      <w:tr>
        <w:trPr>
          <w:trHeight w:val="210"/>
        </w:trPr>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 before client fund obligations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87,927</w:t>
            </w:r>
          </w:p>
        </w:tc>
      </w:tr>
      <w:tr>
        <w:trPr>
          <w:trHeight w:val="216"/>
        </w:trPr>
        <w:tc>
          <w:tcPr>
            <w:tcW w:w="6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Client fund obligations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1,759,677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3,185,520</w:t>
            </w:r>
          </w:p>
        </w:tc>
      </w:tr>
      <w:tr>
        <w:trPr>
          <w:trHeight w:val="209"/>
        </w:trPr>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1,867,016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3,273,447</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67,201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66,684</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r>
      <w:tr>
        <w:trPr>
          <w:trHeight w:val="216"/>
        </w:trPr>
        <w:tc>
          <w:tcPr>
            <w:tcW w:w="6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 liabilities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w:t>
            </w:r>
          </w:p>
        </w:tc>
      </w:tr>
      <w:tr>
        <w:trPr>
          <w:trHeight w:val="210"/>
        </w:trPr>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1,937,955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3,343,964</w:t>
            </w:r>
          </w:p>
        </w:tc>
      </w:tr>
      <w:tr>
        <w:trPr>
          <w:trHeight w:val="210"/>
        </w:trPr>
        <w:tc>
          <w:tcPr>
            <w:tcW w:w="692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2"/>
        </w:trPr>
        <w:tc>
          <w:tcPr>
            <w:tcW w:w="69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Preferred stock, $0.001 par value, 5,000 authorized, no shares issued and outstanding at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0"/>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June 30, 2021 and September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920" w:type="dxa"/>
            <w:vAlign w:val="bottom"/>
          </w:tcPr>
          <w:p>
            <w:pPr>
              <w:ind w:left="220"/>
              <w:spacing w:after="0" w:line="201" w:lineRule="exact"/>
              <w:rPr>
                <w:sz w:val="20"/>
                <w:szCs w:val="20"/>
                <w:color w:val="auto"/>
              </w:rPr>
            </w:pPr>
            <w:r>
              <w:rPr>
                <w:rFonts w:ascii="Arial" w:cs="Arial" w:eastAsia="Arial" w:hAnsi="Arial"/>
                <w:sz w:val="18"/>
                <w:szCs w:val="18"/>
                <w:color w:val="auto"/>
              </w:rPr>
              <w:t>Common stock, $0.001 par value, 155,000 shares authorized at June 30, 2021 and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6920" w:type="dxa"/>
            <w:vAlign w:val="bottom"/>
          </w:tcPr>
          <w:p>
            <w:pPr>
              <w:ind w:left="220"/>
              <w:spacing w:after="0"/>
              <w:rPr>
                <w:sz w:val="20"/>
                <w:szCs w:val="20"/>
                <w:color w:val="auto"/>
              </w:rPr>
            </w:pPr>
            <w:r>
              <w:rPr>
                <w:rFonts w:ascii="Arial" w:cs="Arial" w:eastAsia="Arial" w:hAnsi="Arial"/>
                <w:sz w:val="18"/>
                <w:szCs w:val="18"/>
                <w:color w:val="auto"/>
                <w:w w:val="93"/>
              </w:rPr>
              <w:t>September 30, 2021; 54,594 shares issued and outstanding at June 30, 2021 and 55,019</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6920" w:type="dxa"/>
            <w:vAlign w:val="bottom"/>
          </w:tcPr>
          <w:p>
            <w:pPr>
              <w:ind w:left="220"/>
              <w:spacing w:after="0"/>
              <w:rPr>
                <w:sz w:val="20"/>
                <w:szCs w:val="20"/>
                <w:color w:val="auto"/>
              </w:rPr>
            </w:pPr>
            <w:r>
              <w:rPr>
                <w:rFonts w:ascii="Arial" w:cs="Arial" w:eastAsia="Arial" w:hAnsi="Arial"/>
                <w:sz w:val="18"/>
                <w:szCs w:val="18"/>
                <w:color w:val="auto"/>
              </w:rPr>
              <w:t>shares issued and outstanding at September 30, 2021</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201,504</w:t>
            </w:r>
          </w:p>
        </w:tc>
      </w:tr>
      <w:tr>
        <w:trPr>
          <w:trHeight w:val="216"/>
        </w:trPr>
        <w:tc>
          <w:tcPr>
            <w:tcW w:w="692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235,091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266,023</w:t>
            </w:r>
          </w:p>
        </w:tc>
      </w:tr>
      <w:tr>
        <w:trPr>
          <w:trHeight w:val="216"/>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9"/>
        </w:trPr>
        <w:tc>
          <w:tcPr>
            <w:tcW w:w="69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476,930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467,573</w:t>
            </w:r>
          </w:p>
        </w:tc>
      </w:tr>
      <w:tr>
        <w:trPr>
          <w:trHeight w:val="210"/>
        </w:trPr>
        <w:tc>
          <w:tcPr>
            <w:tcW w:w="6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2,414,885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3,811,537</w:t>
            </w:r>
          </w:p>
        </w:tc>
      </w:tr>
      <w:tr>
        <w:trPr>
          <w:trHeight w:val="20"/>
        </w:trPr>
        <w:tc>
          <w:tcPr>
            <w:tcW w:w="6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9019"/>
          </w:cols>
          <w:pgMar w:left="1440" w:top="517"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PAYLOCITY HOLDING CORPORATION Unaudited Consolidated Statements of Operations and Comprehensive Income (in thousands, except per share data)</w:t>
      </w:r>
    </w:p>
    <w:p>
      <w:pPr>
        <w:spacing w:after="0" w:line="185"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Three Months Ended</w:t>
      </w:r>
    </w:p>
    <w:p>
      <w:pPr>
        <w:ind w:left="752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Recurring and other revenue</w:t>
            </w:r>
          </w:p>
        </w:tc>
        <w:tc>
          <w:tcPr>
            <w:tcW w:w="1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134,875</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180,824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on funds held for clients</w:t>
            </w:r>
          </w:p>
        </w:tc>
        <w:tc>
          <w:tcPr>
            <w:tcW w:w="1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Total revenues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135,794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181,697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86,414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118,448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37,674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82,965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108,196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Pr>
          <w:p>
            <w:pPr>
              <w:ind w:left="400"/>
              <w:spacing w:after="0"/>
              <w:rPr>
                <w:sz w:val="20"/>
                <w:szCs w:val="20"/>
                <w:color w:val="auto"/>
              </w:rPr>
            </w:pPr>
            <w:r>
              <w:rPr>
                <w:rFonts w:ascii="Arial" w:cs="Arial" w:eastAsia="Arial" w:hAnsi="Arial"/>
                <w:sz w:val="18"/>
                <w:szCs w:val="18"/>
                <w:color w:val="auto"/>
              </w:rPr>
              <w:t>Operating income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Pr>
          <w:p>
            <w:pPr>
              <w:ind w:left="400"/>
              <w:spacing w:after="0"/>
              <w:rPr>
                <w:sz w:val="20"/>
                <w:szCs w:val="20"/>
                <w:color w:val="auto"/>
              </w:rPr>
            </w:pPr>
            <w:r>
              <w:rPr>
                <w:rFonts w:ascii="Arial" w:cs="Arial" w:eastAsia="Arial" w:hAnsi="Arial"/>
                <w:sz w:val="18"/>
                <w:szCs w:val="18"/>
                <w:color w:val="auto"/>
              </w:rPr>
              <w:t>Income before income taxes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(20,797)</w:t>
            </w:r>
          </w:p>
        </w:tc>
        <w:tc>
          <w:tcPr>
            <w:tcW w:w="0" w:type="dxa"/>
            <w:vAlign w:val="bottom"/>
          </w:tcPr>
          <w:p>
            <w:pPr>
              <w:spacing w:after="0"/>
              <w:rPr>
                <w:sz w:val="1"/>
                <w:szCs w:val="1"/>
                <w:color w:val="auto"/>
              </w:rPr>
            </w:pPr>
          </w:p>
        </w:tc>
      </w:tr>
      <w:tr>
        <w:trPr>
          <w:trHeight w:val="249"/>
        </w:trPr>
        <w:tc>
          <w:tcPr>
            <w:tcW w:w="58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10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12,460</w:t>
            </w:r>
          </w:p>
        </w:tc>
        <w:tc>
          <w:tcPr>
            <w:tcW w:w="20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30,932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loss, net of tax</w:t>
            </w:r>
          </w:p>
        </w:tc>
        <w:tc>
          <w:tcPr>
            <w:tcW w:w="1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(223)</w:t>
            </w:r>
          </w:p>
        </w:tc>
        <w:tc>
          <w:tcPr>
            <w:tcW w:w="200" w:type="dxa"/>
            <w:vAlign w:val="bottom"/>
            <w:tcBorders>
              <w:top w:val="single" w:sz="8" w:color="CCEEFF"/>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0"/>
        </w:trPr>
        <w:tc>
          <w:tcPr>
            <w:tcW w:w="58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100" w:type="dxa"/>
            <w:vAlign w:val="bottom"/>
          </w:tcPr>
          <w:p>
            <w:pPr>
              <w:spacing w:after="0"/>
              <w:rPr>
                <w:sz w:val="21"/>
                <w:szCs w:val="21"/>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12,237</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30,857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8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income per share: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Diluted</w:t>
            </w:r>
          </w:p>
        </w:tc>
        <w:tc>
          <w:tcPr>
            <w:tcW w:w="1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820" w:type="dxa"/>
            <w:vAlign w:val="bottom"/>
            <w:tcBorders>
              <w:bottom w:val="single" w:sz="8" w:color="CCEEFF"/>
            </w:tcBorders>
            <w:vMerge w:val="continue"/>
          </w:tcPr>
          <w:p>
            <w:pPr>
              <w:spacing w:after="0"/>
              <w:rPr>
                <w:sz w:val="20"/>
                <w:szCs w:val="20"/>
                <w:color w:val="auto"/>
              </w:rPr>
            </w:pPr>
          </w:p>
        </w:tc>
        <w:tc>
          <w:tcPr>
            <w:tcW w:w="11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0.22</w:t>
            </w:r>
          </w:p>
        </w:tc>
        <w:tc>
          <w:tcPr>
            <w:tcW w:w="2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Weighted-average shares used in computing net income per share: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54,015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56,050</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1520" w:right="1700"/>
        <w:spacing w:after="0" w:line="275" w:lineRule="auto"/>
        <w:rPr>
          <w:sz w:val="20"/>
          <w:szCs w:val="20"/>
          <w:color w:val="auto"/>
        </w:rPr>
      </w:pPr>
      <w:r>
        <w:rPr>
          <w:rFonts w:ascii="Arial" w:cs="Arial" w:eastAsia="Arial" w:hAnsi="Arial"/>
          <w:sz w:val="18"/>
          <w:szCs w:val="18"/>
          <w:b w:val="1"/>
          <w:bCs w:val="1"/>
          <w:color w:val="auto"/>
        </w:rPr>
        <w:t>PAYLOCITY HOLDING CORPORATION Unaudited Consolidated Statement of Changes in Stockholders’ Equity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43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gridSpan w:val="9"/>
          </w:tcPr>
          <w:p>
            <w:pPr>
              <w:jc w:val="right"/>
              <w:ind w:right="400"/>
              <w:spacing w:after="0"/>
              <w:rPr>
                <w:sz w:val="20"/>
                <w:szCs w:val="20"/>
                <w:color w:val="auto"/>
              </w:rPr>
            </w:pPr>
            <w:r>
              <w:rPr>
                <w:rFonts w:ascii="Arial" w:cs="Arial" w:eastAsia="Arial" w:hAnsi="Arial"/>
                <w:sz w:val="13"/>
                <w:szCs w:val="13"/>
                <w:b w:val="1"/>
                <w:bCs w:val="1"/>
                <w:color w:val="auto"/>
              </w:rPr>
              <w:t>Three Months Ended September 30, 2020</w:t>
            </w: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r>
      <w:tr>
        <w:trPr>
          <w:trHeight w:val="110"/>
        </w:trPr>
        <w:tc>
          <w:tcPr>
            <w:tcW w:w="4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5"/>
              </w:rPr>
              <w:t>Accumulated</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35"/>
        </w:trPr>
        <w:tc>
          <w:tcPr>
            <w:tcW w:w="4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Additional</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62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83"/>
              </w:rPr>
              <w:t>Total</w:t>
            </w:r>
          </w:p>
        </w:tc>
      </w:tr>
      <w:tr>
        <w:trPr>
          <w:trHeight w:val="153"/>
        </w:trPr>
        <w:tc>
          <w:tcPr>
            <w:tcW w:w="4320" w:type="dxa"/>
            <w:vAlign w:val="bottom"/>
          </w:tcPr>
          <w:p>
            <w:pPr>
              <w:spacing w:after="0"/>
              <w:rPr>
                <w:sz w:val="13"/>
                <w:szCs w:val="13"/>
                <w:color w:val="auto"/>
              </w:rPr>
            </w:pPr>
          </w:p>
        </w:tc>
        <w:tc>
          <w:tcPr>
            <w:tcW w:w="1360" w:type="dxa"/>
            <w:vAlign w:val="bottom"/>
            <w:gridSpan w:val="5"/>
          </w:tcPr>
          <w:p>
            <w:pPr>
              <w:ind w:left="220"/>
              <w:spacing w:after="0"/>
              <w:rPr>
                <w:sz w:val="20"/>
                <w:szCs w:val="20"/>
                <w:color w:val="auto"/>
              </w:rPr>
            </w:pPr>
            <w:r>
              <w:rPr>
                <w:rFonts w:ascii="Arial" w:cs="Arial" w:eastAsia="Arial" w:hAnsi="Arial"/>
                <w:sz w:val="13"/>
                <w:szCs w:val="13"/>
                <w:b w:val="1"/>
                <w:bCs w:val="1"/>
                <w:color w:val="auto"/>
              </w:rPr>
              <w:t>Common Stock</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Paid-in</w:t>
            </w: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Retained</w:t>
            </w: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w w:val="96"/>
              </w:rPr>
              <w:t>Comprehensive</w:t>
            </w: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w w:val="83"/>
              </w:rPr>
              <w:t>Stockholders’</w:t>
            </w:r>
          </w:p>
        </w:tc>
      </w:tr>
      <w:tr>
        <w:trPr>
          <w:trHeight w:val="129"/>
        </w:trPr>
        <w:tc>
          <w:tcPr>
            <w:tcW w:w="4320" w:type="dxa"/>
            <w:vAlign w:val="bottom"/>
          </w:tcPr>
          <w:p>
            <w:pPr>
              <w:spacing w:after="0"/>
              <w:rPr>
                <w:sz w:val="11"/>
                <w:szCs w:val="11"/>
                <w:color w:val="auto"/>
              </w:rPr>
            </w:pPr>
          </w:p>
        </w:tc>
        <w:tc>
          <w:tcPr>
            <w:tcW w:w="64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3"/>
                <w:szCs w:val="13"/>
                <w:b w:val="1"/>
                <w:bCs w:val="1"/>
                <w:color w:val="auto"/>
                <w:w w:val="96"/>
              </w:rPr>
              <w:t>Shares</w:t>
            </w: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0"/>
              <w:spacing w:after="0" w:line="129" w:lineRule="exact"/>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1"/>
                <w:szCs w:val="11"/>
                <w:color w:val="auto"/>
              </w:rPr>
            </w:pPr>
          </w:p>
        </w:tc>
        <w:tc>
          <w:tcPr>
            <w:tcW w:w="740" w:type="dxa"/>
            <w:vAlign w:val="bottom"/>
            <w:gridSpan w:val="2"/>
          </w:tcPr>
          <w:p>
            <w:pPr>
              <w:jc w:val="center"/>
              <w:ind w:right="100"/>
              <w:spacing w:after="0" w:line="129" w:lineRule="exact"/>
              <w:rPr>
                <w:sz w:val="20"/>
                <w:szCs w:val="20"/>
                <w:color w:val="auto"/>
              </w:rPr>
            </w:pPr>
            <w:r>
              <w:rPr>
                <w:rFonts w:ascii="Arial" w:cs="Arial" w:eastAsia="Arial" w:hAnsi="Arial"/>
                <w:sz w:val="13"/>
                <w:szCs w:val="13"/>
                <w:b w:val="1"/>
                <w:bCs w:val="1"/>
                <w:color w:val="auto"/>
                <w:w w:val="92"/>
              </w:rPr>
              <w:t>Capital</w:t>
            </w:r>
          </w:p>
        </w:tc>
        <w:tc>
          <w:tcPr>
            <w:tcW w:w="740" w:type="dxa"/>
            <w:vAlign w:val="bottom"/>
            <w:gridSpan w:val="2"/>
          </w:tcPr>
          <w:p>
            <w:pPr>
              <w:ind w:left="80"/>
              <w:spacing w:after="0" w:line="129" w:lineRule="exact"/>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1"/>
                <w:szCs w:val="11"/>
                <w:color w:val="auto"/>
              </w:rPr>
            </w:pPr>
          </w:p>
        </w:tc>
        <w:tc>
          <w:tcPr>
            <w:tcW w:w="900" w:type="dxa"/>
            <w:vAlign w:val="bottom"/>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w w:val="87"/>
              </w:rPr>
              <w:t>Income</w:t>
            </w:r>
          </w:p>
        </w:tc>
        <w:tc>
          <w:tcPr>
            <w:tcW w:w="140" w:type="dxa"/>
            <w:vAlign w:val="bottom"/>
          </w:tcPr>
          <w:p>
            <w:pPr>
              <w:spacing w:after="0"/>
              <w:rPr>
                <w:sz w:val="11"/>
                <w:szCs w:val="11"/>
                <w:color w:val="auto"/>
              </w:rPr>
            </w:pPr>
          </w:p>
        </w:tc>
        <w:tc>
          <w:tcPr>
            <w:tcW w:w="620" w:type="dxa"/>
            <w:vAlign w:val="bottom"/>
          </w:tcPr>
          <w:p>
            <w:pPr>
              <w:jc w:val="center"/>
              <w:ind w:right="50"/>
              <w:spacing w:after="0" w:line="129" w:lineRule="exact"/>
              <w:rPr>
                <w:sz w:val="20"/>
                <w:szCs w:val="20"/>
                <w:color w:val="auto"/>
              </w:rPr>
            </w:pPr>
            <w:r>
              <w:rPr>
                <w:rFonts w:ascii="Arial" w:cs="Arial" w:eastAsia="Arial" w:hAnsi="Arial"/>
                <w:sz w:val="13"/>
                <w:szCs w:val="13"/>
                <w:b w:val="1"/>
                <w:bCs w:val="1"/>
                <w:color w:val="auto"/>
                <w:w w:val="95"/>
              </w:rPr>
              <w:t>Equity</w:t>
            </w:r>
          </w:p>
        </w:tc>
      </w:tr>
      <w:tr>
        <w:trPr>
          <w:trHeight w:val="142"/>
        </w:trPr>
        <w:tc>
          <w:tcPr>
            <w:tcW w:w="43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Balances at June 30, 2020</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53,792</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w:t>
            </w: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$ 227,907</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$ 164,272</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675</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392,908</w:t>
            </w: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Stock-based compensation</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15,046</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15,046</w:t>
            </w: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options exercised</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w:t>
            </w:r>
          </w:p>
        </w:tc>
      </w:tr>
      <w:tr>
        <w:trPr>
          <w:trHeight w:val="149"/>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upon vesting of restricted stock units</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599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8"/>
              </w:rPr>
              <w:t>Net settlement for taxes and/or exercise price related to equity awards</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(256)</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(33,900)</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(33,900)</w:t>
            </w: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Unrealized losses on securities, net of tax</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(223)</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(223)</w:t>
            </w: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income</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12,460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12,460</w:t>
            </w:r>
          </w:p>
        </w:tc>
      </w:tr>
      <w:tr>
        <w:trPr>
          <w:trHeight w:val="142"/>
        </w:trPr>
        <w:tc>
          <w:tcPr>
            <w:tcW w:w="43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Balances at September 30, 2020</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54,223</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w:t>
            </w: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$ 209,582</w:t>
            </w:r>
          </w:p>
        </w:tc>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$ 176,732</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452</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386,820</w:t>
            </w:r>
          </w:p>
        </w:tc>
      </w:tr>
      <w:tr>
        <w:trPr>
          <w:trHeight w:val="20"/>
        </w:trPr>
        <w:tc>
          <w:tcPr>
            <w:tcW w:w="4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345"/>
        </w:trPr>
        <w:tc>
          <w:tcPr>
            <w:tcW w:w="43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9"/>
          </w:tcPr>
          <w:p>
            <w:pPr>
              <w:jc w:val="right"/>
              <w:ind w:right="400"/>
              <w:spacing w:after="0"/>
              <w:rPr>
                <w:sz w:val="20"/>
                <w:szCs w:val="20"/>
                <w:color w:val="auto"/>
              </w:rPr>
            </w:pPr>
            <w:r>
              <w:rPr>
                <w:rFonts w:ascii="Arial" w:cs="Arial" w:eastAsia="Arial" w:hAnsi="Arial"/>
                <w:sz w:val="13"/>
                <w:szCs w:val="13"/>
                <w:b w:val="1"/>
                <w:bCs w:val="1"/>
                <w:color w:val="auto"/>
              </w:rPr>
              <w:t>Three Months Ended September 30, 2021</w:t>
            </w: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110"/>
        </w:trPr>
        <w:tc>
          <w:tcPr>
            <w:tcW w:w="4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5"/>
              </w:rPr>
              <w:t>Accumulated</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35"/>
        </w:trPr>
        <w:tc>
          <w:tcPr>
            <w:tcW w:w="4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Additional</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62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83"/>
              </w:rPr>
              <w:t>Total</w:t>
            </w:r>
          </w:p>
        </w:tc>
      </w:tr>
      <w:tr>
        <w:trPr>
          <w:trHeight w:val="153"/>
        </w:trPr>
        <w:tc>
          <w:tcPr>
            <w:tcW w:w="4320" w:type="dxa"/>
            <w:vAlign w:val="bottom"/>
          </w:tcPr>
          <w:p>
            <w:pPr>
              <w:spacing w:after="0"/>
              <w:rPr>
                <w:sz w:val="13"/>
                <w:szCs w:val="13"/>
                <w:color w:val="auto"/>
              </w:rPr>
            </w:pPr>
          </w:p>
        </w:tc>
        <w:tc>
          <w:tcPr>
            <w:tcW w:w="1360" w:type="dxa"/>
            <w:vAlign w:val="bottom"/>
            <w:gridSpan w:val="5"/>
          </w:tcPr>
          <w:p>
            <w:pPr>
              <w:ind w:left="220"/>
              <w:spacing w:after="0"/>
              <w:rPr>
                <w:sz w:val="20"/>
                <w:szCs w:val="20"/>
                <w:color w:val="auto"/>
              </w:rPr>
            </w:pPr>
            <w:r>
              <w:rPr>
                <w:rFonts w:ascii="Arial" w:cs="Arial" w:eastAsia="Arial" w:hAnsi="Arial"/>
                <w:sz w:val="13"/>
                <w:szCs w:val="13"/>
                <w:b w:val="1"/>
                <w:bCs w:val="1"/>
                <w:color w:val="auto"/>
              </w:rPr>
              <w:t>Common Stock</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Paid-in</w:t>
            </w: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Retained</w:t>
            </w: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w w:val="96"/>
              </w:rPr>
              <w:t>Comprehensive</w:t>
            </w: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w w:val="83"/>
              </w:rPr>
              <w:t>Stockholders’</w:t>
            </w:r>
          </w:p>
        </w:tc>
      </w:tr>
      <w:tr>
        <w:trPr>
          <w:trHeight w:val="128"/>
        </w:trPr>
        <w:tc>
          <w:tcPr>
            <w:tcW w:w="4320" w:type="dxa"/>
            <w:vAlign w:val="bottom"/>
          </w:tcPr>
          <w:p>
            <w:pPr>
              <w:spacing w:after="0"/>
              <w:rPr>
                <w:sz w:val="11"/>
                <w:szCs w:val="11"/>
                <w:color w:val="auto"/>
              </w:rPr>
            </w:pPr>
          </w:p>
        </w:tc>
        <w:tc>
          <w:tcPr>
            <w:tcW w:w="64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3"/>
                <w:szCs w:val="13"/>
                <w:b w:val="1"/>
                <w:bCs w:val="1"/>
                <w:color w:val="auto"/>
                <w:w w:val="96"/>
              </w:rPr>
              <w:t>Shares</w:t>
            </w: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0"/>
              <w:spacing w:after="0" w:line="129" w:lineRule="exact"/>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1"/>
                <w:szCs w:val="11"/>
                <w:color w:val="auto"/>
              </w:rPr>
            </w:pPr>
          </w:p>
        </w:tc>
        <w:tc>
          <w:tcPr>
            <w:tcW w:w="740" w:type="dxa"/>
            <w:vAlign w:val="bottom"/>
            <w:gridSpan w:val="2"/>
          </w:tcPr>
          <w:p>
            <w:pPr>
              <w:jc w:val="center"/>
              <w:ind w:right="100"/>
              <w:spacing w:after="0" w:line="129" w:lineRule="exact"/>
              <w:rPr>
                <w:sz w:val="20"/>
                <w:szCs w:val="20"/>
                <w:color w:val="auto"/>
              </w:rPr>
            </w:pPr>
            <w:r>
              <w:rPr>
                <w:rFonts w:ascii="Arial" w:cs="Arial" w:eastAsia="Arial" w:hAnsi="Arial"/>
                <w:sz w:val="13"/>
                <w:szCs w:val="13"/>
                <w:b w:val="1"/>
                <w:bCs w:val="1"/>
                <w:color w:val="auto"/>
                <w:w w:val="92"/>
              </w:rPr>
              <w:t>Capital</w:t>
            </w:r>
          </w:p>
        </w:tc>
        <w:tc>
          <w:tcPr>
            <w:tcW w:w="740" w:type="dxa"/>
            <w:vAlign w:val="bottom"/>
            <w:gridSpan w:val="2"/>
          </w:tcPr>
          <w:p>
            <w:pPr>
              <w:ind w:left="80"/>
              <w:spacing w:after="0" w:line="129" w:lineRule="exact"/>
              <w:rPr>
                <w:sz w:val="20"/>
                <w:szCs w:val="20"/>
                <w:color w:val="auto"/>
              </w:rPr>
            </w:pPr>
            <w:r>
              <w:rPr>
                <w:rFonts w:ascii="Arial" w:cs="Arial" w:eastAsia="Arial" w:hAnsi="Arial"/>
                <w:sz w:val="13"/>
                <w:szCs w:val="13"/>
                <w:b w:val="1"/>
                <w:bCs w:val="1"/>
                <w:color w:val="auto"/>
              </w:rPr>
              <w:t>Earnings</w:t>
            </w:r>
          </w:p>
        </w:tc>
        <w:tc>
          <w:tcPr>
            <w:tcW w:w="980" w:type="dxa"/>
            <w:vAlign w:val="bottom"/>
            <w:gridSpan w:val="3"/>
          </w:tcPr>
          <w:p>
            <w:pPr>
              <w:jc w:val="center"/>
              <w:ind w:right="100"/>
              <w:spacing w:after="0" w:line="129" w:lineRule="exact"/>
              <w:rPr>
                <w:sz w:val="20"/>
                <w:szCs w:val="20"/>
                <w:color w:val="auto"/>
              </w:rPr>
            </w:pPr>
            <w:r>
              <w:rPr>
                <w:rFonts w:ascii="Arial" w:cs="Arial" w:eastAsia="Arial" w:hAnsi="Arial"/>
                <w:sz w:val="13"/>
                <w:szCs w:val="13"/>
                <w:b w:val="1"/>
                <w:bCs w:val="1"/>
                <w:color w:val="auto"/>
                <w:w w:val="86"/>
              </w:rPr>
              <w:t>Income (Loss)</w:t>
            </w:r>
          </w:p>
        </w:tc>
        <w:tc>
          <w:tcPr>
            <w:tcW w:w="140" w:type="dxa"/>
            <w:vAlign w:val="bottom"/>
          </w:tcPr>
          <w:p>
            <w:pPr>
              <w:spacing w:after="0"/>
              <w:rPr>
                <w:sz w:val="11"/>
                <w:szCs w:val="11"/>
                <w:color w:val="auto"/>
              </w:rPr>
            </w:pPr>
          </w:p>
        </w:tc>
        <w:tc>
          <w:tcPr>
            <w:tcW w:w="620" w:type="dxa"/>
            <w:vAlign w:val="bottom"/>
          </w:tcPr>
          <w:p>
            <w:pPr>
              <w:jc w:val="center"/>
              <w:ind w:right="50"/>
              <w:spacing w:after="0" w:line="129" w:lineRule="exact"/>
              <w:rPr>
                <w:sz w:val="20"/>
                <w:szCs w:val="20"/>
                <w:color w:val="auto"/>
              </w:rPr>
            </w:pPr>
            <w:r>
              <w:rPr>
                <w:rFonts w:ascii="Arial" w:cs="Arial" w:eastAsia="Arial" w:hAnsi="Arial"/>
                <w:sz w:val="13"/>
                <w:szCs w:val="13"/>
                <w:b w:val="1"/>
                <w:bCs w:val="1"/>
                <w:color w:val="auto"/>
                <w:w w:val="95"/>
              </w:rPr>
              <w:t>Equity</w:t>
            </w:r>
          </w:p>
        </w:tc>
      </w:tr>
      <w:tr>
        <w:trPr>
          <w:trHeight w:val="142"/>
        </w:trPr>
        <w:tc>
          <w:tcPr>
            <w:tcW w:w="43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Balances at June 30, 2021</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54,594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w:t>
            </w: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$ 241,718</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$ 235,091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476,930</w:t>
            </w: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Stock-based compensation</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21,106</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21,106</w:t>
            </w:r>
          </w:p>
        </w:tc>
      </w:tr>
      <w:tr>
        <w:trPr>
          <w:trHeight w:val="149"/>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options exercised</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1,429</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1,429</w:t>
            </w:r>
          </w:p>
        </w:tc>
      </w:tr>
      <w:tr>
        <w:trPr>
          <w:trHeight w:val="149"/>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upon vesting of restricted stock units</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8"/>
              </w:rPr>
              <w:t>Net settlement for taxes and/or exercise price related to equity awards</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(62,749)</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(62,749)</w:t>
            </w: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Unrealized losses on securities, net of tax</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r>
      <w:tr>
        <w:trPr>
          <w:trHeight w:val="149"/>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income</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30,932</w:t>
            </w:r>
          </w:p>
        </w:tc>
      </w:tr>
      <w:tr>
        <w:trPr>
          <w:trHeight w:val="142"/>
        </w:trPr>
        <w:tc>
          <w:tcPr>
            <w:tcW w:w="43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Balances at September 30, 2021</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55,019</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w:t>
            </w: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$ 201,504</w:t>
            </w:r>
          </w:p>
        </w:tc>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$ 266,023</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467,573</w:t>
            </w:r>
          </w:p>
        </w:tc>
      </w:tr>
      <w:tr>
        <w:trPr>
          <w:trHeight w:val="20"/>
        </w:trPr>
        <w:tc>
          <w:tcPr>
            <w:tcW w:w="4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Three Months Ended</w:t>
      </w:r>
    </w:p>
    <w:p>
      <w:pPr>
        <w:ind w:left="7440"/>
        <w:spacing w:after="0" w:line="231" w:lineRule="auto"/>
        <w:rPr>
          <w:sz w:val="20"/>
          <w:szCs w:val="20"/>
          <w:color w:val="auto"/>
        </w:rPr>
      </w:pPr>
      <w:r>
        <w:rPr>
          <w:rFonts w:ascii="Arial" w:cs="Arial" w:eastAsia="Arial" w:hAnsi="Arial"/>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66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66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3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12,460</w:t>
            </w:r>
          </w:p>
        </w:tc>
        <w:tc>
          <w:tcPr>
            <w:tcW w:w="220" w:type="dxa"/>
            <w:vAlign w:val="bottom"/>
          </w:tcPr>
          <w:p>
            <w:pPr>
              <w:spacing w:after="0"/>
              <w:rPr>
                <w:sz w:val="12"/>
                <w:szCs w:val="12"/>
                <w:color w:val="auto"/>
              </w:rPr>
            </w:pPr>
          </w:p>
        </w:tc>
        <w:tc>
          <w:tcPr>
            <w:tcW w:w="22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30,932</w:t>
            </w:r>
          </w:p>
        </w:tc>
        <w:tc>
          <w:tcPr>
            <w:tcW w:w="0" w:type="dxa"/>
            <w:vAlign w:val="bottom"/>
          </w:tcPr>
          <w:p>
            <w:pPr>
              <w:spacing w:after="0"/>
              <w:rPr>
                <w:sz w:val="1"/>
                <w:szCs w:val="1"/>
                <w:color w:val="auto"/>
              </w:rPr>
            </w:pPr>
          </w:p>
        </w:tc>
      </w:tr>
      <w:tr>
        <w:trPr>
          <w:trHeight w:val="149"/>
        </w:trPr>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Adjustments to reconcile net income to net cash used in operating activities: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ind w:left="320"/>
              <w:spacing w:after="0" w:line="149" w:lineRule="exact"/>
              <w:rPr>
                <w:sz w:val="20"/>
                <w:szCs w:val="20"/>
                <w:color w:val="auto"/>
              </w:rPr>
            </w:pPr>
            <w:r>
              <w:rPr>
                <w:rFonts w:ascii="Arial" w:cs="Arial" w:eastAsia="Arial" w:hAnsi="Arial"/>
                <w:sz w:val="14"/>
                <w:szCs w:val="14"/>
                <w:color w:val="auto"/>
              </w:rPr>
              <w:t>Stock-based compensation expense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14,277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19,559</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Depreciation and amortization expense</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10,235</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11,322</w:t>
            </w:r>
          </w:p>
        </w:tc>
        <w:tc>
          <w:tcPr>
            <w:tcW w:w="0" w:type="dxa"/>
            <w:vAlign w:val="bottom"/>
          </w:tcPr>
          <w:p>
            <w:pPr>
              <w:spacing w:after="0"/>
              <w:rPr>
                <w:sz w:val="1"/>
                <w:szCs w:val="1"/>
                <w:color w:val="auto"/>
              </w:rPr>
            </w:pPr>
          </w:p>
        </w:tc>
      </w:tr>
      <w:tr>
        <w:trPr>
          <w:trHeight w:val="148"/>
        </w:trPr>
        <w:tc>
          <w:tcPr>
            <w:tcW w:w="6640" w:type="dxa"/>
            <w:vAlign w:val="bottom"/>
          </w:tcPr>
          <w:p>
            <w:pPr>
              <w:ind w:left="320"/>
              <w:spacing w:after="0" w:line="149" w:lineRule="exact"/>
              <w:rPr>
                <w:sz w:val="20"/>
                <w:szCs w:val="20"/>
                <w:color w:val="auto"/>
              </w:rPr>
            </w:pPr>
            <w:r>
              <w:rPr>
                <w:rFonts w:ascii="Arial" w:cs="Arial" w:eastAsia="Arial" w:hAnsi="Arial"/>
                <w:sz w:val="14"/>
                <w:szCs w:val="14"/>
                <w:color w:val="auto"/>
              </w:rPr>
              <w:t>Deferred income tax benefit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(9,268)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(20,827)</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Provision for credit losses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8"/>
        </w:trPr>
        <w:tc>
          <w:tcPr>
            <w:tcW w:w="6640" w:type="dxa"/>
            <w:vAlign w:val="bottom"/>
          </w:tcPr>
          <w:p>
            <w:pPr>
              <w:ind w:left="320"/>
              <w:spacing w:after="0" w:line="149" w:lineRule="exact"/>
              <w:rPr>
                <w:sz w:val="20"/>
                <w:szCs w:val="20"/>
                <w:color w:val="auto"/>
              </w:rPr>
            </w:pPr>
            <w:r>
              <w:rPr>
                <w:rFonts w:ascii="Arial" w:cs="Arial" w:eastAsia="Arial" w:hAnsi="Arial"/>
                <w:sz w:val="14"/>
                <w:szCs w:val="14"/>
                <w:color w:val="auto"/>
              </w:rPr>
              <w:t>Net accretion of discounts and amortization of premiums on available-for-sale securities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9"/>
        </w:trPr>
        <w:tc>
          <w:tcPr>
            <w:tcW w:w="66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Amortization of debt issuance costs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8"/>
        </w:trPr>
        <w:tc>
          <w:tcPr>
            <w:tcW w:w="6640" w:type="dxa"/>
            <w:vAlign w:val="bottom"/>
          </w:tcPr>
          <w:p>
            <w:pPr>
              <w:ind w:left="320"/>
              <w:spacing w:after="0" w:line="149" w:lineRule="exact"/>
              <w:rPr>
                <w:sz w:val="20"/>
                <w:szCs w:val="20"/>
                <w:color w:val="auto"/>
              </w:rPr>
            </w:pPr>
            <w:r>
              <w:rPr>
                <w:rFonts w:ascii="Arial" w:cs="Arial" w:eastAsia="Arial" w:hAnsi="Arial"/>
                <w:sz w:val="14"/>
                <w:szCs w:val="14"/>
                <w:color w:val="auto"/>
              </w:rPr>
              <w:t>Other</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contract costs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(10,409)</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(11,114)</w:t>
            </w:r>
          </w:p>
        </w:tc>
        <w:tc>
          <w:tcPr>
            <w:tcW w:w="0" w:type="dxa"/>
            <w:vAlign w:val="bottom"/>
          </w:tcPr>
          <w:p>
            <w:pPr>
              <w:spacing w:after="0"/>
              <w:rPr>
                <w:sz w:val="1"/>
                <w:szCs w:val="1"/>
                <w:color w:val="auto"/>
              </w:rPr>
            </w:pPr>
          </w:p>
        </w:tc>
      </w:tr>
      <w:tr>
        <w:trPr>
          <w:trHeight w:val="149"/>
        </w:trPr>
        <w:tc>
          <w:tcPr>
            <w:tcW w:w="6640" w:type="dxa"/>
            <w:vAlign w:val="bottom"/>
          </w:tcPr>
          <w:p>
            <w:pPr>
              <w:ind w:left="420"/>
              <w:spacing w:after="0" w:line="149" w:lineRule="exact"/>
              <w:rPr>
                <w:sz w:val="20"/>
                <w:szCs w:val="20"/>
                <w:color w:val="auto"/>
              </w:rPr>
            </w:pPr>
            <w:r>
              <w:rPr>
                <w:rFonts w:ascii="Arial" w:cs="Arial" w:eastAsia="Arial" w:hAnsi="Arial"/>
                <w:sz w:val="14"/>
                <w:szCs w:val="14"/>
                <w:color w:val="auto"/>
              </w:rPr>
              <w:t>Prepaid expenses and other</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(2,144)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(9,807)</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1,567</w:t>
            </w:r>
          </w:p>
        </w:tc>
        <w:tc>
          <w:tcPr>
            <w:tcW w:w="0" w:type="dxa"/>
            <w:vAlign w:val="bottom"/>
          </w:tcPr>
          <w:p>
            <w:pPr>
              <w:spacing w:after="0"/>
              <w:rPr>
                <w:sz w:val="1"/>
                <w:szCs w:val="1"/>
                <w:color w:val="auto"/>
              </w:rPr>
            </w:pPr>
          </w:p>
        </w:tc>
      </w:tr>
      <w:tr>
        <w:trPr>
          <w:trHeight w:val="148"/>
        </w:trPr>
        <w:tc>
          <w:tcPr>
            <w:tcW w:w="6640" w:type="dxa"/>
            <w:vAlign w:val="bottom"/>
            <w:tcBorders>
              <w:bottom w:val="single" w:sz="8" w:color="CCEEFF"/>
            </w:tcBorders>
          </w:tcPr>
          <w:p>
            <w:pPr>
              <w:ind w:left="420"/>
              <w:spacing w:after="0" w:line="149" w:lineRule="exact"/>
              <w:rPr>
                <w:sz w:val="20"/>
                <w:szCs w:val="20"/>
                <w:color w:val="auto"/>
              </w:rPr>
            </w:pPr>
            <w:r>
              <w:rPr>
                <w:rFonts w:ascii="Arial" w:cs="Arial" w:eastAsia="Arial" w:hAnsi="Arial"/>
                <w:sz w:val="14"/>
                <w:szCs w:val="14"/>
                <w:color w:val="auto"/>
              </w:rPr>
              <w:t>Accrued expenses and other</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(18,781)</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(25,790)</w:t>
            </w:r>
          </w:p>
        </w:tc>
        <w:tc>
          <w:tcPr>
            <w:tcW w:w="0" w:type="dxa"/>
            <w:vAlign w:val="bottom"/>
          </w:tcPr>
          <w:p>
            <w:pPr>
              <w:spacing w:after="0"/>
              <w:rPr>
                <w:sz w:val="1"/>
                <w:szCs w:val="1"/>
                <w:color w:val="auto"/>
              </w:rPr>
            </w:pPr>
          </w:p>
        </w:tc>
      </w:tr>
      <w:tr>
        <w:trPr>
          <w:trHeight w:val="142"/>
        </w:trPr>
        <w:tc>
          <w:tcPr>
            <w:tcW w:w="6640" w:type="dxa"/>
            <w:vAlign w:val="bottom"/>
            <w:shd w:val="clear" w:color="auto" w:fill="CCEEFF"/>
          </w:tcPr>
          <w:p>
            <w:pPr>
              <w:ind w:left="640"/>
              <w:spacing w:after="0" w:line="142" w:lineRule="exact"/>
              <w:rPr>
                <w:sz w:val="20"/>
                <w:szCs w:val="20"/>
                <w:color w:val="auto"/>
              </w:rPr>
            </w:pPr>
            <w:r>
              <w:rPr>
                <w:rFonts w:ascii="Arial" w:cs="Arial" w:eastAsia="Arial" w:hAnsi="Arial"/>
                <w:sz w:val="14"/>
                <w:szCs w:val="14"/>
                <w:color w:val="auto"/>
              </w:rPr>
              <w:t>Net cash used in operating activities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(1,567)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(4,132)</w:t>
            </w:r>
          </w:p>
        </w:tc>
        <w:tc>
          <w:tcPr>
            <w:tcW w:w="0" w:type="dxa"/>
            <w:vAlign w:val="bottom"/>
          </w:tcPr>
          <w:p>
            <w:pPr>
              <w:spacing w:after="0"/>
              <w:rPr>
                <w:sz w:val="1"/>
                <w:szCs w:val="1"/>
                <w:color w:val="auto"/>
              </w:rPr>
            </w:pPr>
          </w:p>
        </w:tc>
      </w:tr>
      <w:tr>
        <w:trPr>
          <w:trHeight w:val="149"/>
        </w:trPr>
        <w:tc>
          <w:tcPr>
            <w:tcW w:w="6640" w:type="dxa"/>
            <w:vAlign w:val="bottom"/>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Purchases of available-for-sale securities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(135,849)</w:t>
            </w:r>
          </w:p>
        </w:tc>
        <w:tc>
          <w:tcPr>
            <w:tcW w:w="0" w:type="dxa"/>
            <w:vAlign w:val="bottom"/>
          </w:tcPr>
          <w:p>
            <w:pPr>
              <w:spacing w:after="0"/>
              <w:rPr>
                <w:sz w:val="1"/>
                <w:szCs w:val="1"/>
                <w:color w:val="auto"/>
              </w:rPr>
            </w:pPr>
          </w:p>
        </w:tc>
      </w:tr>
      <w:tr>
        <w:trPr>
          <w:trHeight w:val="148"/>
        </w:trPr>
        <w:tc>
          <w:tcPr>
            <w:tcW w:w="664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sales and maturities of available-for-sale securities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37,493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9,648</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Capitalized internal-use software costs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(9,159)</w:t>
            </w:r>
          </w:p>
        </w:tc>
        <w:tc>
          <w:tcPr>
            <w:tcW w:w="0" w:type="dxa"/>
            <w:vAlign w:val="bottom"/>
          </w:tcPr>
          <w:p>
            <w:pPr>
              <w:spacing w:after="0"/>
              <w:rPr>
                <w:sz w:val="1"/>
                <w:szCs w:val="1"/>
                <w:color w:val="auto"/>
              </w:rPr>
            </w:pPr>
          </w:p>
        </w:tc>
      </w:tr>
      <w:tr>
        <w:trPr>
          <w:trHeight w:val="148"/>
        </w:trPr>
        <w:tc>
          <w:tcPr>
            <w:tcW w:w="6640" w:type="dxa"/>
            <w:vAlign w:val="bottom"/>
          </w:tcPr>
          <w:p>
            <w:pPr>
              <w:ind w:left="200"/>
              <w:spacing w:after="0" w:line="149" w:lineRule="exact"/>
              <w:rPr>
                <w:sz w:val="20"/>
                <w:szCs w:val="20"/>
                <w:color w:val="auto"/>
              </w:rPr>
            </w:pPr>
            <w:r>
              <w:rPr>
                <w:rFonts w:ascii="Arial" w:cs="Arial" w:eastAsia="Arial" w:hAnsi="Arial"/>
                <w:sz w:val="14"/>
                <w:szCs w:val="14"/>
                <w:color w:val="auto"/>
              </w:rPr>
              <w:t>Purchases of property and equipment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(2,045)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(3,220)</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Acquisition of business, net of cash acquired</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(59,581)</w:t>
            </w:r>
          </w:p>
        </w:tc>
        <w:tc>
          <w:tcPr>
            <w:tcW w:w="0" w:type="dxa"/>
            <w:vAlign w:val="bottom"/>
          </w:tcPr>
          <w:p>
            <w:pPr>
              <w:spacing w:after="0"/>
              <w:rPr>
                <w:sz w:val="1"/>
                <w:szCs w:val="1"/>
                <w:color w:val="auto"/>
              </w:rPr>
            </w:pPr>
          </w:p>
        </w:tc>
      </w:tr>
      <w:tr>
        <w:trPr>
          <w:trHeight w:val="142"/>
        </w:trPr>
        <w:tc>
          <w:tcPr>
            <w:tcW w:w="6640" w:type="dxa"/>
            <w:vAlign w:val="bottom"/>
          </w:tcPr>
          <w:p>
            <w:pPr>
              <w:ind w:left="64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27,564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(198,161)</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ind w:left="200"/>
              <w:spacing w:after="0" w:line="149" w:lineRule="exact"/>
              <w:rPr>
                <w:sz w:val="20"/>
                <w:szCs w:val="20"/>
                <w:color w:val="auto"/>
              </w:rPr>
            </w:pPr>
            <w:r>
              <w:rPr>
                <w:rFonts w:ascii="Arial" w:cs="Arial" w:eastAsia="Arial" w:hAnsi="Arial"/>
                <w:sz w:val="14"/>
                <w:szCs w:val="14"/>
                <w:color w:val="auto"/>
              </w:rPr>
              <w:t>Net change in client fund obligations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51,671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1,425,782</w:t>
            </w:r>
          </w:p>
        </w:tc>
        <w:tc>
          <w:tcPr>
            <w:tcW w:w="0" w:type="dxa"/>
            <w:vAlign w:val="bottom"/>
          </w:tcPr>
          <w:p>
            <w:pPr>
              <w:spacing w:after="0"/>
              <w:rPr>
                <w:sz w:val="1"/>
                <w:szCs w:val="1"/>
                <w:color w:val="auto"/>
              </w:rPr>
            </w:pPr>
          </w:p>
        </w:tc>
      </w:tr>
      <w:tr>
        <w:trPr>
          <w:trHeight w:val="149"/>
        </w:trPr>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Taxes paid related to net share settlement of equity awards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(33,402)</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(60,809)</w:t>
            </w:r>
          </w:p>
        </w:tc>
        <w:tc>
          <w:tcPr>
            <w:tcW w:w="0" w:type="dxa"/>
            <w:vAlign w:val="bottom"/>
          </w:tcPr>
          <w:p>
            <w:pPr>
              <w:spacing w:after="0"/>
              <w:rPr>
                <w:sz w:val="1"/>
                <w:szCs w:val="1"/>
                <w:color w:val="auto"/>
              </w:rPr>
            </w:pPr>
          </w:p>
        </w:tc>
      </w:tr>
      <w:tr>
        <w:trPr>
          <w:trHeight w:val="148"/>
        </w:trPr>
        <w:tc>
          <w:tcPr>
            <w:tcW w:w="664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Payment of debt issuance costs</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2"/>
        </w:trPr>
        <w:tc>
          <w:tcPr>
            <w:tcW w:w="6640" w:type="dxa"/>
            <w:vAlign w:val="bottom"/>
            <w:shd w:val="clear" w:color="auto" w:fill="CCEEFF"/>
          </w:tcPr>
          <w:p>
            <w:pPr>
              <w:ind w:left="64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18,260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1,364,964</w:t>
            </w:r>
          </w:p>
        </w:tc>
        <w:tc>
          <w:tcPr>
            <w:tcW w:w="0" w:type="dxa"/>
            <w:vAlign w:val="bottom"/>
          </w:tcPr>
          <w:p>
            <w:pPr>
              <w:spacing w:after="0"/>
              <w:rPr>
                <w:sz w:val="1"/>
                <w:szCs w:val="1"/>
                <w:color w:val="auto"/>
              </w:rPr>
            </w:pPr>
          </w:p>
        </w:tc>
      </w:tr>
      <w:tr>
        <w:trPr>
          <w:trHeight w:val="142"/>
        </w:trPr>
        <w:tc>
          <w:tcPr>
            <w:tcW w:w="6640" w:type="dxa"/>
            <w:vAlign w:val="bottom"/>
          </w:tcPr>
          <w:p>
            <w:pPr>
              <w:spacing w:after="0" w:line="142" w:lineRule="exact"/>
              <w:rPr>
                <w:sz w:val="20"/>
                <w:szCs w:val="20"/>
                <w:color w:val="auto"/>
              </w:rPr>
            </w:pPr>
            <w:r>
              <w:rPr>
                <w:rFonts w:ascii="Arial" w:cs="Arial" w:eastAsia="Arial" w:hAnsi="Arial"/>
                <w:sz w:val="14"/>
                <w:szCs w:val="14"/>
                <w:color w:val="auto"/>
              </w:rPr>
              <w:t>Net change in cash, cash equivalents and funds held for clients' cash and cash equivalents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44,257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1,162,671</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funds held for clients' cash and cash equivalents—beginning of period</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1,492,133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1,945,881</w:t>
            </w:r>
          </w:p>
        </w:tc>
        <w:tc>
          <w:tcPr>
            <w:tcW w:w="0" w:type="dxa"/>
            <w:vAlign w:val="bottom"/>
          </w:tcPr>
          <w:p>
            <w:pPr>
              <w:spacing w:after="0"/>
              <w:rPr>
                <w:sz w:val="1"/>
                <w:szCs w:val="1"/>
                <w:color w:val="auto"/>
              </w:rPr>
            </w:pPr>
          </w:p>
        </w:tc>
      </w:tr>
      <w:tr>
        <w:trPr>
          <w:trHeight w:val="182"/>
        </w:trPr>
        <w:tc>
          <w:tcPr>
            <w:tcW w:w="66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Cash, cash equivalents and funds held for clients' cash and cash equivalents—end of period</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1,536,390</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3,108,552</w:t>
            </w:r>
          </w:p>
        </w:tc>
        <w:tc>
          <w:tcPr>
            <w:tcW w:w="0" w:type="dxa"/>
            <w:vAlign w:val="bottom"/>
          </w:tcPr>
          <w:p>
            <w:pPr>
              <w:spacing w:after="0"/>
              <w:rPr>
                <w:sz w:val="1"/>
                <w:szCs w:val="1"/>
                <w:color w:val="auto"/>
              </w:rPr>
            </w:pPr>
          </w:p>
        </w:tc>
      </w:tr>
      <w:tr>
        <w:trPr>
          <w:trHeight w:val="129"/>
        </w:trPr>
        <w:tc>
          <w:tcPr>
            <w:tcW w:w="66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Supplemental Disclosure of Non-Cash Investing and Financing Activities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640" w:type="dxa"/>
            <w:vAlign w:val="bottom"/>
          </w:tcPr>
          <w:p>
            <w:pPr>
              <w:ind w:left="200"/>
              <w:spacing w:after="0" w:line="149" w:lineRule="exact"/>
              <w:rPr>
                <w:sz w:val="20"/>
                <w:szCs w:val="20"/>
                <w:color w:val="auto"/>
              </w:rPr>
            </w:pPr>
            <w:r>
              <w:rPr>
                <w:rFonts w:ascii="Arial" w:cs="Arial" w:eastAsia="Arial" w:hAnsi="Arial"/>
                <w:sz w:val="14"/>
                <w:szCs w:val="14"/>
                <w:color w:val="auto"/>
              </w:rPr>
              <w:t>Purchases of property and equipment and internal-use software, accrued but not paid</w:t>
            </w:r>
          </w:p>
        </w:tc>
        <w:tc>
          <w:tcPr>
            <w:tcW w:w="3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1,479</w:t>
            </w:r>
          </w:p>
        </w:tc>
        <w:tc>
          <w:tcPr>
            <w:tcW w:w="220" w:type="dxa"/>
            <w:vAlign w:val="bottom"/>
          </w:tcPr>
          <w:p>
            <w:pPr>
              <w:spacing w:after="0"/>
              <w:rPr>
                <w:sz w:val="16"/>
                <w:szCs w:val="16"/>
                <w:color w:val="auto"/>
              </w:rPr>
            </w:pPr>
          </w:p>
        </w:tc>
        <w:tc>
          <w:tcPr>
            <w:tcW w:w="22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3,079</w:t>
            </w:r>
          </w:p>
        </w:tc>
        <w:tc>
          <w:tcPr>
            <w:tcW w:w="0" w:type="dxa"/>
            <w:vAlign w:val="bottom"/>
          </w:tcPr>
          <w:p>
            <w:pPr>
              <w:spacing w:after="0"/>
              <w:rPr>
                <w:sz w:val="1"/>
                <w:szCs w:val="1"/>
                <w:color w:val="auto"/>
              </w:rPr>
            </w:pPr>
          </w:p>
        </w:tc>
      </w:tr>
      <w:tr>
        <w:trPr>
          <w:trHeight w:val="129"/>
        </w:trPr>
        <w:tc>
          <w:tcPr>
            <w:tcW w:w="6640" w:type="dxa"/>
            <w:vAlign w:val="bottom"/>
            <w:tcBorders>
              <w:top w:val="single" w:sz="8" w:color="CCEEFF"/>
              <w:bottom w:val="single" w:sz="8" w:color="CCEEFF"/>
            </w:tcBorders>
            <w:shd w:val="clear" w:color="auto" w:fill="CCEEFF"/>
          </w:tcPr>
          <w:p>
            <w:pPr>
              <w:ind w:left="200"/>
              <w:spacing w:after="0" w:line="129" w:lineRule="exact"/>
              <w:rPr>
                <w:sz w:val="20"/>
                <w:szCs w:val="20"/>
                <w:color w:val="auto"/>
              </w:rPr>
            </w:pPr>
            <w:r>
              <w:rPr>
                <w:rFonts w:ascii="Arial" w:cs="Arial" w:eastAsia="Arial" w:hAnsi="Arial"/>
                <w:sz w:val="14"/>
                <w:szCs w:val="14"/>
                <w:color w:val="auto"/>
              </w:rPr>
              <w:t>Liabilities assumed for acquisition</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2,165</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4"/>
                <w:szCs w:val="14"/>
                <w:color w:val="auto"/>
              </w:rPr>
              <w:t>Supplemental Disclosure of Cash Flow Information</w:t>
            </w: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paid for interest</w:t>
            </w:r>
          </w:p>
        </w:tc>
        <w:tc>
          <w:tcPr>
            <w:tcW w:w="3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w:t>
            </w:r>
          </w:p>
        </w:tc>
        <w:tc>
          <w:tcPr>
            <w:tcW w:w="2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4"/>
                <w:szCs w:val="14"/>
                <w:color w:val="auto"/>
              </w:rPr>
              <w:t>Cash paid (refunds received) for income taxes</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4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(119)</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83"/>
        </w:trPr>
        <w:tc>
          <w:tcPr>
            <w:tcW w:w="6640" w:type="dxa"/>
            <w:vAlign w:val="bottom"/>
            <w:shd w:val="clear" w:color="auto" w:fill="CCEEFF"/>
          </w:tcPr>
          <w:p>
            <w:pPr>
              <w:spacing w:after="0" w:line="84" w:lineRule="exact"/>
              <w:rPr>
                <w:sz w:val="20"/>
                <w:szCs w:val="20"/>
                <w:color w:val="auto"/>
              </w:rPr>
            </w:pPr>
            <w:r>
              <w:rPr>
                <w:rFonts w:ascii="Arial" w:cs="Arial" w:eastAsia="Arial" w:hAnsi="Arial"/>
                <w:sz w:val="9"/>
                <w:szCs w:val="9"/>
                <w:color w:val="auto"/>
              </w:rPr>
              <w:t>Reconciliation of cash, cash equivalents and funds held for clients' cash and cash equivalents to the Consolidated</w:t>
            </w: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6640" w:type="dxa"/>
            <w:vAlign w:val="bottom"/>
            <w:shd w:val="clear" w:color="auto" w:fill="CCEEFF"/>
          </w:tcPr>
          <w:p>
            <w:pPr>
              <w:spacing w:after="0"/>
              <w:rPr>
                <w:sz w:val="20"/>
                <w:szCs w:val="20"/>
                <w:color w:val="auto"/>
              </w:rPr>
            </w:pPr>
            <w:r>
              <w:rPr>
                <w:rFonts w:ascii="Arial" w:cs="Arial" w:eastAsia="Arial" w:hAnsi="Arial"/>
                <w:sz w:val="14"/>
                <w:szCs w:val="14"/>
                <w:color w:val="auto"/>
              </w:rPr>
              <w:t>Balance Sheets</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3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221,514</w:t>
            </w:r>
          </w:p>
        </w:tc>
        <w:tc>
          <w:tcPr>
            <w:tcW w:w="220" w:type="dxa"/>
            <w:vAlign w:val="bottom"/>
          </w:tcPr>
          <w:p>
            <w:pPr>
              <w:spacing w:after="0"/>
              <w:rPr>
                <w:sz w:val="12"/>
                <w:szCs w:val="12"/>
                <w:color w:val="auto"/>
              </w:rPr>
            </w:pPr>
          </w:p>
        </w:tc>
        <w:tc>
          <w:tcPr>
            <w:tcW w:w="22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66,431</w:t>
            </w:r>
          </w:p>
        </w:tc>
        <w:tc>
          <w:tcPr>
            <w:tcW w:w="0" w:type="dxa"/>
            <w:vAlign w:val="bottom"/>
          </w:tcPr>
          <w:p>
            <w:pPr>
              <w:spacing w:after="0"/>
              <w:rPr>
                <w:sz w:val="1"/>
                <w:szCs w:val="1"/>
                <w:color w:val="auto"/>
              </w:rPr>
            </w:pPr>
          </w:p>
        </w:tc>
      </w:tr>
      <w:tr>
        <w:trPr>
          <w:trHeight w:val="149"/>
        </w:trPr>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Funds held for clients' cash and cash equivalents</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1,314,876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3,042,121</w:t>
            </w:r>
          </w:p>
        </w:tc>
        <w:tc>
          <w:tcPr>
            <w:tcW w:w="0" w:type="dxa"/>
            <w:vAlign w:val="bottom"/>
          </w:tcPr>
          <w:p>
            <w:pPr>
              <w:spacing w:after="0"/>
              <w:rPr>
                <w:sz w:val="1"/>
                <w:szCs w:val="1"/>
                <w:color w:val="auto"/>
              </w:rPr>
            </w:pPr>
          </w:p>
        </w:tc>
      </w:tr>
      <w:tr>
        <w:trPr>
          <w:trHeight w:val="142"/>
        </w:trPr>
        <w:tc>
          <w:tcPr>
            <w:tcW w:w="6640" w:type="dxa"/>
            <w:vAlign w:val="bottom"/>
          </w:tcPr>
          <w:p>
            <w:pPr>
              <w:spacing w:after="0" w:line="142" w:lineRule="exact"/>
              <w:rPr>
                <w:sz w:val="20"/>
                <w:szCs w:val="20"/>
                <w:color w:val="auto"/>
              </w:rPr>
            </w:pPr>
            <w:r>
              <w:rPr>
                <w:rFonts w:ascii="Arial" w:cs="Arial" w:eastAsia="Arial" w:hAnsi="Arial"/>
                <w:sz w:val="14"/>
                <w:szCs w:val="14"/>
                <w:color w:val="auto"/>
              </w:rPr>
              <w:t>Total cash, cash equivalents and funds held for clients' cash and cash equivalents</w:t>
            </w:r>
          </w:p>
        </w:tc>
        <w:tc>
          <w:tcPr>
            <w:tcW w:w="14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1,536,390</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3,108,552</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left="60" w:right="199" w:firstLine="648"/>
        <w:spacing w:after="0" w:line="255" w:lineRule="auto"/>
        <w:rPr>
          <w:sz w:val="20"/>
          <w:szCs w:val="20"/>
          <w:color w:val="auto"/>
        </w:rPr>
      </w:pPr>
      <w:r>
        <w:rPr>
          <w:rFonts w:ascii="Arial" w:cs="Arial" w:eastAsia="Arial" w:hAnsi="Arial"/>
          <w:sz w:val="18"/>
          <w:szCs w:val="18"/>
          <w:color w:val="auto"/>
        </w:rPr>
        <w:t>Paylocity Holding Corporation (the “Company”) is a cloud-based provider of payroll and human capital management software solutions. Services are provided in a Software-as-a-Service (“SaaS”) delivery model utilizing the Company’s cloud-based platform. The Company’s comprehensive product suite, comprised of payroll, human capital management, workforce management, talent management, benefits, modern workforce solutions and analytics &amp; insights, delivers a unified platform that allows clients to make strategic decisions while promoting a modern workplace and improving employee engagement.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340" w:hanging="29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Basis of Presentation, Consolidation and Use of Estimates</w:t>
      </w:r>
    </w:p>
    <w:p>
      <w:pPr>
        <w:spacing w:after="0" w:line="225"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color w:val="auto"/>
        </w:rPr>
        <w:t>These unaudited consolidated financial statements have been prepared in accordance with U.S. generally accepted accounting principles (“GAAP”). The unaudited consolidated financial statements include the accounts of the Company and its wholly owned subsidiaries. All intercompany accounts and transactions have been eliminated in consolidation.</w:t>
      </w:r>
    </w:p>
    <w:p>
      <w:pPr>
        <w:spacing w:after="0" w:line="149"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may change as new events occur, as more experience is acquired, as additional information is obtained and as the operating environment changes.</w:t>
      </w:r>
    </w:p>
    <w:p>
      <w:pPr>
        <w:spacing w:after="0" w:line="177" w:lineRule="exact"/>
        <w:rPr>
          <w:sz w:val="20"/>
          <w:szCs w:val="20"/>
          <w:color w:val="auto"/>
        </w:rPr>
      </w:pPr>
    </w:p>
    <w:p>
      <w:pPr>
        <w:ind w:left="360" w:hanging="310"/>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Interim Unaudited Consolidated Financial Information</w:t>
      </w:r>
    </w:p>
    <w:p>
      <w:pPr>
        <w:spacing w:after="0" w:line="225" w:lineRule="exact"/>
        <w:rPr>
          <w:sz w:val="20"/>
          <w:szCs w:val="20"/>
          <w:color w:val="auto"/>
        </w:rPr>
      </w:pPr>
    </w:p>
    <w:p>
      <w:pPr>
        <w:ind w:left="60" w:right="179" w:firstLine="648"/>
        <w:spacing w:after="0" w:line="289" w:lineRule="auto"/>
        <w:rPr>
          <w:sz w:val="20"/>
          <w:szCs w:val="20"/>
          <w:color w:val="auto"/>
        </w:rPr>
      </w:pPr>
      <w:r>
        <w:rPr>
          <w:rFonts w:ascii="Arial" w:cs="Arial" w:eastAsia="Arial" w:hAnsi="Arial"/>
          <w:sz w:val="16"/>
          <w:szCs w:val="16"/>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three months ended September 30, 2021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2021 included in the Company’s Annual Report on Form 10-K.</w:t>
      </w:r>
    </w:p>
    <w:p>
      <w:pPr>
        <w:spacing w:after="0" w:line="166" w:lineRule="exact"/>
        <w:rPr>
          <w:sz w:val="20"/>
          <w:szCs w:val="20"/>
          <w:color w:val="auto"/>
        </w:rPr>
      </w:pPr>
    </w:p>
    <w:p>
      <w:pPr>
        <w:ind w:left="340" w:hanging="290"/>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Income taxes are accounted for in accordance with ASC 740, Income Taxes, using the asset and liability method. The Company’s provision for income taxes is based on the annual effective rate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6"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strategies, and results of recent operations. If the Company determines that it would be able to realize its deferred tax assets in the future in excess of their net-recorded amount, it would make an adjustment to the deferred tax asset valuation allowance, which would reduce the provision for income taxes.</w:t>
      </w:r>
    </w:p>
    <w:p>
      <w:pPr>
        <w:spacing w:after="0" w:line="184" w:lineRule="exact"/>
        <w:rPr>
          <w:sz w:val="20"/>
          <w:szCs w:val="20"/>
          <w:color w:val="auto"/>
        </w:rPr>
      </w:pPr>
    </w:p>
    <w:p>
      <w:pPr>
        <w:ind w:left="360" w:hanging="310"/>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or other standard 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The Company derives its revenue from contracts predominantly from recurring and non-recurring service fees. While the majority of its agreements are generally cancellable by the client on 60 days’ notice or less, the Company also offers term agreements to its clients, which are generally two years in length. Recurring fees are derived from payroll, timekeeping, and HR-related cloud-based computing services. The majority of the Company’s recurring fees are satisfied over time as services are provided. The performance obligations related to payroll services are satisfied upon the processing of the client’s payroll with the fee charged and collected based on a per employee per payroll frequency fee. The performance obligations related to time and attendance services and HR related services are satisfied over time each month with the fee charged and collected based on a per employee per month fee. For subscription-based fees which can include payroll, time and attendance, and HR related services, the Company recognizes the applicable recurring fees over time each month with the fee charged and collected based on a per employee per month fee. Non-recurring service fees consist mainly of nonrefundable implementation fees, which involve setting the client up in, and loading data into, the Company’s cloud-based modules. These implementation activities are considered set-up activities. The Company has determined that the nonrefundable upfront fees provide certain clients with a material right to renew the contract.</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disaggregates revenue by Recurring fees and Implementation services and other, which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Company believes depicts the nature, amount and timing of its revenue:</w:t>
      </w:r>
    </w:p>
    <w:p>
      <w:pPr>
        <w:spacing w:after="0" w:line="216"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Three Months Ended</w:t>
      </w:r>
    </w:p>
    <w:p>
      <w:pPr>
        <w:ind w:left="750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69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fees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129,692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174,697</w:t>
            </w:r>
          </w:p>
        </w:tc>
      </w:tr>
      <w:tr>
        <w:trPr>
          <w:trHeight w:val="216"/>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Implementation services and other</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6,127</w:t>
            </w:r>
          </w:p>
        </w:tc>
      </w:tr>
      <w:tr>
        <w:trPr>
          <w:trHeight w:val="21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from contracts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134,875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180,824</w:t>
            </w: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The timing of revenue recognition for recurring revenue is consistent with the timing of invoicing as they occur simultaneously based on the client’s payroll frequency or by month for subscription-based fees. As such, the Company does not recognize contract assets or liabilities related to recurring revenue.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 nonrefundable upfront fees related to implementation services are invoiced with the client’s first payroll period. The Company defers and amortizes these nonrefundable upfront fees generally over a period up to 24 months based on the type of contract. The following table summarizes the changes in deferred revenue (i.e. contract liability) related to these nonrefundable upfront fees as follows:</w:t>
      </w:r>
    </w:p>
    <w:p>
      <w:pPr>
        <w:spacing w:after="0" w:line="192"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Three Months Ended</w:t>
      </w:r>
    </w:p>
    <w:p>
      <w:pPr>
        <w:ind w:left="748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68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8,734</w:t>
            </w: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Deferral of revenue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4,353</w:t>
            </w: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r>
      <w:tr>
        <w:trPr>
          <w:trHeight w:val="209"/>
        </w:trPr>
        <w:tc>
          <w:tcPr>
            <w:tcW w:w="6880" w:type="dxa"/>
            <w:vAlign w:val="bottom"/>
          </w:tcPr>
          <w:p>
            <w:pPr>
              <w:ind w:left="20"/>
              <w:spacing w:after="0"/>
              <w:rPr>
                <w:sz w:val="20"/>
                <w:szCs w:val="20"/>
                <w:color w:val="auto"/>
              </w:rPr>
            </w:pPr>
            <w:r>
              <w:rPr>
                <w:rFonts w:ascii="Arial" w:cs="Arial" w:eastAsia="Arial" w:hAnsi="Arial"/>
                <w:sz w:val="18"/>
                <w:szCs w:val="18"/>
                <w:color w:val="auto"/>
              </w:rPr>
              <w:t>Balance at end of the period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7,670</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8,717</w:t>
            </w:r>
          </w:p>
        </w:tc>
      </w:tr>
      <w:tr>
        <w:trPr>
          <w:trHeight w:val="20"/>
        </w:trPr>
        <w:tc>
          <w:tcPr>
            <w:tcW w:w="6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379" w:firstLine="648"/>
        <w:spacing w:after="0" w:line="311" w:lineRule="auto"/>
        <w:rPr>
          <w:sz w:val="20"/>
          <w:szCs w:val="20"/>
          <w:color w:val="auto"/>
        </w:rPr>
      </w:pPr>
      <w:r>
        <w:rPr>
          <w:rFonts w:ascii="Arial" w:cs="Arial" w:eastAsia="Arial" w:hAnsi="Arial"/>
          <w:sz w:val="16"/>
          <w:szCs w:val="16"/>
          <w:color w:val="auto"/>
        </w:rPr>
        <w:t>Deferred revenue related to these nonrefundable upfront fees are recorded within Accrued expenses and Other long-term liabilities on the Unaudited Consolidated Balance Sheets. The Company expects to recognize these deferred revenue balances of $6,231 in fiscal 2022, $2,351 in fiscal 2023 and $135 in fiscal 2024 and thereafter.</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64"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The Company utilizes the portfolio approach to account for both the cost of obtaining a contract and the cost of fulfilling a contract. These capitalized costs are amortized over the expected period of benefit, which has been determined to be over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w:t>
      </w:r>
    </w:p>
    <w:p>
      <w:pPr>
        <w:spacing w:after="0" w:line="195"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The following tables present the deferred contract costs and the related amortization expense for these deferred contract costs: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13"/>
          </w:tcPr>
          <w:p>
            <w:pPr>
              <w:jc w:val="right"/>
              <w:ind w:right="598"/>
              <w:spacing w:after="0"/>
              <w:rPr>
                <w:sz w:val="20"/>
                <w:szCs w:val="20"/>
                <w:color w:val="auto"/>
              </w:rPr>
            </w:pPr>
            <w:r>
              <w:rPr>
                <w:rFonts w:ascii="Arial" w:cs="Arial" w:eastAsia="Arial" w:hAnsi="Arial"/>
                <w:sz w:val="14"/>
                <w:szCs w:val="14"/>
                <w:b w:val="1"/>
                <w:bCs w:val="1"/>
                <w:color w:val="auto"/>
              </w:rPr>
              <w:t>Three Months Ended September 30, 2020</w:t>
            </w:r>
          </w:p>
        </w:tc>
        <w:tc>
          <w:tcPr>
            <w:tcW w:w="0" w:type="dxa"/>
            <w:vAlign w:val="bottom"/>
          </w:tcPr>
          <w:p>
            <w:pPr>
              <w:spacing w:after="0"/>
              <w:rPr>
                <w:sz w:val="1"/>
                <w:szCs w:val="1"/>
                <w:color w:val="auto"/>
              </w:rPr>
            </w:pPr>
          </w:p>
        </w:tc>
      </w:tr>
      <w:tr>
        <w:trPr>
          <w:trHeight w:val="119"/>
        </w:trPr>
        <w:tc>
          <w:tcPr>
            <w:tcW w:w="4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Beginning</w:t>
            </w:r>
          </w:p>
        </w:tc>
        <w:tc>
          <w:tcPr>
            <w:tcW w:w="20" w:type="dxa"/>
            <w:vAlign w:val="bottom"/>
          </w:tcPr>
          <w:p>
            <w:pPr>
              <w:spacing w:after="0"/>
              <w:rPr>
                <w:sz w:val="10"/>
                <w:szCs w:val="10"/>
                <w:color w:val="auto"/>
              </w:rPr>
            </w:pPr>
          </w:p>
        </w:tc>
        <w:tc>
          <w:tcPr>
            <w:tcW w:w="92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Capitalized</w:t>
            </w:r>
          </w:p>
        </w:tc>
        <w:tc>
          <w:tcPr>
            <w:tcW w:w="20" w:type="dxa"/>
            <w:vAlign w:val="bottom"/>
          </w:tcPr>
          <w:p>
            <w:pPr>
              <w:spacing w:after="0"/>
              <w:rPr>
                <w:sz w:val="10"/>
                <w:szCs w:val="10"/>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0"/>
                <w:szCs w:val="10"/>
                <w:color w:val="auto"/>
              </w:rPr>
            </w:pPr>
          </w:p>
        </w:tc>
        <w:tc>
          <w:tcPr>
            <w:tcW w:w="74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Ending</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Balance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Costs</w:t>
            </w:r>
          </w:p>
        </w:tc>
        <w:tc>
          <w:tcPr>
            <w:tcW w:w="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to obtain a new contract</w:t>
            </w: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5"/>
              </w:rPr>
              <w:t>113,575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11,641</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118,644</w:t>
            </w: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Arial" w:cs="Arial" w:eastAsia="Arial" w:hAnsi="Arial"/>
                <w:sz w:val="18"/>
                <w:szCs w:val="18"/>
                <w:color w:val="auto"/>
              </w:rPr>
              <w:t>Costs to fulfill a contract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220"/>
              <w:spacing w:after="0"/>
              <w:rPr>
                <w:sz w:val="20"/>
                <w:szCs w:val="20"/>
                <w:color w:val="auto"/>
              </w:rPr>
            </w:pPr>
            <w:r>
              <w:rPr>
                <w:rFonts w:ascii="Arial" w:cs="Arial" w:eastAsia="Arial" w:hAnsi="Arial"/>
                <w:sz w:val="18"/>
                <w:szCs w:val="18"/>
                <w:color w:val="auto"/>
                <w:w w:val="94"/>
              </w:rPr>
              <w:t>44,468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7,361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49,808</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5"/>
              </w:rPr>
              <w:t>158,043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19,002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168,452</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13"/>
          </w:tcPr>
          <w:p>
            <w:pPr>
              <w:jc w:val="right"/>
              <w:ind w:right="598"/>
              <w:spacing w:after="0"/>
              <w:rPr>
                <w:sz w:val="20"/>
                <w:szCs w:val="20"/>
                <w:color w:val="auto"/>
              </w:rPr>
            </w:pPr>
            <w:r>
              <w:rPr>
                <w:rFonts w:ascii="Arial" w:cs="Arial" w:eastAsia="Arial" w:hAnsi="Arial"/>
                <w:sz w:val="14"/>
                <w:szCs w:val="14"/>
                <w:b w:val="1"/>
                <w:bCs w:val="1"/>
                <w:color w:val="auto"/>
              </w:rPr>
              <w:t>Three Months Ended September 30, 2021</w:t>
            </w:r>
          </w:p>
        </w:tc>
        <w:tc>
          <w:tcPr>
            <w:tcW w:w="0" w:type="dxa"/>
            <w:vAlign w:val="bottom"/>
          </w:tcPr>
          <w:p>
            <w:pPr>
              <w:spacing w:after="0"/>
              <w:rPr>
                <w:sz w:val="1"/>
                <w:szCs w:val="1"/>
                <w:color w:val="auto"/>
              </w:rPr>
            </w:pPr>
          </w:p>
        </w:tc>
      </w:tr>
      <w:tr>
        <w:trPr>
          <w:trHeight w:val="119"/>
        </w:trPr>
        <w:tc>
          <w:tcPr>
            <w:tcW w:w="4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Beginning</w:t>
            </w:r>
          </w:p>
        </w:tc>
        <w:tc>
          <w:tcPr>
            <w:tcW w:w="20" w:type="dxa"/>
            <w:vAlign w:val="bottom"/>
          </w:tcPr>
          <w:p>
            <w:pPr>
              <w:spacing w:after="0"/>
              <w:rPr>
                <w:sz w:val="10"/>
                <w:szCs w:val="10"/>
                <w:color w:val="auto"/>
              </w:rPr>
            </w:pPr>
          </w:p>
        </w:tc>
        <w:tc>
          <w:tcPr>
            <w:tcW w:w="92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Capitalized</w:t>
            </w:r>
          </w:p>
        </w:tc>
        <w:tc>
          <w:tcPr>
            <w:tcW w:w="20" w:type="dxa"/>
            <w:vAlign w:val="bottom"/>
          </w:tcPr>
          <w:p>
            <w:pPr>
              <w:spacing w:after="0"/>
              <w:rPr>
                <w:sz w:val="10"/>
                <w:szCs w:val="10"/>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0"/>
                <w:szCs w:val="10"/>
                <w:color w:val="auto"/>
              </w:rPr>
            </w:pPr>
          </w:p>
        </w:tc>
        <w:tc>
          <w:tcPr>
            <w:tcW w:w="74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Ending</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Costs</w:t>
            </w:r>
          </w:p>
        </w:tc>
        <w:tc>
          <w:tcPr>
            <w:tcW w:w="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to obtain a new contract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2"/>
              </w:rPr>
              <w:t>145,718</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149,222</w:t>
            </w: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Arial" w:cs="Arial" w:eastAsia="Arial" w:hAnsi="Arial"/>
                <w:sz w:val="18"/>
                <w:szCs w:val="18"/>
                <w:color w:val="auto"/>
              </w:rPr>
              <w:t>Costs to fulfill a contract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220"/>
              <w:spacing w:after="0"/>
              <w:rPr>
                <w:sz w:val="20"/>
                <w:szCs w:val="20"/>
                <w:color w:val="auto"/>
              </w:rPr>
            </w:pPr>
            <w:r>
              <w:rPr>
                <w:rFonts w:ascii="Arial" w:cs="Arial" w:eastAsia="Arial" w:hAnsi="Arial"/>
                <w:sz w:val="18"/>
                <w:szCs w:val="18"/>
                <w:color w:val="auto"/>
                <w:w w:val="94"/>
              </w:rPr>
              <w:t>69,175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10,940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(3,330)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76,785</w:t>
            </w: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2"/>
              </w:rPr>
              <w:t>214,893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226,007</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Deferred contract costs are recorded within Deferred contract costs and Long-term deferred contract costs on the Unaudited Consolidated Balance Sheets. Amortization of deferred contract costs is recorded in Cost of revenues, Sales and marketing, and General and administrative in the Unaudited Consolidated Statements of Operations and Comprehensive Income.</w:t>
      </w:r>
    </w:p>
    <w:p>
      <w:pPr>
        <w:sectPr>
          <w:pgSz w:w="11900" w:h="16838" w:orient="portrait"/>
          <w:cols w:equalWidth="0" w:num="1">
            <w:col w:w="9019"/>
          </w:cols>
          <w:pgMar w:left="1440" w:top="517" w:right="1440"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 balance of the Company’s remaining performance obligations related to minimum monthly fees on its term-based contracts was approximately $45,484 as of September 30, 2021, which will be generally recognized over the next 24 months. This balance excludes the value of unsatisfied performance obligations for contracts that have an original expected duration of one year or less and contracts for which the variable consideration is allocated entirely to wholly unsatisfied performance obligations.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Business Combinations</w:t>
      </w:r>
    </w:p>
    <w:p>
      <w:pPr>
        <w:spacing w:after="0" w:line="229"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On August 31, 2021, the Company entered into an Equity Purchase Agreement (the “Purchase Agreement”) with Blue Marble Payroll, LLC (“Blue Marble”) and its equity holders and acquired all of the issued and outstanding equity interests of Blue Marble for cash consideration of $60,309, subject to working capital and certain other customary purchase price adjustments. Blue Marble’s payroll platform enables U.S.-based companies to manage payroll for employees outside the U.S. in line with complex local and country-specific requirements across many countries. This acquisition enables the Company to better serve its clients in managing their international workforces through a unified solution to pay employees, automate processes and stay compliant with regulations in other countries.</w:t>
      </w:r>
    </w:p>
    <w:p>
      <w:pPr>
        <w:spacing w:after="0" w:line="166"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An entity affiliated with Steven I. Sarowitz, the Chairman of the Board of Directors and the largest shareholder of the Company, was the largest equity holder of Blue Marble. The Board of Directors of the Company appointed the Audit Committee, which is comprised solely of directors who are independent of the management of Blue Marble, the Blue Marble equity holders and the Company, to evaluate, assess and negotiate on its behalf the terms and conditions in the Purchase Agreement. The Audit Committee and the disinterested directors of the Company’s Board of Directors unanimously approved the Purchase Agreement and transactions specified within it.</w:t>
      </w:r>
    </w:p>
    <w:p>
      <w:pPr>
        <w:spacing w:after="0" w:line="178" w:lineRule="exact"/>
        <w:rPr>
          <w:sz w:val="20"/>
          <w:szCs w:val="20"/>
          <w:color w:val="auto"/>
        </w:rPr>
      </w:pPr>
    </w:p>
    <w:p>
      <w:pPr>
        <w:ind w:left="60" w:right="239" w:firstLine="648"/>
        <w:spacing w:after="0" w:line="293" w:lineRule="auto"/>
        <w:rPr>
          <w:sz w:val="20"/>
          <w:szCs w:val="20"/>
          <w:color w:val="auto"/>
        </w:rPr>
      </w:pPr>
      <w:r>
        <w:rPr>
          <w:rFonts w:ascii="Arial" w:cs="Arial" w:eastAsia="Arial" w:hAnsi="Arial"/>
          <w:sz w:val="16"/>
          <w:szCs w:val="16"/>
          <w:color w:val="auto"/>
        </w:rPr>
        <w:t>The Company accounts for business combinations in accordance with ASC 805, Business Combinations. The Company applied the acquisition method of accounting and recorded the assets acquired and liabilities assumed at their respective estimated fair values as of the date of acquisition with the excess consideration paid recorded as goodwill. The fair values of assets acquired and liabilities assumed are currently provisional and may change as the estimates and assumptions are subject to change over the measurement period as the Company continues to evaluate and analyze the transaction. The measurement period will end no later than one year from the acquisition date.</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preliminary allocation of the purchase price for Blue Marble is as follows: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August 31, 2021</w:t>
            </w:r>
          </w:p>
        </w:tc>
      </w:tr>
      <w:tr>
        <w:trPr>
          <w:trHeight w:val="210"/>
        </w:trPr>
        <w:tc>
          <w:tcPr>
            <w:tcW w:w="7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technology</w:t>
            </w: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Client relationships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3,100</w:t>
            </w:r>
          </w:p>
        </w:tc>
        <w:tc>
          <w:tcPr>
            <w:tcW w:w="80" w:type="dxa"/>
            <w:vAlign w:val="bottom"/>
          </w:tcPr>
          <w:p>
            <w:pPr>
              <w:spacing w:after="0"/>
              <w:rPr>
                <w:sz w:val="18"/>
                <w:szCs w:val="18"/>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80" w:type="dxa"/>
            <w:vAlign w:val="bottom"/>
            <w:shd w:val="clear" w:color="auto" w:fill="CCEEFF"/>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34,372</w:t>
            </w:r>
          </w:p>
        </w:tc>
        <w:tc>
          <w:tcPr>
            <w:tcW w:w="80" w:type="dxa"/>
            <w:vAlign w:val="bottom"/>
          </w:tcPr>
          <w:p>
            <w:pPr>
              <w:spacing w:after="0"/>
              <w:rPr>
                <w:sz w:val="18"/>
                <w:szCs w:val="18"/>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acquired</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80" w:type="dxa"/>
            <w:vAlign w:val="bottom"/>
            <w:shd w:val="clear" w:color="auto" w:fill="CCEEFF"/>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Liabilities assumed</w:t>
            </w: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(2,165)</w:t>
            </w:r>
          </w:p>
        </w:tc>
      </w:tr>
      <w:tr>
        <w:trPr>
          <w:trHeight w:val="210"/>
        </w:trPr>
        <w:tc>
          <w:tcPr>
            <w:tcW w:w="7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firstLine="648"/>
        <w:spacing w:after="0" w:line="284" w:lineRule="auto"/>
        <w:rPr>
          <w:sz w:val="20"/>
          <w:szCs w:val="20"/>
          <w:color w:val="auto"/>
        </w:rPr>
      </w:pPr>
      <w:r>
        <w:rPr>
          <w:rFonts w:ascii="Arial" w:cs="Arial" w:eastAsia="Arial" w:hAnsi="Arial"/>
          <w:sz w:val="16"/>
          <w:szCs w:val="16"/>
          <w:color w:val="auto"/>
        </w:rPr>
        <w:t>The results from this acquisition have been included in the Company’s consolidated financial statements since the closing of the acquisition and are not material to the Company. Pro forma information was not presented because the effect of the acquisition was not material to the Company’s consolidated financial statements. The goodwill related to this transaction is primarily related to the assembled workforce and growth opportunities from the expansion of the Company’s product offerings. The goodwill associated with this acquisition is deductible for income tax purposes. Direct costs related to the acquisition were immaterial and recorded as General and administrative expenses as incurred.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Balance Sheet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tables provide details of selected consolidated balance sheet items:</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Activity in the allowance for credit losses related to accounts receivable was as follows:</w:t>
      </w:r>
    </w:p>
    <w:p>
      <w:pPr>
        <w:sectPr>
          <w:pgSz w:w="11900" w:h="16838" w:orient="portrait"/>
          <w:cols w:equalWidth="0" w:num="1">
            <w:col w:w="9019"/>
          </w:cols>
          <w:pgMar w:left="1440" w:top="517" w:right="1440" w:bottom="1440" w:gutter="0" w:footer="0" w:header="0"/>
        </w:sectPr>
      </w:pPr>
    </w:p>
    <w:p>
      <w:pPr>
        <w:spacing w:after="0" w:line="2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-121920</wp:posOffset>
            </wp:positionV>
            <wp:extent cx="566610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6105" cy="13716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5715</wp:posOffset>
            </wp:positionV>
            <wp:extent cx="566610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6105" cy="1371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Write-offs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September 30, 2021</w:t>
      </w:r>
    </w:p>
    <w:p>
      <w:pPr>
        <w:spacing w:after="0" w:line="252" w:lineRule="exact"/>
        <w:rPr>
          <w:sz w:val="20"/>
          <w:szCs w:val="20"/>
          <w:color w:val="auto"/>
        </w:rPr>
      </w:pPr>
    </w:p>
    <w:p>
      <w:pPr>
        <w:jc w:val="right"/>
        <w:ind w:right="699"/>
        <w:spacing w:after="0"/>
        <w:rPr>
          <w:sz w:val="20"/>
          <w:szCs w:val="20"/>
          <w:color w:val="auto"/>
        </w:rPr>
      </w:pPr>
      <w:r>
        <w:rPr>
          <w:rFonts w:ascii="Arial" w:cs="Arial" w:eastAsia="Arial" w:hAnsi="Arial"/>
          <w:sz w:val="18"/>
          <w:szCs w:val="18"/>
          <w:color w:val="auto"/>
        </w:rPr>
        <w:t>Capitalized internal-use software and accumulated amortization were as follows: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701" w:hanging="701"/>
        <w:spacing w:after="0"/>
        <w:tabs>
          <w:tab w:leader="none" w:pos="701" w:val="left"/>
        </w:tabs>
        <w:numPr>
          <w:ilvl w:val="0"/>
          <w:numId w:val="7"/>
        </w:numPr>
        <w:rPr>
          <w:rFonts w:ascii="Arial" w:cs="Arial" w:eastAsia="Arial" w:hAnsi="Arial"/>
          <w:sz w:val="18"/>
          <w:szCs w:val="18"/>
          <w:color w:val="auto"/>
        </w:rPr>
      </w:pPr>
      <w:r>
        <w:rPr>
          <w:rFonts w:ascii="Arial" w:cs="Arial" w:eastAsia="Arial" w:hAnsi="Arial"/>
          <w:sz w:val="18"/>
          <w:szCs w:val="18"/>
          <w:color w:val="auto"/>
        </w:rPr>
        <w:t>800</w:t>
      </w:r>
    </w:p>
    <w:p>
      <w:pPr>
        <w:spacing w:after="0" w:line="23" w:lineRule="exact"/>
        <w:rPr>
          <w:rFonts w:ascii="Arial" w:cs="Arial" w:eastAsia="Arial" w:hAnsi="Arial"/>
          <w:sz w:val="18"/>
          <w:szCs w:val="18"/>
          <w:color w:val="auto"/>
        </w:rPr>
      </w:pPr>
    </w:p>
    <w:p>
      <w:pPr>
        <w:ind w:left="781"/>
        <w:spacing w:after="0"/>
        <w:rPr>
          <w:rFonts w:ascii="Arial" w:cs="Arial" w:eastAsia="Arial" w:hAnsi="Arial"/>
          <w:sz w:val="18"/>
          <w:szCs w:val="18"/>
          <w:color w:val="auto"/>
        </w:rPr>
      </w:pPr>
      <w:r>
        <w:rPr>
          <w:rFonts w:ascii="Arial" w:cs="Arial" w:eastAsia="Arial" w:hAnsi="Arial"/>
          <w:sz w:val="18"/>
          <w:szCs w:val="18"/>
          <w:color w:val="auto"/>
        </w:rPr>
        <w:t>38</w:t>
      </w:r>
    </w:p>
    <w:p>
      <w:pPr>
        <w:spacing w:after="0" w:line="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6515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701" w:hanging="701"/>
        <w:spacing w:after="0"/>
        <w:tabs>
          <w:tab w:leader="none" w:pos="701" w:val="left"/>
        </w:tabs>
        <w:numPr>
          <w:ilvl w:val="0"/>
          <w:numId w:val="8"/>
        </w:numPr>
        <w:rPr>
          <w:rFonts w:ascii="Arial" w:cs="Arial" w:eastAsia="Arial" w:hAnsi="Arial"/>
          <w:sz w:val="18"/>
          <w:szCs w:val="18"/>
          <w:color w:val="auto"/>
        </w:rPr>
      </w:pPr>
      <w:r>
        <w:rPr>
          <w:rFonts w:ascii="Arial" w:cs="Arial" w:eastAsia="Arial" w:hAnsi="Arial"/>
          <w:sz w:val="18"/>
          <w:szCs w:val="18"/>
          <w:color w:val="auto"/>
        </w:rPr>
        <w:t>794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6515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31750</wp:posOffset>
            </wp:positionV>
            <wp:extent cx="6515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671" w:lineRule="exact"/>
        <w:rPr>
          <w:sz w:val="20"/>
          <w:szCs w:val="20"/>
          <w:color w:val="auto"/>
        </w:rPr>
      </w:pPr>
    </w:p>
    <w:p>
      <w:pPr>
        <w:sectPr>
          <w:pgSz w:w="11900" w:h="16838" w:orient="portrait"/>
          <w:cols w:equalWidth="0" w:num="2">
            <w:col w:w="7219" w:space="720"/>
            <w:col w:w="1080"/>
          </w:cols>
          <w:pgMar w:left="1440" w:top="517" w:right="1440" w:bottom="1440" w:gutter="0" w:footer="0" w:header="0"/>
          <w:type w:val="continuous"/>
        </w:sectPr>
      </w:pPr>
    </w:p>
    <w:p>
      <w:pPr>
        <w:spacing w:after="0" w:line="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September 30,</w:t>
            </w:r>
          </w:p>
        </w:tc>
      </w:tr>
      <w:tr>
        <w:trPr>
          <w:trHeight w:val="171"/>
        </w:trPr>
        <w:tc>
          <w:tcPr>
            <w:tcW w:w="68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r>
      <w:tr>
        <w:trPr>
          <w:trHeight w:val="209"/>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internal-use software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160,751</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(105,904)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(112,032)</w:t>
            </w:r>
          </w:p>
        </w:tc>
      </w:tr>
      <w:tr>
        <w:trPr>
          <w:trHeight w:val="210"/>
        </w:trPr>
        <w:tc>
          <w:tcPr>
            <w:tcW w:w="6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48,719</w:t>
            </w: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Amortization of capitalized internal-use software costs is included in Cost of revenues and amounted to $5,386 and $6,128 for the three months ended September 30, 2020 and 2021, respectively.</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net consist of the following:</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June 30,</w:t>
            </w:r>
          </w:p>
        </w:tc>
        <w:tc>
          <w:tcPr>
            <w:tcW w:w="1100" w:type="dxa"/>
            <w:vAlign w:val="bottom"/>
            <w:gridSpan w:val="3"/>
          </w:tcPr>
          <w:p>
            <w:pPr>
              <w:ind w:left="180"/>
              <w:spacing w:after="0"/>
              <w:rPr>
                <w:sz w:val="20"/>
                <w:szCs w:val="20"/>
                <w:color w:val="auto"/>
              </w:rPr>
            </w:pPr>
            <w:r>
              <w:rPr>
                <w:rFonts w:ascii="Arial" w:cs="Arial" w:eastAsia="Arial" w:hAnsi="Arial"/>
                <w:sz w:val="14"/>
                <w:szCs w:val="14"/>
                <w:b w:val="1"/>
                <w:bCs w:val="1"/>
                <w:color w:val="auto"/>
                <w:w w:val="93"/>
              </w:rPr>
              <w:t>September 30,</w:t>
            </w:r>
          </w:p>
        </w:tc>
      </w:tr>
      <w:tr>
        <w:trPr>
          <w:trHeight w:val="171"/>
        </w:trPr>
        <w:tc>
          <w:tcPr>
            <w:tcW w:w="448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r>
      <w:tr>
        <w:trPr>
          <w:trHeight w:val="209"/>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Computer equipment</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45,420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50,055</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Software</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6,641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7,091</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47,191</w:t>
            </w:r>
          </w:p>
        </w:tc>
      </w:tr>
      <w:tr>
        <w:trPr>
          <w:trHeight w:val="216"/>
        </w:trPr>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Time clocks rented by clients</w:t>
            </w:r>
          </w:p>
        </w:tc>
        <w:tc>
          <w:tcPr>
            <w:tcW w:w="24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5,769</w:t>
            </w: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122,589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128,783</w:t>
            </w:r>
          </w:p>
        </w:tc>
      </w:tr>
      <w:tr>
        <w:trPr>
          <w:trHeight w:val="216"/>
        </w:trPr>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24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(62,754)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(66,518)</w:t>
            </w:r>
          </w:p>
        </w:tc>
      </w:tr>
      <w:tr>
        <w:trPr>
          <w:trHeight w:val="210"/>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59,835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62,265</w:t>
            </w:r>
          </w:p>
        </w:tc>
      </w:tr>
      <w:tr>
        <w:trPr>
          <w:trHeight w:val="20"/>
        </w:trPr>
        <w:tc>
          <w:tcPr>
            <w:tcW w:w="4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Depreciation expense amounted to $4,005 and $3,842 for the three months ended September 30, 2020 and 2021,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summarizes changes in goodwill during the three months ended September 30, 2021:</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30,</w:t>
            </w:r>
          </w:p>
        </w:tc>
      </w:tr>
      <w:tr>
        <w:trPr>
          <w:trHeight w:val="171"/>
        </w:trPr>
        <w:tc>
          <w:tcPr>
            <w:tcW w:w="79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r>
      <w:tr>
        <w:trPr>
          <w:trHeight w:val="20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33,650</w:t>
            </w:r>
          </w:p>
        </w:tc>
      </w:tr>
      <w:tr>
        <w:trPr>
          <w:trHeight w:val="21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Additions attributable to acquisition</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34,372</w:t>
            </w:r>
          </w:p>
        </w:tc>
      </w:tr>
      <w:tr>
        <w:trPr>
          <w:trHeight w:val="209"/>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68,022</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Refer to Note 4 for further details on the current year acquisition.</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amortizable intangible assets and estimated useful lives are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w:t>
            </w: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useful</w:t>
            </w:r>
          </w:p>
        </w:tc>
        <w:tc>
          <w:tcPr>
            <w:tcW w:w="0" w:type="dxa"/>
            <w:vAlign w:val="bottom"/>
          </w:tcPr>
          <w:p>
            <w:pPr>
              <w:spacing w:after="0"/>
              <w:rPr>
                <w:sz w:val="1"/>
                <w:szCs w:val="1"/>
                <w:color w:val="auto"/>
              </w:rPr>
            </w:pPr>
          </w:p>
        </w:tc>
      </w:tr>
      <w:tr>
        <w:trPr>
          <w:trHeight w:val="171"/>
        </w:trPr>
        <w:tc>
          <w:tcPr>
            <w:tcW w:w="4140" w:type="dxa"/>
            <w:vAlign w:val="bottom"/>
            <w:vMerge w:val="restart"/>
          </w:tcPr>
          <w:p>
            <w:pPr>
              <w:spacing w:after="0"/>
              <w:rPr>
                <w:sz w:val="20"/>
                <w:szCs w:val="20"/>
                <w:color w:val="auto"/>
              </w:rPr>
            </w:pPr>
            <w:r>
              <w:rPr>
                <w:rFonts w:ascii="Arial" w:cs="Arial" w:eastAsia="Arial" w:hAnsi="Arial"/>
                <w:sz w:val="18"/>
                <w:szCs w:val="18"/>
                <w:color w:val="auto"/>
              </w:rPr>
              <w:t>Proprietary technology</w:t>
            </w:r>
          </w:p>
        </w:tc>
        <w:tc>
          <w:tcPr>
            <w:tcW w:w="2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10"/>
        </w:trPr>
        <w:tc>
          <w:tcPr>
            <w:tcW w:w="414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6,129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27,329</w:t>
            </w:r>
          </w:p>
        </w:tc>
        <w:tc>
          <w:tcPr>
            <w:tcW w:w="16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Client relationships</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22,300</w:t>
            </w:r>
          </w:p>
        </w:tc>
        <w:tc>
          <w:tcPr>
            <w:tcW w:w="84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Non-solicitation agreements</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1,600</w:t>
            </w:r>
          </w:p>
        </w:tc>
        <w:tc>
          <w:tcPr>
            <w:tcW w:w="840" w:type="dxa"/>
            <w:vAlign w:val="bottom"/>
            <w:gridSpan w:val="2"/>
          </w:tcPr>
          <w:p>
            <w:pPr>
              <w:jc w:val="right"/>
              <w:ind w:right="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2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84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8"/>
                <w:szCs w:val="18"/>
                <w:color w:val="auto"/>
              </w:rPr>
              <w:t>Total</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27,369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52,869</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2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(14,342)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37,175</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039" w:firstLine="648"/>
        <w:spacing w:after="0" w:line="277" w:lineRule="auto"/>
        <w:rPr>
          <w:sz w:val="20"/>
          <w:szCs w:val="20"/>
          <w:color w:val="auto"/>
        </w:rPr>
      </w:pPr>
      <w:r>
        <w:rPr>
          <w:rFonts w:ascii="Arial" w:cs="Arial" w:eastAsia="Arial" w:hAnsi="Arial"/>
          <w:sz w:val="18"/>
          <w:szCs w:val="18"/>
          <w:color w:val="auto"/>
        </w:rPr>
        <w:t>Amortization expense for acquired intangible assets was $844 and $1,352 for the three months ended September 30, 2020 and 2021, respectively.</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Future amortization expense for acquired intangible assets as of September 30, 2021 is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Remainder of fiscal 2022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Fiscal 2023</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Fiscal 2024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Fiscal 2025</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Fiscal 2026</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7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37,175</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tcPr>
          <w:p>
            <w:pPr>
              <w:ind w:left="640"/>
              <w:spacing w:after="0"/>
              <w:rPr>
                <w:sz w:val="20"/>
                <w:szCs w:val="20"/>
                <w:color w:val="auto"/>
              </w:rPr>
            </w:pPr>
            <w:r>
              <w:rPr>
                <w:rFonts w:ascii="Arial" w:cs="Arial" w:eastAsia="Arial" w:hAnsi="Arial"/>
                <w:sz w:val="18"/>
                <w:szCs w:val="18"/>
                <w:color w:val="auto"/>
              </w:rPr>
              <w:t>The components of accrued expenses were as follows:</w:t>
            </w: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June 30,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68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payroll and personnel costs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73,969</w:t>
            </w:r>
          </w:p>
        </w:tc>
        <w:tc>
          <w:tcPr>
            <w:tcW w:w="1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accrued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103,109</w:t>
            </w: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Corporate Investments and Funds Held for Clients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Corporate investments and funds held for clients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0"/>
                <w:szCs w:val="10"/>
                <w:color w:val="auto"/>
              </w:rPr>
            </w:pPr>
          </w:p>
        </w:tc>
        <w:tc>
          <w:tcPr>
            <w:tcW w:w="6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gridSpan w:val="2"/>
            <w:vMerge w:val="restart"/>
          </w:tcPr>
          <w:p>
            <w:pPr>
              <w:ind w:left="2260"/>
              <w:spacing w:after="0"/>
              <w:rPr>
                <w:sz w:val="20"/>
                <w:szCs w:val="20"/>
                <w:color w:val="auto"/>
              </w:rPr>
            </w:pPr>
            <w:r>
              <w:rPr>
                <w:rFonts w:ascii="Arial" w:cs="Arial" w:eastAsia="Arial" w:hAnsi="Arial"/>
                <w:sz w:val="14"/>
                <w:szCs w:val="14"/>
                <w:b w:val="1"/>
                <w:bCs w:val="1"/>
                <w:color w:val="auto"/>
              </w:rPr>
              <w:t>Type of Issue</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8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171"/>
        </w:trPr>
        <w:tc>
          <w:tcPr>
            <w:tcW w:w="5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202,287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202,287</w:t>
            </w:r>
          </w:p>
        </w:tc>
        <w:tc>
          <w:tcPr>
            <w:tcW w:w="0" w:type="dxa"/>
            <w:vAlign w:val="bottom"/>
          </w:tcPr>
          <w:p>
            <w:pPr>
              <w:spacing w:after="0"/>
              <w:rPr>
                <w:sz w:val="1"/>
                <w:szCs w:val="1"/>
                <w:color w:val="auto"/>
              </w:rPr>
            </w:pPr>
          </w:p>
        </w:tc>
      </w:tr>
      <w:tr>
        <w:trPr>
          <w:trHeight w:val="216"/>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1,743,594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1,743,594</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ind w:left="22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13,390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13,460</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0" w:type="dxa"/>
            <w:vAlign w:val="bottom"/>
          </w:tcPr>
          <w:p>
            <w:pPr>
              <w:spacing w:after="0"/>
              <w:rPr>
                <w:sz w:val="1"/>
                <w:szCs w:val="1"/>
                <w:color w:val="auto"/>
              </w:rPr>
            </w:pPr>
          </w:p>
        </w:tc>
      </w:tr>
      <w:tr>
        <w:trPr>
          <w:trHeight w:val="209"/>
        </w:trPr>
        <w:tc>
          <w:tcPr>
            <w:tcW w:w="5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available-for-sale securities (1)</w:t>
            </w: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20,452</w:t>
            </w: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87</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20,539</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1,966,333</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87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1,966,420</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20" w:right="27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Included within the fair value of total available-for-sale securities above is $4,456 of corporate investments and $16,083 of funds held for clients.</w:t>
      </w:r>
    </w:p>
    <w:p>
      <w:pPr>
        <w:sectPr>
          <w:pgSz w:w="11900" w:h="16838" w:orient="portrait"/>
          <w:cols w:equalWidth="0" w:num="1">
            <w:col w:w="9019"/>
          </w:cols>
          <w:pgMar w:left="1440" w:top="517"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4"/>
              </w:rPr>
              <w:t>September 30, 2021</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0"/>
                <w:szCs w:val="10"/>
                <w:color w:val="auto"/>
              </w:rPr>
            </w:pPr>
          </w:p>
        </w:tc>
        <w:tc>
          <w:tcPr>
            <w:tcW w:w="68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gridSpan w:val="2"/>
            <w:vMerge w:val="restart"/>
          </w:tcPr>
          <w:p>
            <w:pPr>
              <w:ind w:left="2260"/>
              <w:spacing w:after="0"/>
              <w:rPr>
                <w:sz w:val="20"/>
                <w:szCs w:val="20"/>
                <w:color w:val="auto"/>
              </w:rPr>
            </w:pPr>
            <w:r>
              <w:rPr>
                <w:rFonts w:ascii="Arial" w:cs="Arial" w:eastAsia="Arial" w:hAnsi="Arial"/>
                <w:sz w:val="14"/>
                <w:szCs w:val="14"/>
                <w:b w:val="1"/>
                <w:bCs w:val="1"/>
                <w:color w:val="auto"/>
              </w:rPr>
              <w:t>Type of Issue</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171"/>
        </w:trPr>
        <w:tc>
          <w:tcPr>
            <w:tcW w:w="5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66,431</w:t>
            </w:r>
          </w:p>
        </w:tc>
        <w:tc>
          <w:tcPr>
            <w:tcW w:w="0" w:type="dxa"/>
            <w:vAlign w:val="bottom"/>
          </w:tcPr>
          <w:p>
            <w:pPr>
              <w:spacing w:after="0"/>
              <w:rPr>
                <w:sz w:val="1"/>
                <w:szCs w:val="1"/>
                <w:color w:val="auto"/>
              </w:rPr>
            </w:pPr>
          </w:p>
        </w:tc>
      </w:tr>
      <w:tr>
        <w:trPr>
          <w:trHeight w:val="216"/>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3,042,121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3,042,121</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ind w:left="2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70,166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70,170</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44,303</w:t>
            </w:r>
          </w:p>
        </w:tc>
        <w:tc>
          <w:tcPr>
            <w:tcW w:w="0" w:type="dxa"/>
            <w:vAlign w:val="bottom"/>
          </w:tcPr>
          <w:p>
            <w:pPr>
              <w:spacing w:after="0"/>
              <w:rPr>
                <w:sz w:val="1"/>
                <w:szCs w:val="1"/>
                <w:color w:val="auto"/>
              </w:rPr>
            </w:pPr>
          </w:p>
        </w:tc>
      </w:tr>
      <w:tr>
        <w:trPr>
          <w:trHeight w:val="216"/>
        </w:trPr>
        <w:tc>
          <w:tcPr>
            <w:tcW w:w="5380" w:type="dxa"/>
            <w:vAlign w:val="bottom"/>
            <w:gridSpan w:val="2"/>
          </w:tcPr>
          <w:p>
            <w:pPr>
              <w:ind w:left="2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7,836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7,840</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Certificates of deposit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15,378</w:t>
            </w:r>
          </w:p>
        </w:tc>
        <w:tc>
          <w:tcPr>
            <w:tcW w:w="0" w:type="dxa"/>
            <w:vAlign w:val="bottom"/>
          </w:tcPr>
          <w:p>
            <w:pPr>
              <w:spacing w:after="0"/>
              <w:rPr>
                <w:sz w:val="1"/>
                <w:szCs w:val="1"/>
                <w:color w:val="auto"/>
              </w:rPr>
            </w:pPr>
          </w:p>
        </w:tc>
      </w:tr>
      <w:tr>
        <w:trPr>
          <w:trHeight w:val="216"/>
        </w:trPr>
        <w:tc>
          <w:tcPr>
            <w:tcW w:w="5380" w:type="dxa"/>
            <w:vAlign w:val="bottom"/>
            <w:gridSpan w:val="2"/>
          </w:tcPr>
          <w:p>
            <w:pPr>
              <w:ind w:left="220"/>
              <w:spacing w:after="0"/>
              <w:rPr>
                <w:sz w:val="20"/>
                <w:szCs w:val="20"/>
                <w:color w:val="auto"/>
              </w:rPr>
            </w:pPr>
            <w:r>
              <w:rPr>
                <w:rFonts w:ascii="Arial" w:cs="Arial" w:eastAsia="Arial" w:hAnsi="Arial"/>
                <w:sz w:val="18"/>
                <w:szCs w:val="18"/>
                <w:color w:val="auto"/>
              </w:rPr>
              <w:t>U.S government agency securities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6,982</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09"/>
        </w:trPr>
        <w:tc>
          <w:tcPr>
            <w:tcW w:w="5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available-for-sale securities (2)</w:t>
            </w: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146,563</w:t>
            </w: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146,550</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3,255,115</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3,255,102</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20" w:right="279" w:hanging="319"/>
        <w:spacing w:after="0" w:line="27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Included within the fair value of total available-for-sale securities above is $3,151 of corporate investments and $143,399 of funds held for clients.</w:t>
      </w:r>
    </w:p>
    <w:p>
      <w:pPr>
        <w:spacing w:after="0" w:line="170"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Cash and cash equivalents and funds held for clients’ cash and cash equivalents include demand deposit accounts, money market funds and commercial paper at June 30, 2021 and September 30, 2021.</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Classification of investments on the unaudited consolidated balance sheets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September 30,</w:t>
            </w:r>
          </w:p>
        </w:tc>
      </w:tr>
      <w:tr>
        <w:trPr>
          <w:trHeight w:val="171"/>
        </w:trPr>
        <w:tc>
          <w:tcPr>
            <w:tcW w:w="68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r>
      <w:tr>
        <w:trPr>
          <w:trHeight w:val="21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66,431</w:t>
            </w: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Corporate investments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3,151</w:t>
            </w: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 held for clients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1,759,677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3,185,520</w:t>
            </w:r>
          </w:p>
        </w:tc>
      </w:tr>
      <w:tr>
        <w:trPr>
          <w:trHeight w:val="209"/>
        </w:trPr>
        <w:tc>
          <w:tcPr>
            <w:tcW w:w="686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1,966,420</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3,255,102</w:t>
            </w:r>
          </w:p>
        </w:tc>
      </w:tr>
      <w:tr>
        <w:trPr>
          <w:trHeight w:val="20"/>
        </w:trPr>
        <w:tc>
          <w:tcPr>
            <w:tcW w:w="6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Available-for-sale securities that have been in an unrealized loss position for a period of less than 12 months as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2021 had fair market value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right="35"/>
              <w:spacing w:after="0"/>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119"/>
        </w:trPr>
        <w:tc>
          <w:tcPr>
            <w:tcW w:w="6860" w:type="dxa"/>
            <w:vAlign w:val="bottom"/>
          </w:tcPr>
          <w:p>
            <w:pPr>
              <w:spacing w:after="0"/>
              <w:rPr>
                <w:sz w:val="10"/>
                <w:szCs w:val="10"/>
                <w:color w:val="auto"/>
              </w:rPr>
            </w:pPr>
          </w:p>
        </w:tc>
        <w:tc>
          <w:tcPr>
            <w:tcW w:w="204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w w:val="97"/>
              </w:rPr>
              <w:t>Securities in an unrealized loss</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20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position for less than 12 months</w:t>
            </w:r>
          </w:p>
        </w:tc>
        <w:tc>
          <w:tcPr>
            <w:tcW w:w="0" w:type="dxa"/>
            <w:vAlign w:val="bottom"/>
          </w:tcPr>
          <w:p>
            <w:pPr>
              <w:spacing w:after="0"/>
              <w:rPr>
                <w:sz w:val="1"/>
                <w:szCs w:val="1"/>
                <w:color w:val="auto"/>
              </w:rPr>
            </w:pPr>
          </w:p>
        </w:tc>
      </w:tr>
      <w:tr>
        <w:trPr>
          <w:trHeight w:val="119"/>
        </w:trPr>
        <w:tc>
          <w:tcPr>
            <w:tcW w:w="6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Gross</w:t>
            </w:r>
          </w:p>
        </w:tc>
        <w:tc>
          <w:tcPr>
            <w:tcW w:w="180" w:type="dxa"/>
            <w:vAlign w:val="bottom"/>
          </w:tcPr>
          <w:p>
            <w:pPr>
              <w:spacing w:after="0"/>
              <w:rPr>
                <w:sz w:val="10"/>
                <w:szCs w:val="10"/>
                <w:color w:val="auto"/>
              </w:rPr>
            </w:pPr>
          </w:p>
        </w:tc>
        <w:tc>
          <w:tcPr>
            <w:tcW w:w="7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7"/>
              </w:rPr>
              <w:t>losses</w:t>
            </w:r>
          </w:p>
        </w:tc>
        <w:tc>
          <w:tcPr>
            <w:tcW w:w="180" w:type="dxa"/>
            <w:vAlign w:val="bottom"/>
          </w:tcPr>
          <w:p>
            <w:pPr>
              <w:spacing w:after="0"/>
              <w:rPr>
                <w:sz w:val="14"/>
                <w:szCs w:val="14"/>
                <w:color w:val="auto"/>
              </w:rPr>
            </w:pPr>
          </w:p>
        </w:tc>
        <w:tc>
          <w:tcPr>
            <w:tcW w:w="740" w:type="dxa"/>
            <w:vAlign w:val="bottom"/>
          </w:tcPr>
          <w:p>
            <w:pPr>
              <w:jc w:val="right"/>
              <w:ind w:right="19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20,239</w:t>
            </w:r>
          </w:p>
        </w:tc>
        <w:tc>
          <w:tcPr>
            <w:tcW w:w="0" w:type="dxa"/>
            <w:vAlign w:val="bottom"/>
          </w:tcPr>
          <w:p>
            <w:pPr>
              <w:spacing w:after="0"/>
              <w:rPr>
                <w:sz w:val="1"/>
                <w:szCs w:val="1"/>
                <w:color w:val="auto"/>
              </w:rPr>
            </w:pP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27,743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0" w:type="dxa"/>
            <w:vAlign w:val="bottom"/>
          </w:tcPr>
          <w:p>
            <w:pPr>
              <w:spacing w:after="0"/>
              <w:rPr>
                <w:sz w:val="1"/>
                <w:szCs w:val="1"/>
                <w:color w:val="auto"/>
              </w:rPr>
            </w:pP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U.S. government agency securities</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6,982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09"/>
        </w:trPr>
        <w:tc>
          <w:tcPr>
            <w:tcW w:w="6860" w:type="dxa"/>
            <w:vAlign w:val="bottom"/>
          </w:tcPr>
          <w:p>
            <w:pPr>
              <w:ind w:left="20"/>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59,850</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59" w:firstLine="648"/>
        <w:spacing w:after="0" w:line="342" w:lineRule="auto"/>
        <w:rPr>
          <w:sz w:val="20"/>
          <w:szCs w:val="20"/>
          <w:color w:val="auto"/>
        </w:rPr>
      </w:pPr>
      <w:r>
        <w:rPr>
          <w:rFonts w:ascii="Arial" w:cs="Arial" w:eastAsia="Arial" w:hAnsi="Arial"/>
          <w:sz w:val="16"/>
          <w:szCs w:val="16"/>
          <w:color w:val="auto"/>
        </w:rPr>
        <w:t>There were no available-for-sale securities in an unrealized loss position at June 30, 2021. As a result, no securities have been in an unrealized loss position for more than 12 months as of September 30, 2021.</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regularly reviews the composition of its portfolio to determine the existence of credit impairment.</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 did not recognize any credit impairment losses during the three months ended September 30, 2020 or 2021.</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All securities in the Company’s portfolio held an A-1 rating or better as of September 30, 2021.</w:t>
      </w:r>
    </w:p>
    <w:p>
      <w:pPr>
        <w:spacing w:after="0" w:line="211" w:lineRule="exact"/>
        <w:rPr>
          <w:sz w:val="20"/>
          <w:szCs w:val="20"/>
          <w:color w:val="auto"/>
        </w:rPr>
      </w:pPr>
    </w:p>
    <w:p>
      <w:pPr>
        <w:ind w:left="60" w:right="359" w:firstLine="648"/>
        <w:spacing w:after="0" w:line="291" w:lineRule="auto"/>
        <w:rPr>
          <w:sz w:val="20"/>
          <w:szCs w:val="20"/>
          <w:color w:val="auto"/>
        </w:rPr>
      </w:pPr>
      <w:r>
        <w:rPr>
          <w:rFonts w:ascii="Arial" w:cs="Arial" w:eastAsia="Arial" w:hAnsi="Arial"/>
          <w:sz w:val="16"/>
          <w:szCs w:val="16"/>
          <w:color w:val="auto"/>
        </w:rPr>
        <w:t>The Company did not make any material reclassification adjustments out of accumulated other comprehensive income for realized gains and losses on the sale of available-for-sale securities during the three months ended</w:t>
      </w: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September 30, 2020 or 2021. There were no realized gains or losses on the sale of available-for-sale securities for the three months ended September 30, 2020 and 2021.</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Expected maturities of available-for-sale securities at September 30, 2021 are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Fair</w:t>
            </w:r>
          </w:p>
        </w:tc>
      </w:tr>
      <w:tr>
        <w:trPr>
          <w:trHeight w:val="171"/>
        </w:trPr>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4"/>
                <w:szCs w:val="14"/>
                <w:color w:val="auto"/>
              </w:rPr>
            </w:pPr>
          </w:p>
        </w:tc>
        <w:tc>
          <w:tcPr>
            <w:tcW w:w="720" w:type="dxa"/>
            <w:vAlign w:val="bottom"/>
          </w:tcPr>
          <w:p>
            <w:pPr>
              <w:jc w:val="right"/>
              <w:ind w:right="175"/>
              <w:spacing w:after="0"/>
              <w:rPr>
                <w:sz w:val="20"/>
                <w:szCs w:val="20"/>
                <w:color w:val="auto"/>
              </w:rPr>
            </w:pPr>
            <w:r>
              <w:rPr>
                <w:rFonts w:ascii="Arial" w:cs="Arial" w:eastAsia="Arial" w:hAnsi="Arial"/>
                <w:sz w:val="14"/>
                <w:szCs w:val="14"/>
                <w:b w:val="1"/>
                <w:bCs w:val="1"/>
                <w:color w:val="auto"/>
              </w:rPr>
              <w:t>value</w:t>
            </w:r>
          </w:p>
        </w:tc>
      </w:tr>
      <w:tr>
        <w:trPr>
          <w:trHeight w:val="209"/>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One year or less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102,679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102,708</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One year to two years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25,865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25,855</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Two years to three years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w:t>
            </w:r>
          </w:p>
        </w:tc>
      </w:tr>
      <w:tr>
        <w:trPr>
          <w:trHeight w:val="216"/>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Three years to five years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8,046</w:t>
            </w:r>
          </w:p>
        </w:tc>
      </w:tr>
      <w:tr>
        <w:trPr>
          <w:trHeight w:val="21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146,563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146,550</w:t>
            </w:r>
          </w:p>
        </w:tc>
      </w:tr>
      <w:tr>
        <w:trPr>
          <w:trHeight w:val="20"/>
        </w:trPr>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Fair Value Measurement</w:t>
      </w:r>
    </w:p>
    <w:p>
      <w:pPr>
        <w:spacing w:after="0" w:line="229" w:lineRule="exact"/>
        <w:rPr>
          <w:sz w:val="20"/>
          <w:szCs w:val="20"/>
          <w:color w:val="auto"/>
        </w:rPr>
      </w:pPr>
    </w:p>
    <w:p>
      <w:pPr>
        <w:ind w:left="60" w:right="199" w:firstLine="648"/>
        <w:spacing w:after="0" w:line="301"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57" w:lineRule="exact"/>
        <w:rPr>
          <w:sz w:val="20"/>
          <w:szCs w:val="20"/>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225" w:lineRule="exact"/>
        <w:rPr>
          <w:rFonts w:ascii="Arial" w:cs="Arial" w:eastAsia="Arial" w:hAnsi="Arial"/>
          <w:sz w:val="18"/>
          <w:szCs w:val="18"/>
          <w:color w:val="auto"/>
        </w:rPr>
      </w:pPr>
    </w:p>
    <w:p>
      <w:pPr>
        <w:jc w:val="both"/>
        <w:ind w:left="1040" w:right="119" w:hanging="315"/>
        <w:spacing w:after="0" w:line="342"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23" w:lineRule="exact"/>
        <w:rPr>
          <w:rFonts w:ascii="Arial" w:cs="Arial" w:eastAsia="Arial" w:hAnsi="Arial"/>
          <w:sz w:val="16"/>
          <w:szCs w:val="16"/>
          <w:color w:val="auto"/>
        </w:rPr>
      </w:pPr>
    </w:p>
    <w:p>
      <w:pPr>
        <w:ind w:left="1040" w:right="139" w:hanging="315"/>
        <w:spacing w:after="0" w:line="286"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65" w:lineRule="exact"/>
        <w:rPr>
          <w:sz w:val="20"/>
          <w:szCs w:val="20"/>
          <w:color w:val="auto"/>
        </w:rPr>
      </w:pPr>
    </w:p>
    <w:p>
      <w:pPr>
        <w:ind w:left="60" w:right="199" w:firstLine="648"/>
        <w:spacing w:after="0" w:line="279" w:lineRule="auto"/>
        <w:rPr>
          <w:sz w:val="20"/>
          <w:szCs w:val="20"/>
          <w:color w:val="auto"/>
        </w:rPr>
      </w:pPr>
      <w:r>
        <w:rPr>
          <w:rFonts w:ascii="Arial" w:cs="Arial" w:eastAsia="Arial" w:hAnsi="Arial"/>
          <w:sz w:val="17"/>
          <w:szCs w:val="17"/>
          <w:color w:val="auto"/>
        </w:rPr>
        <w:t>The Company measures certain cash and cash equivalents, accounts receivable, accounts payable and client fund obligations at fair value on a recurring basis using Level 1 inputs. The Company considers the recorded value of these financial assets and liabilities to approximate the fair value of the respective assets and liabilities at June 30, 2021 and September 30, 2021 based upon the short-term nature of these assets and liabilities.</w:t>
      </w:r>
    </w:p>
    <w:p>
      <w:pPr>
        <w:spacing w:after="0" w:line="171"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Marketable securities, consisting of securities classified as available-for-sale as well as certain cash equivalents, are recorded at fair value on a recurring basis using Level 2 inputs obtained from an independent pricing service. Available-for-sale securities include commercial paper, corporate bonds, asset-backed securities and U.S. treasury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2021 or September 30, 2021.</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fair value level for the Company’s cash and cash equivalents and available-for-sale securities is as follows: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2"/>
              </w:rPr>
              <w:t>June 30, 2021</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42"/>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0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Level 3</w:t>
            </w:r>
          </w:p>
        </w:tc>
      </w:tr>
      <w:tr>
        <w:trPr>
          <w:trHeight w:val="210"/>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202,287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202,287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1,743,594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1,743,594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0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20,539</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20,539</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r>
      <w:tr>
        <w:trPr>
          <w:trHeight w:val="20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1,966,420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1,945,881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58"/>
        </w:trPr>
        <w:tc>
          <w:tcPr>
            <w:tcW w:w="4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 2021</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42"/>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0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Level 3</w:t>
            </w:r>
          </w:p>
        </w:tc>
      </w:tr>
      <w:tr>
        <w:trPr>
          <w:trHeight w:val="20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3,042,121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3,030,371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70,170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70,170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Certificates of deposit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U.S government agency securities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1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146,550</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146,550</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r>
      <w:tr>
        <w:trPr>
          <w:trHeight w:val="21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3,255,102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3,096,802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158,300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Debt</w:t>
      </w:r>
    </w:p>
    <w:p>
      <w:pPr>
        <w:spacing w:after="0" w:line="229"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In July 2019, the Company entered into a five-year revolving credit agreement with PNC Bank, National Association, and other lenders, which is secured by substantially all of the Company’s assets, subject to certain restrictions. The revolving credit agreement provides for a senior secured revolving credit facility (the “credit facility”) under which the Company may borrow up to $250,000, which may be increased to up to $375,000, subject to obtaining additional lender commitments and certain approvals and satisfying other requirements. The credit facility is scheduled to expire in July 2024. There were no borrowings under the credit facility at June 30, 2021 or September 30, 2021.</w:t>
      </w:r>
    </w:p>
    <w:p>
      <w:pPr>
        <w:spacing w:after="0" w:line="164"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The proceeds of any borrowings are to be used to fund working capital, capital expenditures and general corporate purposes, including permitted acquisitions, permitted investments, permitted distributions and share repurchases. The Company may generally borrow, prepay and reborrow under the credit facility and terminate or reduce the lenders’ commitments at any time prior to revolving credit facility expiration without a premium or a penalty, other than customary “breakage” costs with respect to London Interbank Offered Rate (“LIBOR”) revolving loans.</w:t>
      </w:r>
    </w:p>
    <w:p>
      <w:pPr>
        <w:spacing w:after="0" w:line="176"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Any borrowings under the credit facility will generally bear interest, at the Company’s option, at a rate per annum determined by reference to either the LIBOR (or a replacement index for the LIBOR rate) or an adjusted base rate, in each case plus an applicable margin ranging from 0.875% to 1.375% and 0.0% to 0.375%, respectively, based on the then-applicable net senior secured leverage ratio. Additionally, the Company is required to pay certain commitment, letter of credit fronting and letter of credit participation fees on available and/or undrawn portions of the credit facility.</w:t>
      </w:r>
    </w:p>
    <w:p>
      <w:pPr>
        <w:spacing w:after="0" w:line="94" w:lineRule="exact"/>
        <w:rPr>
          <w:sz w:val="20"/>
          <w:szCs w:val="20"/>
          <w:color w:val="auto"/>
        </w:rPr>
      </w:pPr>
    </w:p>
    <w:p>
      <w:pPr>
        <w:ind w:left="60" w:right="299" w:firstLine="648"/>
        <w:spacing w:after="0" w:line="257" w:lineRule="auto"/>
        <w:rPr>
          <w:sz w:val="20"/>
          <w:szCs w:val="20"/>
          <w:color w:val="auto"/>
        </w:rPr>
      </w:pPr>
      <w:r>
        <w:rPr>
          <w:rFonts w:ascii="Arial" w:cs="Arial" w:eastAsia="Arial" w:hAnsi="Arial"/>
          <w:sz w:val="18"/>
          <w:szCs w:val="18"/>
          <w:color w:val="auto"/>
        </w:rPr>
        <w:t>Under the credit facility, the Company is required to comply with certain customary affirmative and negative covenants, including a requirement to maintain a maximum net total leverage ratio of not greater than 4.00 to 1.00, a maximum net senior secured leverage ratio of not greater than 3.50 to 1.00 and a minimum interest coverage ratio of not less than 3.00 to 1.00. As of September 30, 2021, the Company was in compliance with all of the aforementioned covenants.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ind w:left="60" w:right="159" w:firstLine="648"/>
        <w:spacing w:after="0" w:line="288" w:lineRule="auto"/>
        <w:rPr>
          <w:sz w:val="20"/>
          <w:szCs w:val="20"/>
          <w:color w:val="auto"/>
        </w:rPr>
      </w:pPr>
      <w:r>
        <w:rPr>
          <w:rFonts w:ascii="Arial" w:cs="Arial" w:eastAsia="Arial" w:hAnsi="Arial"/>
          <w:sz w:val="16"/>
          <w:szCs w:val="16"/>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restricted stock units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may increase each calendar year, continuing through and including January 1, 2024. The number of shares added each year may be equal to the lesser of (a) four and five tenths percent (4.5%) of the number of shares of common stock of the Company issued and outstanding on the immediately preceding December 31, or (b) an amount determined by the Company’s board of directors.</w:t>
      </w:r>
    </w:p>
    <w:p>
      <w:pPr>
        <w:spacing w:after="0" w:line="168" w:lineRule="exact"/>
        <w:rPr>
          <w:sz w:val="20"/>
          <w:szCs w:val="20"/>
          <w:color w:val="auto"/>
        </w:rPr>
      </w:pPr>
    </w:p>
    <w:p>
      <w:pPr>
        <w:ind w:left="60" w:right="279" w:firstLine="648"/>
        <w:spacing w:after="0" w:line="279" w:lineRule="auto"/>
        <w:rPr>
          <w:sz w:val="20"/>
          <w:szCs w:val="20"/>
          <w:color w:val="auto"/>
        </w:rPr>
      </w:pPr>
      <w:r>
        <w:rPr>
          <w:rFonts w:ascii="Arial" w:cs="Arial" w:eastAsia="Arial" w:hAnsi="Arial"/>
          <w:sz w:val="17"/>
          <w:szCs w:val="17"/>
          <w:color w:val="auto"/>
        </w:rPr>
        <w:t>As of September 30, 2021, the Company had 12,053 shares allocated to the plans, of which 2,052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pacing w:after="0" w:line="171"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The following table summarizes changes in the number of shares available for grant under the Company’s equity incentive plans during the three months ended September 30, 2021:</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880" w:type="dxa"/>
            <w:vAlign w:val="bottom"/>
          </w:tcPr>
          <w:p>
            <w:pPr>
              <w:jc w:val="right"/>
              <w:ind w:right="34"/>
              <w:spacing w:after="0"/>
              <w:rPr>
                <w:sz w:val="20"/>
                <w:szCs w:val="20"/>
                <w:color w:val="auto"/>
              </w:rPr>
            </w:pPr>
            <w:r>
              <w:rPr>
                <w:rFonts w:ascii="Arial" w:cs="Arial" w:eastAsia="Arial" w:hAnsi="Arial"/>
                <w:sz w:val="14"/>
                <w:szCs w:val="14"/>
                <w:b w:val="1"/>
                <w:bCs w:val="1"/>
                <w:color w:val="auto"/>
              </w:rPr>
              <w:t>Number of</w:t>
            </w:r>
          </w:p>
        </w:tc>
      </w:tr>
      <w:tr>
        <w:trPr>
          <w:trHeight w:val="171"/>
        </w:trPr>
        <w:tc>
          <w:tcPr>
            <w:tcW w:w="80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Shares</w:t>
            </w: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July 1, 2021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RSUs 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MSUs granted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Shares withheld in settlement of taxes and/or exercise price</w:t>
            </w:r>
          </w:p>
        </w:tc>
        <w:tc>
          <w:tcPr>
            <w:tcW w:w="8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Forfeitures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Shares removed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09"/>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grant at September 30, 2021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10,001</w:t>
            </w:r>
          </w:p>
        </w:tc>
      </w:tr>
      <w:tr>
        <w:trPr>
          <w:trHeight w:val="20"/>
        </w:trPr>
        <w:tc>
          <w:tcPr>
            <w:tcW w:w="8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Shares removed represents forfeitures of shares and shares withheld in settlement of taxes and/or payment of exercise price related to grants made under the 2008 Plan. As noted above, no new awards will be issued under the 2008 Plan.</w:t>
      </w:r>
    </w:p>
    <w:p>
      <w:pPr>
        <w:spacing w:after="0" w:line="184"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Stock-based compensation expense related to restricted stock units (“RSUs”), market share units (“MSUs”) and the Employee Stock Purchase Plan is included in the following line items in the accompanying unaudited consolidated statements of operations and comprehensive income:</w:t>
      </w:r>
    </w:p>
    <w:p>
      <w:pPr>
        <w:spacing w:after="0" w:line="189"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Three Months Ended</w:t>
      </w:r>
    </w:p>
    <w:p>
      <w:pPr>
        <w:ind w:left="752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69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3,880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5,159</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w:t>
            </w:r>
          </w:p>
        </w:tc>
      </w:tr>
      <w:tr>
        <w:trPr>
          <w:trHeight w:val="216"/>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8,091</w:t>
            </w:r>
          </w:p>
        </w:tc>
      </w:tr>
      <w:tr>
        <w:trPr>
          <w:trHeight w:val="209"/>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19,559</w:t>
            </w: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19" w:firstLine="648"/>
        <w:spacing w:after="0" w:line="308" w:lineRule="auto"/>
        <w:rPr>
          <w:sz w:val="20"/>
          <w:szCs w:val="20"/>
          <w:color w:val="auto"/>
        </w:rPr>
      </w:pPr>
      <w:r>
        <w:rPr>
          <w:rFonts w:ascii="Arial" w:cs="Arial" w:eastAsia="Arial" w:hAnsi="Arial"/>
          <w:sz w:val="17"/>
          <w:szCs w:val="17"/>
          <w:color w:val="auto"/>
        </w:rPr>
        <w:t>In addition, the Company capitalized $769 and $1,547 of stock-based compensation expense in its capitalized internal-use software costs in the three months ended September 30, 2020 and 2021, respectively.</w:t>
      </w:r>
    </w:p>
    <w:p>
      <w:pPr>
        <w:spacing w:after="0" w:line="146" w:lineRule="exact"/>
        <w:rPr>
          <w:sz w:val="20"/>
          <w:szCs w:val="20"/>
          <w:color w:val="auto"/>
        </w:rPr>
      </w:pPr>
    </w:p>
    <w:p>
      <w:pPr>
        <w:jc w:val="both"/>
        <w:ind w:left="60" w:right="259" w:firstLine="648"/>
        <w:spacing w:after="0" w:line="301" w:lineRule="auto"/>
        <w:rPr>
          <w:sz w:val="20"/>
          <w:szCs w:val="20"/>
          <w:color w:val="auto"/>
        </w:rPr>
      </w:pPr>
      <w:r>
        <w:rPr>
          <w:rFonts w:ascii="Arial" w:cs="Arial" w:eastAsia="Arial" w:hAnsi="Arial"/>
          <w:sz w:val="16"/>
          <w:szCs w:val="16"/>
          <w:color w:val="auto"/>
        </w:rPr>
        <w:t>In August 2020, the compensation committee of the Company’s board of directors approved the modification of the performance targets for vesting of the performance-based restricted stock units granted in fiscal 2020. The Company recorded $860 and $1,243 in stock-based compensation expense during the three months ended September 30, 2020 and 2021, respectively, related to these modified performance-based restricted stock units.</w:t>
      </w:r>
    </w:p>
    <w:p>
      <w:pPr>
        <w:sectPr>
          <w:pgSz w:w="11900" w:h="16838" w:orient="portrait"/>
          <w:cols w:equalWidth="0" w:num="1">
            <w:col w:w="9019"/>
          </w:cols>
          <w:pgMar w:left="1440" w:top="517"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There were no stock options granted during the three months ended September 30, 2020 or 2021. The table below presents stock option activity during the three months ended September 30, 2021:</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Outstanding Options</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exercise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jc w:val="right"/>
              <w:ind w:right="55"/>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price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1, 2021</w:t>
            </w:r>
          </w:p>
        </w:tc>
        <w:tc>
          <w:tcPr>
            <w:tcW w:w="8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16.06</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2.4</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89"/>
              </w:rPr>
              <w:t>$ 133,550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Options exercised</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9.46</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17.69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2.3</w:t>
            </w:r>
          </w:p>
        </w:tc>
        <w:tc>
          <w:tcPr>
            <w:tcW w:w="960" w:type="dxa"/>
            <w:vAlign w:val="bottom"/>
            <w:tcBorders>
              <w:top w:val="single" w:sz="8" w:color="CCEEFF"/>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$ 161,112</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Options vested and exercisable at September 30, 2021</w:t>
            </w:r>
          </w:p>
        </w:tc>
        <w:tc>
          <w:tcPr>
            <w:tcW w:w="86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3"/>
              </w:rPr>
              <w:t>17.69</w:t>
            </w:r>
          </w:p>
        </w:tc>
        <w:tc>
          <w:tcPr>
            <w:tcW w:w="160" w:type="dxa"/>
            <w:vAlign w:val="bottom"/>
          </w:tcPr>
          <w:p>
            <w:pPr>
              <w:spacing w:after="0" w:line="20" w:lineRule="exact"/>
              <w:rPr>
                <w:sz w:val="1"/>
                <w:szCs w:val="1"/>
                <w:color w:val="auto"/>
              </w:rPr>
            </w:pPr>
          </w:p>
        </w:tc>
        <w:tc>
          <w:tcPr>
            <w:tcW w:w="760" w:type="dxa"/>
            <w:vAlign w:val="bottom"/>
            <w:vMerge w:val="restart"/>
          </w:tcPr>
          <w:p>
            <w:pPr>
              <w:jc w:val="right"/>
              <w:ind w:right="2"/>
              <w:spacing w:after="0"/>
              <w:rPr>
                <w:sz w:val="20"/>
                <w:szCs w:val="20"/>
                <w:color w:val="auto"/>
              </w:rPr>
            </w:pPr>
            <w:r>
              <w:rPr>
                <w:rFonts w:ascii="Arial" w:cs="Arial" w:eastAsia="Arial" w:hAnsi="Arial"/>
                <w:sz w:val="18"/>
                <w:szCs w:val="18"/>
                <w:color w:val="auto"/>
              </w:rPr>
              <w:t>2.3</w:t>
            </w:r>
          </w:p>
        </w:tc>
        <w:tc>
          <w:tcPr>
            <w:tcW w:w="960" w:type="dxa"/>
            <w:vAlign w:val="bottom"/>
            <w:gridSpan w:val="2"/>
            <w:vMerge w:val="restart"/>
          </w:tcPr>
          <w:p>
            <w:pPr>
              <w:jc w:val="right"/>
              <w:ind w:right="4"/>
              <w:spacing w:after="0"/>
              <w:rPr>
                <w:sz w:val="20"/>
                <w:szCs w:val="20"/>
                <w:color w:val="auto"/>
              </w:rPr>
            </w:pPr>
            <w:r>
              <w:rPr>
                <w:rFonts w:ascii="Arial" w:cs="Arial" w:eastAsia="Arial" w:hAnsi="Arial"/>
                <w:sz w:val="18"/>
                <w:szCs w:val="18"/>
                <w:color w:val="auto"/>
              </w:rPr>
              <w:t>$ 161,112</w:t>
            </w:r>
          </w:p>
        </w:tc>
        <w:tc>
          <w:tcPr>
            <w:tcW w:w="0" w:type="dxa"/>
            <w:vAlign w:val="bottom"/>
          </w:tcPr>
          <w:p>
            <w:pPr>
              <w:spacing w:after="0" w:line="20" w:lineRule="exact"/>
              <w:rPr>
                <w:sz w:val="1"/>
                <w:szCs w:val="1"/>
                <w:color w:val="auto"/>
              </w:rPr>
            </w:pPr>
          </w:p>
        </w:tc>
      </w:tr>
      <w:tr>
        <w:trPr>
          <w:trHeight w:val="197"/>
        </w:trPr>
        <w:tc>
          <w:tcPr>
            <w:tcW w:w="47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614</w:t>
            </w:r>
          </w:p>
        </w:tc>
        <w:tc>
          <w:tcPr>
            <w:tcW w:w="26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9" w:firstLine="648"/>
        <w:spacing w:after="0" w:line="277" w:lineRule="auto"/>
        <w:rPr>
          <w:sz w:val="20"/>
          <w:szCs w:val="20"/>
          <w:color w:val="auto"/>
        </w:rPr>
      </w:pPr>
      <w:r>
        <w:rPr>
          <w:rFonts w:ascii="Arial" w:cs="Arial" w:eastAsia="Arial" w:hAnsi="Arial"/>
          <w:sz w:val="18"/>
          <w:szCs w:val="18"/>
          <w:color w:val="auto"/>
        </w:rPr>
        <w:t>The total intrinsic value of options exercised was $11,408 and $35,868 during the three months ended September 30, 2020 and 2021.</w:t>
      </w:r>
    </w:p>
    <w:p>
      <w:pPr>
        <w:spacing w:after="0" w:line="170" w:lineRule="exact"/>
        <w:rPr>
          <w:sz w:val="20"/>
          <w:szCs w:val="20"/>
          <w:color w:val="auto"/>
        </w:rPr>
      </w:pPr>
    </w:p>
    <w:p>
      <w:pPr>
        <w:ind w:left="60" w:right="299" w:firstLine="648"/>
        <w:spacing w:after="0" w:line="255" w:lineRule="auto"/>
        <w:rPr>
          <w:sz w:val="20"/>
          <w:szCs w:val="20"/>
          <w:color w:val="auto"/>
        </w:rPr>
      </w:pPr>
      <w:r>
        <w:rPr>
          <w:rFonts w:ascii="Arial" w:cs="Arial" w:eastAsia="Arial" w:hAnsi="Arial"/>
          <w:sz w:val="18"/>
          <w:szCs w:val="18"/>
          <w:color w:val="auto"/>
        </w:rPr>
        <w:t>The Company grants RSUs under the 2014 Plan with terms determined at the discretion of the compensation committee of the Company’s board of directors. RSUs generally vest over three or four years following the grant date. Certain RSU awards have time-based vesting conditions while other RSUs vest based on the achievement of certain revenue growth and/or Adjusted EBITDA margin targets. For these performance-based RSUs, the Company recognizes stock-based compensation expense based upon the probable or actual achievement of these aforementioned performance metrics.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represents restricted stock unit activity during the three months ended September 30, 2021:</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040" w:type="dxa"/>
            <w:vAlign w:val="bottom"/>
          </w:tcPr>
          <w:p>
            <w:pPr>
              <w:spacing w:after="0"/>
              <w:rPr>
                <w:sz w:val="12"/>
                <w:szCs w:val="12"/>
                <w:color w:val="auto"/>
              </w:rPr>
            </w:pPr>
          </w:p>
        </w:tc>
        <w:tc>
          <w:tcPr>
            <w:tcW w:w="7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70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09"/>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RSU balance at July 1, 2021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RSUs 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523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250.22</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83.27</w:t>
            </w:r>
          </w:p>
        </w:tc>
        <w:tc>
          <w:tcPr>
            <w:tcW w:w="0" w:type="dxa"/>
            <w:vAlign w:val="bottom"/>
          </w:tcPr>
          <w:p>
            <w:pPr>
              <w:spacing w:after="0"/>
              <w:rPr>
                <w:sz w:val="1"/>
                <w:szCs w:val="1"/>
                <w:color w:val="auto"/>
              </w:rPr>
            </w:pPr>
          </w:p>
        </w:tc>
      </w:tr>
      <w:tr>
        <w:trPr>
          <w:trHeight w:val="216"/>
        </w:trPr>
        <w:tc>
          <w:tcPr>
            <w:tcW w:w="7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RSUs forfeited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135.51</w:t>
            </w:r>
          </w:p>
        </w:tc>
        <w:tc>
          <w:tcPr>
            <w:tcW w:w="0" w:type="dxa"/>
            <w:vAlign w:val="bottom"/>
          </w:tcPr>
          <w:p>
            <w:pPr>
              <w:spacing w:after="0"/>
              <w:rPr>
                <w:sz w:val="1"/>
                <w:szCs w:val="1"/>
                <w:color w:val="auto"/>
              </w:rPr>
            </w:pPr>
          </w:p>
        </w:tc>
      </w:tr>
      <w:tr>
        <w:trPr>
          <w:trHeight w:val="209"/>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September 30, 2021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164.71</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color w:val="auto"/>
              </w:rPr>
              <w:t>RSUs expected to vest at September 30, 2021</w:t>
            </w:r>
          </w:p>
        </w:tc>
        <w:tc>
          <w:tcPr>
            <w:tcW w:w="760" w:type="dxa"/>
            <w:vAlign w:val="bottom"/>
            <w:tcBorders>
              <w:bottom w:val="single" w:sz="8" w:color="auto"/>
            </w:tcBorders>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162.92</w:t>
            </w:r>
          </w:p>
        </w:tc>
        <w:tc>
          <w:tcPr>
            <w:tcW w:w="0" w:type="dxa"/>
            <w:vAlign w:val="bottom"/>
          </w:tcPr>
          <w:p>
            <w:pPr>
              <w:spacing w:after="0" w:line="20" w:lineRule="exact"/>
              <w:rPr>
                <w:sz w:val="1"/>
                <w:szCs w:val="1"/>
                <w:color w:val="auto"/>
              </w:rPr>
            </w:pPr>
          </w:p>
        </w:tc>
      </w:tr>
      <w:tr>
        <w:trPr>
          <w:trHeight w:val="197"/>
        </w:trPr>
        <w:tc>
          <w:tcPr>
            <w:tcW w:w="7040" w:type="dxa"/>
            <w:vAlign w:val="bottom"/>
            <w:vMerge w:val="continue"/>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1,226</w:t>
            </w:r>
          </w:p>
        </w:tc>
        <w:tc>
          <w:tcPr>
            <w:tcW w:w="32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At September 30, 2021, there was $148,712 of total unrecognized compensation cost, net of estimated forfeitures, related to unvested restricted stock units granted. That cost is expected to be recognized over a weighted average period of 2.2 years.</w:t>
      </w:r>
    </w:p>
    <w:p>
      <w:pPr>
        <w:spacing w:after="0" w:line="184" w:lineRule="exact"/>
        <w:rPr>
          <w:sz w:val="20"/>
          <w:szCs w:val="20"/>
          <w:color w:val="auto"/>
        </w:rPr>
      </w:pPr>
    </w:p>
    <w:p>
      <w:pPr>
        <w:ind w:left="60" w:right="279" w:firstLine="648"/>
        <w:spacing w:after="0" w:line="296" w:lineRule="auto"/>
        <w:rPr>
          <w:sz w:val="20"/>
          <w:szCs w:val="20"/>
          <w:color w:val="auto"/>
        </w:rPr>
      </w:pPr>
      <w:r>
        <w:rPr>
          <w:rFonts w:ascii="Arial" w:cs="Arial" w:eastAsia="Arial" w:hAnsi="Arial"/>
          <w:sz w:val="16"/>
          <w:szCs w:val="16"/>
          <w:color w:val="auto"/>
        </w:rPr>
        <w:t>The Company also grants MSUs under the 2014 Plan with terms determined at the discretion of the Committee. The actual number of MSUs that will be eligible to vest is based on the achievement of a relative total shareholder return (“TSR”) target as compared to the TSR realized by each of the companies comprising the Russell 3000 Index over an approximately three-year period. The MSUs cliff-vest at the end of the TSR measurement period, and up to 200% of the target number of shares subject to each MSU are eligible to be earned.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represents market share unit activity during the three months ended September 30, 2021:</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1"/>
              </w:rPr>
              <w:t>grant date</w:t>
            </w:r>
          </w:p>
        </w:tc>
        <w:tc>
          <w:tcPr>
            <w:tcW w:w="0" w:type="dxa"/>
            <w:vAlign w:val="bottom"/>
          </w:tcPr>
          <w:p>
            <w:pPr>
              <w:spacing w:after="0"/>
              <w:rPr>
                <w:sz w:val="1"/>
                <w:szCs w:val="1"/>
                <w:color w:val="auto"/>
              </w:rPr>
            </w:pPr>
          </w:p>
        </w:tc>
      </w:tr>
      <w:tr>
        <w:trPr>
          <w:trHeight w:val="171"/>
        </w:trPr>
        <w:tc>
          <w:tcPr>
            <w:tcW w:w="70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09"/>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MSU balance at July 1, 2021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178.04</w:t>
            </w:r>
          </w:p>
        </w:tc>
        <w:tc>
          <w:tcPr>
            <w:tcW w:w="0" w:type="dxa"/>
            <w:vAlign w:val="bottom"/>
          </w:tcPr>
          <w:p>
            <w:pPr>
              <w:spacing w:after="0"/>
              <w:rPr>
                <w:sz w:val="1"/>
                <w:szCs w:val="1"/>
                <w:color w:val="auto"/>
              </w:rPr>
            </w:pP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MSUs 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355.60</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MSUs forfeited</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178.04</w:t>
            </w:r>
          </w:p>
        </w:tc>
        <w:tc>
          <w:tcPr>
            <w:tcW w:w="0" w:type="dxa"/>
            <w:vAlign w:val="bottom"/>
          </w:tcPr>
          <w:p>
            <w:pPr>
              <w:spacing w:after="0"/>
              <w:rPr>
                <w:sz w:val="1"/>
                <w:szCs w:val="1"/>
                <w:color w:val="auto"/>
              </w:rPr>
            </w:pPr>
          </w:p>
        </w:tc>
      </w:tr>
      <w:tr>
        <w:trPr>
          <w:trHeight w:val="210"/>
        </w:trPr>
        <w:tc>
          <w:tcPr>
            <w:tcW w:w="7020" w:type="dxa"/>
            <w:vAlign w:val="bottom"/>
          </w:tcPr>
          <w:p>
            <w:pPr>
              <w:ind w:left="20"/>
              <w:spacing w:after="0"/>
              <w:rPr>
                <w:sz w:val="20"/>
                <w:szCs w:val="20"/>
                <w:color w:val="auto"/>
              </w:rPr>
            </w:pPr>
            <w:r>
              <w:rPr>
                <w:rFonts w:ascii="Arial" w:cs="Arial" w:eastAsia="Arial" w:hAnsi="Arial"/>
                <w:sz w:val="18"/>
                <w:szCs w:val="18"/>
                <w:color w:val="auto"/>
              </w:rPr>
              <w:t>MSU balance at September 30, 2021</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257.87</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19" w:firstLine="648"/>
        <w:spacing w:after="0" w:line="277" w:lineRule="auto"/>
        <w:rPr>
          <w:sz w:val="20"/>
          <w:szCs w:val="20"/>
          <w:color w:val="auto"/>
        </w:rPr>
      </w:pPr>
      <w:r>
        <w:rPr>
          <w:rFonts w:ascii="Arial" w:cs="Arial" w:eastAsia="Arial" w:hAnsi="Arial"/>
          <w:sz w:val="18"/>
          <w:szCs w:val="18"/>
          <w:color w:val="auto"/>
        </w:rPr>
        <w:t>The Company estimated the grant date fair value of the MSUs using a Monte Carlo simulation model that included the following assumptions:</w:t>
      </w:r>
    </w:p>
    <w:p>
      <w:pPr>
        <w:spacing w:after="0" w:line="175"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4437380</wp:posOffset>
            </wp:positionH>
            <wp:positionV relativeFrom="paragraph">
              <wp:posOffset>-3175</wp:posOffset>
            </wp:positionV>
            <wp:extent cx="10972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assumptions:</w:t>
            </w: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 %</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720" w:type="dxa"/>
            <w:vAlign w:val="bottom"/>
          </w:tcPr>
          <w:p>
            <w:pPr>
              <w:jc w:val="right"/>
              <w:spacing w:after="0"/>
              <w:rPr>
                <w:sz w:val="20"/>
                <w:szCs w:val="20"/>
                <w:color w:val="auto"/>
              </w:rPr>
            </w:pPr>
            <w:r>
              <w:rPr>
                <w:rFonts w:ascii="Arial" w:cs="Arial" w:eastAsia="Arial" w:hAnsi="Arial"/>
                <w:sz w:val="18"/>
                <w:szCs w:val="18"/>
                <w:color w:val="auto"/>
              </w:rPr>
              <w:t>3.04</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18"/>
                <w:szCs w:val="18"/>
                <w:color w:val="auto"/>
              </w:rPr>
            </w:pPr>
          </w:p>
        </w:tc>
      </w:tr>
      <w:tr>
        <w:trPr>
          <w:trHeight w:val="216"/>
        </w:trPr>
        <w:tc>
          <w:tcPr>
            <w:tcW w:w="6940" w:type="dxa"/>
            <w:vAlign w:val="bottom"/>
            <w:shd w:val="clear" w:color="auto" w:fill="CCEEFF"/>
          </w:tcPr>
          <w:p>
            <w:pPr>
              <w:ind w:left="20"/>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At September 30, 2021, there was $18,240 of total unrecognized compensation cost, net of estimated forfeitures, related to unvested MSUs. That cost is expected to be recognized over a period of 2.6 years.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Litigation</w:t>
      </w:r>
    </w:p>
    <w:p>
      <w:pPr>
        <w:spacing w:after="0" w:line="229"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On November 16, 2020, a potential class action complaint was filed against the Company with the Circuit Court of Cook County alleging that the Company violated the Illinois Biometric Information Privacy Act. The complaint seeks statutory damages, attorney’s fees and other costs. This claim is still in its earliest stages and the Company is unable to estimate any reasonably possible loss, or range of loss, with respect to this matter. The Company intends to vigorously defend against this lawsuit.</w:t>
      </w:r>
    </w:p>
    <w:p>
      <w:pPr>
        <w:spacing w:after="0" w:line="188"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From time to time, the Company is subject to litigation arising in the ordinary course of business. Many of these matters are covered in whole or in part by insurance. In the opinion of the Company’s management, the ultimate disposition of any matters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left="60" w:right="139" w:firstLine="648"/>
        <w:spacing w:after="0" w:line="301" w:lineRule="auto"/>
        <w:rPr>
          <w:sz w:val="20"/>
          <w:szCs w:val="20"/>
          <w:color w:val="auto"/>
        </w:rPr>
      </w:pPr>
      <w:r>
        <w:rPr>
          <w:rFonts w:ascii="Arial" w:cs="Arial" w:eastAsia="Arial" w:hAnsi="Arial"/>
          <w:sz w:val="16"/>
          <w:szCs w:val="16"/>
          <w:color w:val="auto"/>
        </w:rPr>
        <w:t>On March 11, 2021, the President signed the American Rescue Plan Act, 2021 into law. The bill complements the provisions set forth in the Coronavirus Aid, Relief, and the Economic Security Act (the “CARES Act”) and the Consolidated Appropriations Act, 2021, which were signed into law on March 27, 2020, and December 27, 2020, respectively. The provisions of the legislation do not have a significant impact on the Company’s income taxes.</w:t>
      </w:r>
    </w:p>
    <w:p>
      <w:pPr>
        <w:spacing w:after="0" w:line="157"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 Company’s quarterly provision for income taxes is based on the annual effective rate method. The Company’s quarterly provision for income taxes also includes the tax impact of certain unusual or infrequently occurring items, if any, including changes in judgment about valuation allowances and effects of changes in tax laws or rates, and other discrete items in the interim period in which they occur.</w:t>
      </w:r>
    </w:p>
    <w:p>
      <w:pPr>
        <w:spacing w:after="0" w:line="187"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The Company’s effective tax rate was (290.3)% and (205.2)% for the three months ended September 30, 2020 and 2021, respectively. The Company’s effective tax rate for the three months ended September 30, 2020 and September 30, 2021 was lower than the federal statutory rate of 21% primarily due to excess tax benefits from employee stock-</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based compensation and research and development tax credits, partially offset by an increase to the valuation allowance for the period ended September 30,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Net Income Per Share</w:t>
      </w:r>
    </w:p>
    <w:p>
      <w:pPr>
        <w:spacing w:after="0" w:line="229"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Basic net income per common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market share units, and the shares purchasable via the employee stock purchase plan as of the balance sheet date. The following table presents the calculation of basic and diluted net income per share:</w:t>
      </w:r>
    </w:p>
    <w:p>
      <w:pPr>
        <w:spacing w:after="0" w:line="169"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Three Months Ended</w:t>
      </w:r>
    </w:p>
    <w:p>
      <w:pPr>
        <w:ind w:left="752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Weighted-average shares used in computing net income per share: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Weighted-average effect of potentially dilutive shares: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Employee stock options, restricted stock units, market share units and employee stock</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plan shares</w:t>
            </w:r>
          </w:p>
        </w:tc>
        <w:tc>
          <w:tcPr>
            <w:tcW w:w="2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2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56,050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56,506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income per share: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Diluted</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0.22</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The following table summarizes the outstanding restricted stock units and market share units as of September 30, 2020 and 2021 that were excluded from the diluted per share calculation for the periods presented because to include them would have been antidilutive:</w:t>
      </w:r>
    </w:p>
    <w:p>
      <w:pPr>
        <w:spacing w:after="0" w:line="189"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Three Months Ended</w:t>
      </w:r>
    </w:p>
    <w:p>
      <w:pPr>
        <w:ind w:left="754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70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share units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stock units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r>
      <w:tr>
        <w:trPr>
          <w:trHeight w:val="21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0"/>
        </w:trPr>
        <w:tc>
          <w:tcPr>
            <w:tcW w:w="7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left="60" w:right="199"/>
        <w:spacing w:after="0" w:line="275" w:lineRule="auto"/>
        <w:rPr>
          <w:sz w:val="20"/>
          <w:szCs w:val="20"/>
          <w:color w:val="auto"/>
        </w:rPr>
      </w:pPr>
      <w:r>
        <w:rPr>
          <w:rFonts w:ascii="Arial" w:cs="Arial" w:eastAsia="Arial" w:hAnsi="Arial"/>
          <w:sz w:val="17"/>
          <w:szCs w:val="17"/>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“Item 1A. Risk Factors” of our Annual Report on Form 10-K for the fiscal year ended June 30, 2021 filed with the SEC on August 6, 2021.</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We are a cloud-based provider of payroll and human capital management (“HCM”) software solutions. Our comprehensive product suite delivers a unified platform to create a modern workplace for our clients through automation, data-driven insights and engagement. Our product suite enables professionals to make strategic decisions in the areas of payroll, human capital management, workforce management, talent management, benefits, modern workforce solutions and analytics &amp; insights, all while promoting a modern workplace and improving employee engagement.</w:t>
      </w:r>
    </w:p>
    <w:p>
      <w:pPr>
        <w:spacing w:after="0" w:line="148"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We designed our cloud-based platform to provide a unified suite of modules using a multi-tenant architecture. Our solutions are highly flexible and configurable and feature a modern, intuitive user experience. Our platform offers automated data integration with over 400 related third-party systems, such as 401(k), benefits and insurance provider systems. We have invested in, and we intend to continue to invest in, research and development to expand our product offerings and advance our platform.</w:t>
      </w:r>
    </w:p>
    <w:p>
      <w:pPr>
        <w:spacing w:after="0" w:line="174"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We believe there is a significant opportunity to grow our business by increasing our number of clients and we intend to invest in our business to achieve this purpose. We market and sell our solutions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77"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7"/>
          <w:szCs w:val="17"/>
          <w:color w:val="auto"/>
        </w:rPr>
        <w:t>We also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mid-market organizations. We expect to continue to invest in and grow our implementation and client service organization as our client base grows.</w:t>
      </w:r>
    </w:p>
    <w:p>
      <w:pPr>
        <w:spacing w:after="0" w:line="171" w:lineRule="exact"/>
        <w:rPr>
          <w:sz w:val="20"/>
          <w:szCs w:val="20"/>
          <w:color w:val="auto"/>
        </w:rPr>
      </w:pPr>
    </w:p>
    <w:p>
      <w:pPr>
        <w:ind w:left="60" w:right="59" w:firstLine="648"/>
        <w:spacing w:after="0" w:line="290" w:lineRule="auto"/>
        <w:rPr>
          <w:sz w:val="20"/>
          <w:szCs w:val="20"/>
          <w:color w:val="auto"/>
        </w:rPr>
      </w:pPr>
      <w:r>
        <w:rPr>
          <w:rFonts w:ascii="Arial" w:cs="Arial" w:eastAsia="Arial" w:hAnsi="Arial"/>
          <w:sz w:val="16"/>
          <w:szCs w:val="16"/>
          <w:color w:val="auto"/>
        </w:rPr>
        <w:t>In order to continue to grow our business over the long term, we will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65"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Paylocity Holding Corporation is a Delaware corporation, which was formed in November 2013. Our business operations are conducted by our wholly owned subsidiaries.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Impact</w:t>
      </w:r>
    </w:p>
    <w:p>
      <w:pPr>
        <w:spacing w:after="0" w:line="229" w:lineRule="exact"/>
        <w:rPr>
          <w:sz w:val="20"/>
          <w:szCs w:val="20"/>
          <w:color w:val="auto"/>
        </w:rPr>
      </w:pPr>
    </w:p>
    <w:p>
      <w:pPr>
        <w:ind w:left="60" w:right="159" w:firstLine="648"/>
        <w:spacing w:after="0" w:line="284" w:lineRule="auto"/>
        <w:rPr>
          <w:sz w:val="20"/>
          <w:szCs w:val="20"/>
          <w:color w:val="auto"/>
        </w:rPr>
      </w:pPr>
      <w:r>
        <w:rPr>
          <w:rFonts w:ascii="Arial" w:cs="Arial" w:eastAsia="Arial" w:hAnsi="Arial"/>
          <w:sz w:val="16"/>
          <w:szCs w:val="16"/>
          <w:color w:val="auto"/>
        </w:rPr>
        <w:t>The novel coronavirus disease (“COVID-19”) continues to impact the global economy. The duration and severity of the COVID-19 pandemic, and the long-term effects the pandemic will have on our clients and general economic conditions, remain uncertain and difficult to predict. Many of our prospective and existing clients’ businesses have been impacted by business closures and other restrictive orders, which has resulted in reduced employee headcount, temporary and permanent business closures, and/or delayed sales/starts. Even though we have seen improvements in the overall macroeconomic conditions, our business and financial performance may continue to be unfavorably impacted in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7" w:lineRule="auto"/>
        <w:rPr>
          <w:sz w:val="20"/>
          <w:szCs w:val="20"/>
          <w:color w:val="auto"/>
        </w:rPr>
      </w:pPr>
      <w:r>
        <w:rPr>
          <w:rFonts w:ascii="Arial" w:cs="Arial" w:eastAsia="Arial" w:hAnsi="Arial"/>
          <w:sz w:val="18"/>
          <w:szCs w:val="18"/>
          <w:color w:val="auto"/>
        </w:rPr>
        <w:t>future periods by fluctuations in client employee counts, reduction in business confidence and activity, a decrease in payroll and HCM solutions spending by organizations, the pace of the macroeconomic recovery or a continued low interest rate environment, among other factors. Refer to “Part I. Item 1A. Risk Factors” in our Annual Report on Form 10-K filed with the Securities and Exchange Commission on August 6, 2021 for risks related to the COVID-19 pandemic and its impact on our business and financial performance.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left="60" w:right="199" w:firstLine="648"/>
        <w:spacing w:after="0" w:line="342" w:lineRule="auto"/>
        <w:rPr>
          <w:sz w:val="20"/>
          <w:szCs w:val="20"/>
          <w:color w:val="auto"/>
        </w:rPr>
      </w:pPr>
      <w:r>
        <w:rPr>
          <w:rFonts w:ascii="Arial" w:cs="Arial" w:eastAsia="Arial" w:hAnsi="Arial"/>
          <w:sz w:val="16"/>
          <w:szCs w:val="16"/>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Growth</w:t>
      </w:r>
    </w:p>
    <w:p>
      <w:pPr>
        <w:spacing w:after="0" w:line="225"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Our recurring revenue model and high annual revenue retention rates provide significant visibility into our future operating results and cash flow from operations. This visibility enables us to better manage and invest in our business. Total revenues increased from $135.8 million for the three months ended September 30, 2020 to $181.7 million for the three months ended September 30, 2021, representing an 34% year-over-year increase. The increase in year-over-year revenue growth was driven by the strong performance by our sales team and an overall improvement in macroeconomic conditions compared to the prior year. Our revenue growth in future periods may continue to be impacted by fluctuations in client employee counts, potential increases in client losses, a continued low interest rate environment and the pace of the macroeconomic recovery, among other factors.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Adjusted Gross Profit and Adjusted EBITDA</w:t>
      </w:r>
    </w:p>
    <w:p>
      <w:pPr>
        <w:spacing w:after="0" w:line="225"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We disclose Adjusted Gross Profit and Adjusted EBITDA because we use them to evaluate our performance, and we believe Adjusted Gross Profit and Adjusted EBITDA assist in the comparison of our performance across reporting periods by excluding certain items that we do not believe are indicative of our core operating performance. We believe these metrics are used in the financial community, and we present them to enhance investors’ understanding of our operating performance and cash flows.</w:t>
      </w:r>
    </w:p>
    <w:p>
      <w:pPr>
        <w:spacing w:after="0" w:line="188"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Adjusted Gross Profit and Adjusted EBITDA are not measurements of financial performance under generally accepted accounting principles in the United States (“GAAP”), and you should not consider Adjusted Gross Profit as an alternative to gross profit or Adjusted EBITDA as an alternative to net income or cash provided by operating activities, in each case as determined in accordance with GAAP. In addition, our definition of Adjusted Gross Profit and Adjusted EBITDA may be different than the definition utilized for similarly-titled measures used by other companies.</w:t>
      </w:r>
    </w:p>
    <w:p>
      <w:pPr>
        <w:spacing w:after="0" w:line="161" w:lineRule="exact"/>
        <w:rPr>
          <w:sz w:val="20"/>
          <w:szCs w:val="20"/>
          <w:color w:val="auto"/>
        </w:rPr>
      </w:pPr>
    </w:p>
    <w:p>
      <w:pPr>
        <w:ind w:left="60" w:right="359" w:firstLine="648"/>
        <w:spacing w:after="0" w:line="257" w:lineRule="auto"/>
        <w:rPr>
          <w:sz w:val="20"/>
          <w:szCs w:val="20"/>
          <w:color w:val="auto"/>
        </w:rPr>
      </w:pPr>
      <w:r>
        <w:rPr>
          <w:rFonts w:ascii="Arial" w:cs="Arial" w:eastAsia="Arial" w:hAnsi="Arial"/>
          <w:sz w:val="18"/>
          <w:szCs w:val="18"/>
          <w:color w:val="auto"/>
        </w:rPr>
        <w:t>We define Adjusted Gross Profit as gross profit before amortization of capitalized internal-use software costs, stock-based compensation expense and employer payroll taxes related to stock releases and option exercises. We define Adjusted EBITDA as net income before interest expense, income tax expense, depreciation and amortization expense, stock-based compensation expense and employer payroll taxes related to stock releases and option exercises and other items as defined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table below sets forth our Adjusted Gross Profit and Adjusted EBITDA for the periods presented.</w:t>
      </w:r>
    </w:p>
    <w:p>
      <w:pPr>
        <w:spacing w:after="0" w:line="230"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Three Months Ended</w:t>
      </w:r>
    </w:p>
    <w:p>
      <w:pPr>
        <w:ind w:left="752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7"/>
          </w:tcPr>
          <w:p>
            <w:pPr>
              <w:jc w:val="center"/>
              <w:ind w:right="93"/>
              <w:spacing w:after="0" w:line="129" w:lineRule="exact"/>
              <w:rPr>
                <w:sz w:val="20"/>
                <w:szCs w:val="20"/>
                <w:color w:val="auto"/>
              </w:rPr>
            </w:pPr>
            <w:r>
              <w:rPr>
                <w:rFonts w:ascii="Arial" w:cs="Arial" w:eastAsia="Arial" w:hAnsi="Arial"/>
                <w:sz w:val="14"/>
                <w:szCs w:val="14"/>
                <w:b w:val="1"/>
                <w:bCs w:val="1"/>
                <w:color w:val="auto"/>
                <w:w w:val="89"/>
              </w:rPr>
              <w:t>(in 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Adjusted Gross Profit</w:t>
            </w: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94,203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2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gridSpan w:val="3"/>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30,864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gridSpan w:val="3"/>
          </w:tcPr>
          <w:p>
            <w:pPr>
              <w:jc w:val="right"/>
              <w:ind w:right="29"/>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46,124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gridSpan w:val="8"/>
          </w:tcPr>
          <w:p>
            <w:pPr>
              <w:jc w:val="center"/>
              <w:ind w:right="180"/>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Reconciliation from Gross Profit to Adjusted Gross Profit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86,414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gridSpan w:val="3"/>
          </w:tcPr>
          <w:p>
            <w:pPr>
              <w:jc w:val="right"/>
              <w:ind w:right="29"/>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118,448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gridSpan w:val="2"/>
          </w:tcPr>
          <w:p>
            <w:pPr>
              <w:spacing w:after="0" w:line="201" w:lineRule="exact"/>
              <w:rPr>
                <w:sz w:val="20"/>
                <w:szCs w:val="20"/>
                <w:color w:val="auto"/>
              </w:rPr>
            </w:pPr>
            <w:r>
              <w:rPr>
                <w:rFonts w:ascii="Arial" w:cs="Arial" w:eastAsia="Arial" w:hAnsi="Arial"/>
                <w:sz w:val="18"/>
                <w:szCs w:val="18"/>
                <w:color w:val="auto"/>
                <w:w w:val="92"/>
              </w:rPr>
              <w:t>Stock-based compensation expense and employer payroll taxes related to stock releases and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gridSpan w:val="3"/>
          </w:tcPr>
          <w:p>
            <w:pPr>
              <w:ind w:left="20"/>
              <w:spacing w:after="0"/>
              <w:rPr>
                <w:sz w:val="20"/>
                <w:szCs w:val="20"/>
                <w:color w:val="auto"/>
              </w:rPr>
            </w:pPr>
            <w:r>
              <w:rPr>
                <w:rFonts w:ascii="Arial" w:cs="Arial" w:eastAsia="Arial" w:hAnsi="Arial"/>
                <w:sz w:val="18"/>
                <w:szCs w:val="18"/>
                <w:color w:val="auto"/>
              </w:rPr>
              <w:t>option exercises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items (1)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Adjusted Gross Profit</w:t>
            </w: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94,203</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128,115</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gridSpan w:val="8"/>
          </w:tcPr>
          <w:p>
            <w:pPr>
              <w:jc w:val="center"/>
              <w:ind w:right="180"/>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Reconciliation from Net Income to Adjusted EBITDA</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12,460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gridSpan w:val="3"/>
          </w:tcPr>
          <w:p>
            <w:pPr>
              <w:jc w:val="right"/>
              <w:ind w:right="29"/>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(9,268)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10,235</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11,322</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EBITDA</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Stock-based compensation expense and employer payroll taxes related to stock releases and</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 exercises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16,737</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23,756</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items (2)</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30,864</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gridSpan w:val="2"/>
            <w:vMerge w:val="restart"/>
          </w:tcPr>
          <w:p>
            <w:pPr>
              <w:ind w:left="20"/>
              <w:spacing w:after="0"/>
              <w:rPr>
                <w:sz w:val="20"/>
                <w:szCs w:val="20"/>
                <w:color w:val="auto"/>
              </w:rPr>
            </w:pPr>
            <w:r>
              <w:rPr>
                <w:rFonts w:ascii="Arial" w:cs="Arial" w:eastAsia="Arial" w:hAnsi="Arial"/>
                <w:sz w:val="18"/>
                <w:szCs w:val="18"/>
                <w:color w:val="auto"/>
                <w:w w:val="81"/>
              </w:rPr>
              <w:t>(1)</w:t>
            </w:r>
          </w:p>
        </w:tc>
        <w:tc>
          <w:tcPr>
            <w:tcW w:w="6720" w:type="dxa"/>
            <w:vAlign w:val="bottom"/>
            <w:vMerge w:val="restart"/>
          </w:tcPr>
          <w:p>
            <w:pPr>
              <w:ind w:left="440"/>
              <w:spacing w:after="0"/>
              <w:rPr>
                <w:sz w:val="20"/>
                <w:szCs w:val="20"/>
                <w:color w:val="auto"/>
              </w:rPr>
            </w:pPr>
            <w:r>
              <w:rPr>
                <w:rFonts w:ascii="Arial" w:cs="Arial" w:eastAsia="Arial" w:hAnsi="Arial"/>
                <w:sz w:val="18"/>
                <w:szCs w:val="18"/>
                <w:color w:val="auto"/>
              </w:rPr>
              <w:t>Represents nonrecurring acquisition-related costs.</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20" w:type="dxa"/>
            <w:vAlign w:val="bottom"/>
            <w:gridSpan w:val="2"/>
            <w:vMerge w:val="continue"/>
          </w:tcPr>
          <w:p>
            <w:pPr>
              <w:spacing w:after="0"/>
              <w:rPr>
                <w:sz w:val="24"/>
                <w:szCs w:val="24"/>
                <w:color w:val="auto"/>
              </w:rPr>
            </w:pPr>
          </w:p>
        </w:tc>
        <w:tc>
          <w:tcPr>
            <w:tcW w:w="67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gridSpan w:val="2"/>
          </w:tcPr>
          <w:p>
            <w:pPr>
              <w:ind w:left="20"/>
              <w:spacing w:after="0"/>
              <w:rPr>
                <w:sz w:val="20"/>
                <w:szCs w:val="20"/>
                <w:color w:val="auto"/>
              </w:rPr>
            </w:pPr>
            <w:r>
              <w:rPr>
                <w:rFonts w:ascii="Arial" w:cs="Arial" w:eastAsia="Arial" w:hAnsi="Arial"/>
                <w:sz w:val="18"/>
                <w:szCs w:val="18"/>
                <w:color w:val="auto"/>
                <w:w w:val="81"/>
              </w:rPr>
              <w:t>(2)</w:t>
            </w:r>
          </w:p>
        </w:tc>
        <w:tc>
          <w:tcPr>
            <w:tcW w:w="6720" w:type="dxa"/>
            <w:vAlign w:val="bottom"/>
          </w:tcPr>
          <w:p>
            <w:pPr>
              <w:ind w:left="440"/>
              <w:spacing w:after="0"/>
              <w:rPr>
                <w:sz w:val="20"/>
                <w:szCs w:val="20"/>
                <w:color w:val="auto"/>
              </w:rPr>
            </w:pPr>
            <w:r>
              <w:rPr>
                <w:rFonts w:ascii="Arial" w:cs="Arial" w:eastAsia="Arial" w:hAnsi="Arial"/>
                <w:sz w:val="18"/>
                <w:szCs w:val="18"/>
                <w:color w:val="auto"/>
                <w:w w:val="97"/>
              </w:rPr>
              <w:t>Represents nonrecurring costs including acquisition-related and lease exit costs.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Recurring and other revenue</w:t>
      </w:r>
    </w:p>
    <w:p>
      <w:pPr>
        <w:spacing w:after="0" w:line="225"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We charge implementation fees for professional services provided to implement our payroll and HCM solutions. Implementations of our payroll solutions typically require only one to eight weeks, depending on the size and complexity of each client, at which point the new client’s payroll is first processed using our solution. We implement additional HCM products as requested by clients and leverage the data within our payroll solution to accelerate our implementation processes. Our average client size has continued to be over 100 employees.</w:t>
      </w:r>
    </w:p>
    <w:p>
      <w:pPr>
        <w:spacing w:after="0" w:line="196"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We derive revenue from a client based on the solutions purchased by the client, the number of client employees as well as the amount, type and timing of services provided with respect to those client employees. As such, the number of client employees on our system is not a good indicator of our financial results in any period. Recurring and other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revenue accounted for approximately all of our total revenues during the three months ended September 30, 2020 and 2021 respectively.</w:t>
      </w:r>
    </w:p>
    <w:p>
      <w:pPr>
        <w:spacing w:after="0" w:line="170" w:lineRule="exact"/>
        <w:rPr>
          <w:sz w:val="20"/>
          <w:szCs w:val="20"/>
          <w:color w:val="auto"/>
        </w:rPr>
      </w:pPr>
    </w:p>
    <w:p>
      <w:pPr>
        <w:ind w:left="60" w:right="59" w:firstLine="648"/>
        <w:spacing w:after="0" w:line="296" w:lineRule="auto"/>
        <w:rPr>
          <w:sz w:val="20"/>
          <w:szCs w:val="20"/>
          <w:color w:val="auto"/>
        </w:rPr>
      </w:pPr>
      <w:r>
        <w:rPr>
          <w:rFonts w:ascii="Arial" w:cs="Arial" w:eastAsia="Arial" w:hAnsi="Arial"/>
          <w:sz w:val="16"/>
          <w:szCs w:val="16"/>
          <w:color w:val="auto"/>
        </w:rPr>
        <w:t>While the majority of our agreements with clients are generally cancellable by the client on 60 days’ notice or less, we also have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Cost of revenues includes costs to provide our payroll and other HCM solutions which primarily consists of employee-related expenses, including wages, stock-based compensation, bonuses and benefits, relating to the provision of ongoing client support and implementation activities, payroll tax filing, distribution of printed checks and other materials as well as delivery costs, computing costs, and bank fees associated with client fund transfers. Employee costs related to recurring support are generally expensed as incurred whereas such costs for implementation of our proprietary products are capitalized and amortized over a period of 7 years.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also capitalize a portion of our internal-use software costs, which are then all amortized as Cost of revenues.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amortized $5.4 million and $6.1 million of capitalized internal-use software costs during the three months ended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2020 and 2021, respectively.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Sales and marketing expenses consist primarily of employee-related expenses for our direct sales and marketing staff, including wages, commissions, stock-based compensation, bonuses, benefits, marketing expenses and other related costs. Our sales personnel earn commissions and bonuses for attainment of certain performance criteria based on new sales throughout the fiscal year. We capitalize certain selling and commission costs related to new contracts or purchases of additional services by our existing clients and amortize them over a period of 7 years.</w:t>
      </w:r>
    </w:p>
    <w:p>
      <w:pPr>
        <w:spacing w:after="0" w:line="176"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Research and development expenses consist primarily of employee-related expenses for our research and development and product management teams,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ectPr>
          <w:pgSz w:w="11900" w:h="16838" w:orient="portrait"/>
          <w:cols w:equalWidth="0" w:num="1">
            <w:col w:w="9019"/>
          </w:cols>
          <w:pgMar w:left="1440" w:top="517"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months ended September 30, 2020 and 2021.</w:t>
      </w:r>
    </w:p>
    <w:p>
      <w:pPr>
        <w:spacing w:after="0" w:line="192"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Three Months Ended</w:t>
      </w:r>
    </w:p>
    <w:p>
      <w:pPr>
        <w:ind w:left="7480"/>
        <w:spacing w:after="0" w:line="226" w:lineRule="auto"/>
        <w:rPr>
          <w:sz w:val="20"/>
          <w:szCs w:val="20"/>
          <w:color w:val="auto"/>
        </w:rPr>
      </w:pPr>
      <w:r>
        <w:rPr>
          <w:rFonts w:ascii="Arial" w:cs="Arial" w:eastAsia="Arial" w:hAnsi="Arial"/>
          <w:sz w:val="14"/>
          <w:szCs w:val="14"/>
          <w:b w:val="1"/>
          <w:bCs w:val="1"/>
          <w:color w:val="auto"/>
        </w:rPr>
        <w:t>September 30,</w:t>
      </w:r>
    </w:p>
    <w:p>
      <w:pPr>
        <w:ind w:left="7240"/>
        <w:spacing w:after="0" w:line="221" w:lineRule="auto"/>
        <w:tabs>
          <w:tab w:leader="none" w:pos="83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ind w:left="7500"/>
        <w:spacing w:after="0" w:line="232" w:lineRule="auto"/>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-93345</wp:posOffset>
            </wp:positionV>
            <wp:extent cx="12858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07"/>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portion of research and development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8,116</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9,829</w:t>
            </w:r>
          </w:p>
        </w:tc>
      </w:tr>
      <w:tr>
        <w:trPr>
          <w:trHeight w:val="216"/>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Expensed portion of research and development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18,647</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23,076</w:t>
            </w:r>
          </w:p>
        </w:tc>
      </w:tr>
      <w:tr>
        <w:trPr>
          <w:trHeight w:val="20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research and development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32,905</w:t>
            </w:r>
          </w:p>
        </w:tc>
      </w:tr>
    </w:tbl>
    <w:p>
      <w:pPr>
        <w:spacing w:after="0" w:line="202"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General and administrative expenses consist primarily of employee-related costs, including wages, stock-based compensation, bonuses and benefits for our finance and accounting, legal, information systems, human resources and other administrative departments. Additional expenses include consulting and professional fees, occupancy costs, insurance and other corporate expenses. We expect our general and administrative expenses to continue to increase in absolute dollars as our company continues to grow.</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Other income (expense) generally consists of interest income related to interest earned on our cash and cash equivalents and corporate investments, net of losses on disposal of property and equipment and interest expense related to our revolving credit facility.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our statements of operations data for each of the periods indicated.</w:t>
      </w:r>
    </w:p>
    <w:p>
      <w:pPr>
        <w:spacing w:after="0" w:line="230" w:lineRule="exact"/>
        <w:rPr>
          <w:sz w:val="20"/>
          <w:szCs w:val="20"/>
          <w:color w:val="auto"/>
        </w:rPr>
      </w:pPr>
    </w:p>
    <w:p>
      <w:pPr>
        <w:ind w:left="7040"/>
        <w:spacing w:after="0"/>
        <w:rPr>
          <w:sz w:val="20"/>
          <w:szCs w:val="20"/>
          <w:color w:val="auto"/>
        </w:rPr>
      </w:pPr>
      <w:r>
        <w:rPr>
          <w:rFonts w:ascii="Arial" w:cs="Arial" w:eastAsia="Arial" w:hAnsi="Arial"/>
          <w:sz w:val="14"/>
          <w:szCs w:val="14"/>
          <w:b w:val="1"/>
          <w:bCs w:val="1"/>
          <w:color w:val="auto"/>
        </w:rPr>
        <w:t>Three Months Ended</w:t>
      </w:r>
    </w:p>
    <w:p>
      <w:pPr>
        <w:ind w:left="724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67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r>
      <w:tr>
        <w:trPr>
          <w:trHeight w:val="128"/>
        </w:trPr>
        <w:tc>
          <w:tcPr>
            <w:tcW w:w="6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gridSpan w:val="4"/>
          </w:tcPr>
          <w:p>
            <w:pPr>
              <w:jc w:val="right"/>
              <w:ind w:right="411"/>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and other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134,875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180,824</w:t>
            </w:r>
          </w:p>
        </w:tc>
        <w:tc>
          <w:tcPr>
            <w:tcW w:w="20" w:type="dxa"/>
            <w:vAlign w:val="bottom"/>
          </w:tcPr>
          <w:p>
            <w:pPr>
              <w:spacing w:after="0"/>
              <w:rPr>
                <w:sz w:val="18"/>
                <w:szCs w:val="18"/>
                <w:color w:val="auto"/>
              </w:rPr>
            </w:pPr>
          </w:p>
        </w:tc>
      </w:tr>
      <w:tr>
        <w:trPr>
          <w:trHeight w:val="216"/>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20" w:type="dxa"/>
            <w:vAlign w:val="bottom"/>
          </w:tcPr>
          <w:p>
            <w:pPr>
              <w:spacing w:after="0"/>
              <w:rPr>
                <w:sz w:val="18"/>
                <w:szCs w:val="18"/>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135,794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181,697</w:t>
            </w:r>
          </w:p>
        </w:tc>
        <w:tc>
          <w:tcPr>
            <w:tcW w:w="20" w:type="dxa"/>
            <w:vAlign w:val="bottom"/>
          </w:tcPr>
          <w:p>
            <w:pPr>
              <w:spacing w:after="0"/>
              <w:rPr>
                <w:sz w:val="18"/>
                <w:szCs w:val="18"/>
                <w:color w:val="auto"/>
              </w:rPr>
            </w:pPr>
          </w:p>
        </w:tc>
      </w:tr>
      <w:tr>
        <w:trPr>
          <w:trHeight w:val="216"/>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49,380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63,249</w:t>
            </w:r>
          </w:p>
        </w:tc>
        <w:tc>
          <w:tcPr>
            <w:tcW w:w="20" w:type="dxa"/>
            <w:vAlign w:val="bottom"/>
          </w:tcPr>
          <w:p>
            <w:pPr>
              <w:spacing w:after="0"/>
              <w:rPr>
                <w:sz w:val="18"/>
                <w:szCs w:val="18"/>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86,414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118,448</w:t>
            </w:r>
          </w:p>
        </w:tc>
        <w:tc>
          <w:tcPr>
            <w:tcW w:w="20" w:type="dxa"/>
            <w:vAlign w:val="bottom"/>
          </w:tcPr>
          <w:p>
            <w:pPr>
              <w:spacing w:after="0"/>
              <w:rPr>
                <w:sz w:val="18"/>
                <w:szCs w:val="18"/>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49,885</w:t>
            </w:r>
          </w:p>
        </w:tc>
        <w:tc>
          <w:tcPr>
            <w:tcW w:w="20" w:type="dxa"/>
            <w:vAlign w:val="bottom"/>
          </w:tcPr>
          <w:p>
            <w:pPr>
              <w:spacing w:after="0"/>
              <w:rPr>
                <w:sz w:val="18"/>
                <w:szCs w:val="18"/>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18,647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23,076</w:t>
            </w:r>
          </w:p>
        </w:tc>
        <w:tc>
          <w:tcPr>
            <w:tcW w:w="20" w:type="dxa"/>
            <w:vAlign w:val="bottom"/>
          </w:tcPr>
          <w:p>
            <w:pPr>
              <w:spacing w:after="0"/>
              <w:rPr>
                <w:sz w:val="18"/>
                <w:szCs w:val="18"/>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35,235</w:t>
            </w:r>
          </w:p>
        </w:tc>
        <w:tc>
          <w:tcPr>
            <w:tcW w:w="20" w:type="dxa"/>
            <w:vAlign w:val="bottom"/>
          </w:tcPr>
          <w:p>
            <w:pPr>
              <w:spacing w:after="0"/>
              <w:rPr>
                <w:sz w:val="18"/>
                <w:szCs w:val="18"/>
                <w:color w:val="auto"/>
              </w:rPr>
            </w:pPr>
          </w:p>
        </w:tc>
      </w:tr>
      <w:tr>
        <w:trPr>
          <w:trHeight w:val="21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82,965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108,196</w:t>
            </w:r>
          </w:p>
        </w:tc>
        <w:tc>
          <w:tcPr>
            <w:tcW w:w="20" w:type="dxa"/>
            <w:vAlign w:val="bottom"/>
          </w:tcPr>
          <w:p>
            <w:pPr>
              <w:spacing w:after="0"/>
              <w:rPr>
                <w:sz w:val="18"/>
                <w:szCs w:val="18"/>
                <w:color w:val="auto"/>
              </w:rPr>
            </w:pPr>
          </w:p>
        </w:tc>
      </w:tr>
      <w:tr>
        <w:trPr>
          <w:trHeight w:val="209"/>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10,252</w:t>
            </w:r>
          </w:p>
        </w:tc>
        <w:tc>
          <w:tcPr>
            <w:tcW w:w="20" w:type="dxa"/>
            <w:vAlign w:val="bottom"/>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r>
      <w:tr>
        <w:trPr>
          <w:trHeight w:val="210"/>
        </w:trPr>
        <w:tc>
          <w:tcPr>
            <w:tcW w:w="67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10,135</w:t>
            </w:r>
          </w:p>
        </w:tc>
        <w:tc>
          <w:tcPr>
            <w:tcW w:w="20" w:type="dxa"/>
            <w:vAlign w:val="bottom"/>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(9,268)</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(20,797)</w:t>
            </w:r>
          </w:p>
        </w:tc>
        <w:tc>
          <w:tcPr>
            <w:tcW w:w="20" w:type="dxa"/>
            <w:vAlign w:val="bottom"/>
          </w:tcPr>
          <w:p>
            <w:pPr>
              <w:spacing w:after="0"/>
              <w:rPr>
                <w:sz w:val="18"/>
                <w:szCs w:val="18"/>
                <w:color w:val="auto"/>
              </w:rPr>
            </w:pPr>
          </w:p>
        </w:tc>
      </w:tr>
      <w:tr>
        <w:trPr>
          <w:trHeight w:val="210"/>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30,932</w:t>
            </w:r>
          </w:p>
        </w:tc>
        <w:tc>
          <w:tcPr>
            <w:tcW w:w="2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517" w:right="1440" w:bottom="1440" w:gutter="0" w:footer="0" w:header="0"/>
        </w:sect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The following table sets forth our statements of operations data as a percentage of total revenues for each of the periods indicated.</w:t>
      </w:r>
    </w:p>
    <w:p>
      <w:pPr>
        <w:spacing w:after="0" w:line="175"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Three Months Ended</w:t>
      </w:r>
    </w:p>
    <w:p>
      <w:pPr>
        <w:ind w:left="738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5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gridSpan w:val="4"/>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and other revenue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w w:val="97"/>
              </w:rPr>
              <w:t>99 %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3"/>
              <w:spacing w:after="0"/>
              <w:rPr>
                <w:sz w:val="20"/>
                <w:szCs w:val="20"/>
                <w:color w:val="auto"/>
              </w:rPr>
            </w:pPr>
            <w:r>
              <w:rPr>
                <w:rFonts w:ascii="Arial" w:cs="Arial" w:eastAsia="Arial" w:hAnsi="Arial"/>
                <w:sz w:val="18"/>
                <w:szCs w:val="18"/>
                <w:color w:val="auto"/>
              </w:rPr>
              <w:t>1 %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3"/>
              <w:spacing w:after="0"/>
              <w:rPr>
                <w:sz w:val="20"/>
                <w:szCs w:val="20"/>
                <w:color w:val="auto"/>
              </w:rPr>
            </w:pPr>
            <w:r>
              <w:rPr>
                <w:rFonts w:ascii="Arial" w:cs="Arial" w:eastAsia="Arial" w:hAnsi="Arial"/>
                <w:sz w:val="18"/>
                <w:szCs w:val="18"/>
                <w:color w:val="auto"/>
                <w:w w:val="97"/>
              </w:rPr>
              <w:t>36 %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64</w:t>
            </w:r>
          </w:p>
        </w:tc>
        <w:tc>
          <w:tcPr>
            <w:tcW w:w="240" w:type="dxa"/>
            <w:vAlign w:val="bottom"/>
            <w:tcBorders>
              <w:top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51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w w:val="97"/>
              </w:rPr>
              <w:t>28 %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3"/>
              <w:spacing w:after="0"/>
              <w:rPr>
                <w:sz w:val="20"/>
                <w:szCs w:val="20"/>
                <w:color w:val="auto"/>
              </w:rPr>
            </w:pPr>
            <w:r>
              <w:rPr>
                <w:rFonts w:ascii="Arial" w:cs="Arial" w:eastAsia="Arial" w:hAnsi="Arial"/>
                <w:sz w:val="18"/>
                <w:szCs w:val="18"/>
                <w:color w:val="auto"/>
                <w:w w:val="97"/>
              </w:rPr>
              <w:t>14 %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w w:val="97"/>
              </w:rPr>
              <w:t>20 %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62</w:t>
            </w:r>
          </w:p>
        </w:tc>
        <w:tc>
          <w:tcPr>
            <w:tcW w:w="24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4"/>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3"/>
              <w:spacing w:after="0"/>
              <w:rPr>
                <w:sz w:val="20"/>
                <w:szCs w:val="20"/>
                <w:color w:val="auto"/>
              </w:rPr>
            </w:pPr>
            <w:r>
              <w:rPr>
                <w:rFonts w:ascii="Arial" w:cs="Arial" w:eastAsia="Arial" w:hAnsi="Arial"/>
                <w:sz w:val="18"/>
                <w:szCs w:val="18"/>
                <w:color w:val="auto"/>
              </w:rPr>
              <w:t>0 %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3"/>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CCEEFF"/>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0"/>
              </w:rPr>
              <w:t>Comparison of Three Months Ended September 30, 2020 and 2021</w:t>
            </w: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1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85"/>
              </w:rPr>
              <w:t>Change</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and other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134,875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180,824</w:t>
            </w:r>
          </w:p>
        </w:tc>
        <w:tc>
          <w:tcPr>
            <w:tcW w:w="2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8"/>
              </w:rPr>
              <w:t>$ 45,949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99 %</w:t>
            </w:r>
          </w:p>
        </w:tc>
        <w:tc>
          <w:tcPr>
            <w:tcW w:w="1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on funds held for clients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1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0"/>
                <w:szCs w:val="20"/>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0 %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Recurring and other revenue</w:t>
      </w:r>
    </w:p>
    <w:p>
      <w:pPr>
        <w:spacing w:after="0" w:line="225"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Recurring and other revenue for the three months ended September 30, 2021 increased by $45.9 million, or 34%, to $180.8 million from $134.9 million for three months ended September 30, 2020. Recurring and other revenue increased primarily as a result of incremental revenues from new and existing clients due to the strong performance by our sales team and improved macroeconomic conditions compared to the prior fiscal year.</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Interest income on funds held for clients for the three months ended September 30, 2021 decreased by 5% from the three months ended September 30, 2020. Interest income on funds held for clients continues to be impacted by the low interest rate environment due to the interest rate cuts by the Federal Reserve in response to the COVID-19 pandemic. The impact from the lower interest rates was partially offset by higher average daily balances for funds held due to the addition of new clients to our client base and increases in client employee counts on our platform.</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0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20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$ 49,380</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$ 63,249</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85"/>
              </w:rPr>
              <w:t>$ 13,869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36 %</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35 %</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64 %</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65 %</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Cost of revenues for the three months ended September 30, 2021 increased by $13.9 million, or 28%, to $63.2 million from $49.4 million for the three months ended September 30, 2020. Cost of revenues increased primarily as a result of the continued growth of our business, in particular, $8.3 million in additional employee-related costs resulting from additional personnel necessary to provide services to new and existing clients and $4.0 million in additional delivery and other processing costs.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 thousands)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9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7"/>
              </w:rPr>
              <w:t>Change</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9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$ 37,674</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$ 49,885</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88"/>
              </w:rPr>
              <w:t>$ 12,211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28 %</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27 %</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Sales and marketing expenses for the three months ended September 30, 2021 increased by $12.2 million, or 32%, to $49.9 million from $37.7 million for the three months ended September 30, 2020. The increase in sales and marketing expense was primarily due to additional employee-related costs, including those incurred to expand our sales team, and an increase in overall spending on travel and entertainment as COVID-19 pandemic restrictions eased within the United States. The increase was also driven by higher stock-based compensation costs associated with our equity incentive plan.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0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w w:val="97"/>
              </w:rPr>
              <w:t>Change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20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$ 18,647</w:t>
            </w: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$ 23,076</w:t>
            </w: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86"/>
              </w:rPr>
              <w:t>$ 4,429</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14 %</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13 %</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Research and development expenses for the three months ended September 30, 2021 increased by $4.4 million, or 24%, to $23.1 million from $18.6 million for the three months ended September 30, 2020. The increase in research and development expenses was primarily the result of $3.7 million of additional employee-related costs related to additional development personnel.</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0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20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$ 26,644</w:t>
            </w: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$ 35,235</w:t>
            </w: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86"/>
              </w:rPr>
              <w:t>$ 8,591</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20 %</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19 %</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ectPr>
          <w:pgSz w:w="11900" w:h="16838" w:orient="portrait"/>
          <w:cols w:equalWidth="0" w:num="1">
            <w:col w:w="9019"/>
          </w:cols>
          <w:pgMar w:left="1440" w:top="517" w:right="1440" w:bottom="1440" w:gutter="0" w:footer="0" w:header="0"/>
        </w:sect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General and administrative expenses for the three months ended September 30, 2021 increased by $8.6 million, or 32%, to $35.2 million from $26.6 million for the three months ended September 30, 2020. The increase in general and administrative expense was primarily the result of $3.1 million in additional 401(k) expense, additional employee-related costs of $2.5 million and an increase of $1.8 million in stock-based compensation costs associated with our equity incentive plan.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Expense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9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97"/>
              </w:rPr>
              <w:t>Change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9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(257)</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(117)</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0 %</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0 %</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Other expense did not materially change for the three months ended September 30, 2021 as compared to the three months ended September 30, 2020.</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left="60" w:right="99" w:firstLine="630"/>
        <w:spacing w:after="0" w:line="257" w:lineRule="auto"/>
        <w:rPr>
          <w:sz w:val="20"/>
          <w:szCs w:val="20"/>
          <w:color w:val="auto"/>
        </w:rPr>
      </w:pPr>
      <w:r>
        <w:rPr>
          <w:rFonts w:ascii="Arial" w:cs="Arial" w:eastAsia="Arial" w:hAnsi="Arial"/>
          <w:sz w:val="18"/>
          <w:szCs w:val="18"/>
          <w:color w:val="auto"/>
        </w:rPr>
        <w:t>Our effective tax rate was (290.3)% and (205.2)% for the three months ended September 30, 2020 and 2021, respectively. Our effective tax rate for the three months ended September 30, 2020 and September 30, 2021 was lower than the federal statutory rate of 21% primarily due to excess tax benefits from employee stock-based compensation and research and development tax credits, partially offset by an increase to the valuation allowance for the period ended September 30,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Quarterly Trends and Seasonality</w:t>
      </w:r>
    </w:p>
    <w:p>
      <w:pPr>
        <w:spacing w:after="0" w:line="229"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24"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The seasonal fluctuations in revenues also positively impact gross profits during our fiscal third quarter. Our historical results for our fiscal third quarter should not be considered a reliable indicator of our future results of operations.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may differ from our estimates under different assumptions or conditions and, to the extent that there are differences between our estimates and actual results, our future financial statement presentation, financial condition, results of operations and cash flows will be affected.</w:t>
      </w:r>
    </w:p>
    <w:p>
      <w:pPr>
        <w:spacing w:after="0" w:line="181" w:lineRule="exact"/>
        <w:rPr>
          <w:sz w:val="20"/>
          <w:szCs w:val="20"/>
          <w:color w:val="auto"/>
        </w:rPr>
      </w:pPr>
    </w:p>
    <w:p>
      <w:pPr>
        <w:ind w:left="60" w:right="439" w:firstLine="648"/>
        <w:spacing w:after="0" w:line="342" w:lineRule="auto"/>
        <w:rPr>
          <w:sz w:val="20"/>
          <w:szCs w:val="20"/>
          <w:color w:val="auto"/>
        </w:rPr>
      </w:pPr>
      <w:r>
        <w:rPr>
          <w:rFonts w:ascii="Arial" w:cs="Arial" w:eastAsia="Arial" w:hAnsi="Arial"/>
          <w:sz w:val="16"/>
          <w:szCs w:val="16"/>
          <w:color w:val="auto"/>
        </w:rPr>
        <w:t>Accounting estimates used in the preparation of these consolidated financial statements change as new events occur, as mor experience is acquired, as additional information is obtained and as the operating environment changes.</w:t>
      </w:r>
    </w:p>
    <w:p>
      <w:pPr>
        <w:sectPr>
          <w:pgSz w:w="11900" w:h="16838" w:orient="portrait"/>
          <w:cols w:equalWidth="0" w:num="1">
            <w:col w:w="9019"/>
          </w:cols>
          <w:pgMar w:left="1440" w:top="517"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342" w:lineRule="auto"/>
        <w:rPr>
          <w:sz w:val="20"/>
          <w:szCs w:val="20"/>
          <w:color w:val="auto"/>
        </w:rPr>
      </w:pPr>
      <w:r>
        <w:rPr>
          <w:rFonts w:ascii="Arial" w:cs="Arial" w:eastAsia="Arial" w:hAnsi="Arial"/>
          <w:sz w:val="16"/>
          <w:szCs w:val="16"/>
          <w:color w:val="auto"/>
        </w:rPr>
        <w:t>Our critical accounting policies and use of estimates are disclosed in our audited consolidated financial statements for the year ended June 30, 2021 included in our Annual Report on Form 10-K filed with the SEC on August 6, 2021.</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Our primary liquidity needs are related to the funding of general business requirements, including working capital requirements, research and development, and capital expenditures. As of September 30, 2021, our principal sources of liquidity were $66.4 million of cash and cash equivalents and $3.2 million of total corporate investments. In July 2019, we entered into and currently maintain a five-year revolving credit agreement. This credit agreement provides for a $250.0 million senior revolving credit facility which may be increased up to $375.0 million. No amounts were drawn on the revolving credit facility as of September 30, 2021.</w:t>
      </w:r>
    </w:p>
    <w:p>
      <w:pPr>
        <w:spacing w:after="0" w:line="178" w:lineRule="exact"/>
        <w:rPr>
          <w:sz w:val="20"/>
          <w:szCs w:val="20"/>
          <w:color w:val="auto"/>
        </w:rPr>
      </w:pPr>
    </w:p>
    <w:p>
      <w:pPr>
        <w:ind w:left="60" w:right="239" w:firstLine="648"/>
        <w:spacing w:after="0" w:line="301" w:lineRule="auto"/>
        <w:rPr>
          <w:sz w:val="20"/>
          <w:szCs w:val="20"/>
          <w:color w:val="auto"/>
        </w:rPr>
      </w:pPr>
      <w:r>
        <w:rPr>
          <w:rFonts w:ascii="Arial" w:cs="Arial" w:eastAsia="Arial" w:hAnsi="Arial"/>
          <w:sz w:val="16"/>
          <w:szCs w:val="16"/>
          <w:color w:val="auto"/>
        </w:rPr>
        <w:t>We invest portions of our excess cash and cash equivalents in highly liquid, investment-grade marketable securities. These investments consist of commercial paper, corporate debt issuances, asset-backed debt securities, certificates of deposit, U.S. government agency securities and other securities with credit quality ratings of A-1 or higher. As of September 30, 2021, we had not recognized any credit impairment losses related to our investment portfolio.</w:t>
      </w:r>
    </w:p>
    <w:p>
      <w:pPr>
        <w:spacing w:after="0" w:line="157"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In order to grow our business, we intend to increase our personnel and related expenses and to make significant investments in our platform, data centers and general infrastructure. The timing and amount of these investments will vary based on our financial condition, the rate at which we add new clients and new personnel and the scale of our module development, data centers and other activities.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and corporate investments or utilize the borrowing capacity under our credit facility to satisfy those needs.</w:t>
      </w:r>
    </w:p>
    <w:p>
      <w:pPr>
        <w:spacing w:after="0" w:line="166"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Funds held for clients and client fund obligations will vary substantially from period to period as a result of the timing of payroll and tax obligations due. Our payroll processing activities involve the movement of significant funds from accounts of employers to employees and relevant taxing authorities.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eleven banks major U.S. Banks to execute ACH and wire transfers to support our client payroll and tax services. We believe we have sufficient capacity under these ACH arrangements to handle all transaction volumes for the foreseeable future. We primarily collect fees for our services via ACH transactions at the same time we debit the client’s account for payroll and tax obligations and thus are able to reduce collectability and accounts receivable risks.</w:t>
      </w:r>
    </w:p>
    <w:p>
      <w:pPr>
        <w:spacing w:after="0" w:line="185" w:lineRule="exact"/>
        <w:rPr>
          <w:sz w:val="20"/>
          <w:szCs w:val="20"/>
          <w:color w:val="auto"/>
        </w:rPr>
      </w:pPr>
    </w:p>
    <w:p>
      <w:pPr>
        <w:jc w:val="both"/>
        <w:ind w:left="60" w:right="259" w:firstLine="648"/>
        <w:spacing w:after="0" w:line="311" w:lineRule="auto"/>
        <w:rPr>
          <w:sz w:val="20"/>
          <w:szCs w:val="20"/>
          <w:color w:val="auto"/>
        </w:rPr>
      </w:pPr>
      <w:r>
        <w:rPr>
          <w:rFonts w:ascii="Arial" w:cs="Arial" w:eastAsia="Arial" w:hAnsi="Arial"/>
          <w:sz w:val="16"/>
          <w:szCs w:val="16"/>
          <w:color w:val="auto"/>
        </w:rPr>
        <w:t>We believe our current cash and cash equivalents, corporate investments, future cash flow from operations, and access to our credit facility will be sufficient to meet our ongoing working capital, capital expenditure and other liquidity requirements for at least the next 12 months, and thereafter, for the foreseeable future.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data regarding cash flows for the periods indicated:</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1"/>
        </w:trPr>
        <w:tc>
          <w:tcPr>
            <w:tcW w:w="6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64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0" w:type="dxa"/>
            <w:vAlign w:val="bottom"/>
          </w:tcPr>
          <w:p>
            <w:pPr>
              <w:spacing w:after="0"/>
              <w:rPr>
                <w:sz w:val="1"/>
                <w:szCs w:val="1"/>
                <w:color w:val="auto"/>
              </w:rPr>
            </w:pP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available-for-sale securities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(135,849)</w:t>
            </w:r>
          </w:p>
        </w:tc>
        <w:tc>
          <w:tcPr>
            <w:tcW w:w="0" w:type="dxa"/>
            <w:vAlign w:val="bottom"/>
          </w:tcPr>
          <w:p>
            <w:pPr>
              <w:spacing w:after="0"/>
              <w:rPr>
                <w:sz w:val="1"/>
                <w:szCs w:val="1"/>
                <w:color w:val="auto"/>
              </w:rPr>
            </w:pPr>
          </w:p>
        </w:tc>
      </w:tr>
      <w:tr>
        <w:trPr>
          <w:trHeight w:val="216"/>
        </w:trPr>
        <w:tc>
          <w:tcPr>
            <w:tcW w:w="6460" w:type="dxa"/>
            <w:vAlign w:val="bottom"/>
          </w:tcPr>
          <w:p>
            <w:pPr>
              <w:ind w:left="340"/>
              <w:spacing w:after="0"/>
              <w:rPr>
                <w:sz w:val="20"/>
                <w:szCs w:val="20"/>
                <w:color w:val="auto"/>
              </w:rPr>
            </w:pPr>
            <w:r>
              <w:rPr>
                <w:rFonts w:ascii="Arial" w:cs="Arial" w:eastAsia="Arial" w:hAnsi="Arial"/>
                <w:sz w:val="18"/>
                <w:szCs w:val="18"/>
                <w:color w:val="auto"/>
              </w:rPr>
              <w:t>Proceeds from sales and maturities of available-for-sale securities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37,493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9,648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internal-use software costs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(7,884)</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(9,159)</w:t>
            </w:r>
          </w:p>
        </w:tc>
        <w:tc>
          <w:tcPr>
            <w:tcW w:w="0" w:type="dxa"/>
            <w:vAlign w:val="bottom"/>
          </w:tcPr>
          <w:p>
            <w:pPr>
              <w:spacing w:after="0"/>
              <w:rPr>
                <w:sz w:val="1"/>
                <w:szCs w:val="1"/>
                <w:color w:val="auto"/>
              </w:rPr>
            </w:pPr>
          </w:p>
        </w:tc>
      </w:tr>
      <w:tr>
        <w:trPr>
          <w:trHeight w:val="216"/>
        </w:trPr>
        <w:tc>
          <w:tcPr>
            <w:tcW w:w="646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(2,045)</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business, net of cash acquired</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(59,581)</w:t>
            </w:r>
          </w:p>
        </w:tc>
        <w:tc>
          <w:tcPr>
            <w:tcW w:w="0" w:type="dxa"/>
            <w:vAlign w:val="bottom"/>
          </w:tcPr>
          <w:p>
            <w:pPr>
              <w:spacing w:after="0"/>
              <w:rPr>
                <w:sz w:val="1"/>
                <w:szCs w:val="1"/>
                <w:color w:val="auto"/>
              </w:rPr>
            </w:pPr>
          </w:p>
        </w:tc>
      </w:tr>
      <w:tr>
        <w:trPr>
          <w:trHeight w:val="210"/>
        </w:trPr>
        <w:tc>
          <w:tcPr>
            <w:tcW w:w="6460" w:type="dxa"/>
            <w:vAlign w:val="bottom"/>
          </w:tcPr>
          <w:p>
            <w:pPr>
              <w:ind w:left="44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27,564</w:t>
            </w: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(198,161)</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340"/>
              <w:spacing w:after="0"/>
              <w:rPr>
                <w:sz w:val="20"/>
                <w:szCs w:val="20"/>
                <w:color w:val="auto"/>
              </w:rPr>
            </w:pPr>
            <w:r>
              <w:rPr>
                <w:rFonts w:ascii="Arial" w:cs="Arial" w:eastAsia="Arial" w:hAnsi="Arial"/>
                <w:sz w:val="18"/>
                <w:szCs w:val="18"/>
                <w:color w:val="auto"/>
              </w:rPr>
              <w:t>Net change in client fund obligations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51,671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1,425,782</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paid related to net share settlement of equity awards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(33,402)</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(60,809)</w:t>
            </w:r>
          </w:p>
        </w:tc>
        <w:tc>
          <w:tcPr>
            <w:tcW w:w="0" w:type="dxa"/>
            <w:vAlign w:val="bottom"/>
          </w:tcPr>
          <w:p>
            <w:pPr>
              <w:spacing w:after="0"/>
              <w:rPr>
                <w:sz w:val="1"/>
                <w:szCs w:val="1"/>
                <w:color w:val="auto"/>
              </w:rPr>
            </w:pPr>
          </w:p>
        </w:tc>
      </w:tr>
      <w:tr>
        <w:trPr>
          <w:trHeight w:val="216"/>
        </w:trPr>
        <w:tc>
          <w:tcPr>
            <w:tcW w:w="6460" w:type="dxa"/>
            <w:vAlign w:val="bottom"/>
          </w:tcPr>
          <w:p>
            <w:pPr>
              <w:ind w:left="340"/>
              <w:spacing w:after="0"/>
              <w:rPr>
                <w:sz w:val="20"/>
                <w:szCs w:val="20"/>
                <w:color w:val="auto"/>
              </w:rPr>
            </w:pPr>
            <w:r>
              <w:rPr>
                <w:rFonts w:ascii="Arial" w:cs="Arial" w:eastAsia="Arial" w:hAnsi="Arial"/>
                <w:sz w:val="18"/>
                <w:szCs w:val="18"/>
                <w:color w:val="auto"/>
              </w:rPr>
              <w:t>Payment of debt issuance costs</w:t>
            </w: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64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18,260</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1,364,964</w:t>
            </w:r>
          </w:p>
        </w:tc>
        <w:tc>
          <w:tcPr>
            <w:tcW w:w="0" w:type="dxa"/>
            <w:vAlign w:val="bottom"/>
          </w:tcPr>
          <w:p>
            <w:pPr>
              <w:spacing w:after="0"/>
              <w:rPr>
                <w:sz w:val="1"/>
                <w:szCs w:val="1"/>
                <w:color w:val="auto"/>
              </w:rPr>
            </w:pPr>
          </w:p>
        </w:tc>
      </w:tr>
      <w:tr>
        <w:trPr>
          <w:trHeight w:val="182"/>
        </w:trPr>
        <w:tc>
          <w:tcPr>
            <w:tcW w:w="6460" w:type="dxa"/>
            <w:vAlign w:val="bottom"/>
          </w:tcPr>
          <w:p>
            <w:pPr>
              <w:ind w:left="20"/>
              <w:spacing w:after="0" w:line="182" w:lineRule="exact"/>
              <w:rPr>
                <w:sz w:val="20"/>
                <w:szCs w:val="20"/>
                <w:color w:val="auto"/>
              </w:rPr>
            </w:pPr>
            <w:r>
              <w:rPr>
                <w:rFonts w:ascii="Arial" w:cs="Arial" w:eastAsia="Arial" w:hAnsi="Arial"/>
                <w:sz w:val="18"/>
                <w:szCs w:val="18"/>
                <w:color w:val="auto"/>
              </w:rPr>
              <w:t>Net change in cash, cash equivalents and funds held for clients' cash and cash</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44,257</w:t>
            </w:r>
          </w:p>
        </w:tc>
        <w:tc>
          <w:tcPr>
            <w:tcW w:w="200" w:type="dxa"/>
            <w:vAlign w:val="bottom"/>
          </w:tcPr>
          <w:p>
            <w:pPr>
              <w:spacing w:after="0"/>
              <w:rPr>
                <w:sz w:val="15"/>
                <w:szCs w:val="15"/>
                <w:color w:val="auto"/>
              </w:rPr>
            </w:pPr>
          </w:p>
        </w:tc>
        <w:tc>
          <w:tcPr>
            <w:tcW w:w="380" w:type="dxa"/>
            <w:vAlign w:val="bottom"/>
            <w:vMerge w:val="restart"/>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87"/>
              </w:rPr>
              <w:t>1,162,671</w:t>
            </w:r>
          </w:p>
        </w:tc>
        <w:tc>
          <w:tcPr>
            <w:tcW w:w="0" w:type="dxa"/>
            <w:vAlign w:val="bottom"/>
          </w:tcPr>
          <w:p>
            <w:pPr>
              <w:spacing w:after="0"/>
              <w:rPr>
                <w:sz w:val="1"/>
                <w:szCs w:val="1"/>
                <w:color w:val="auto"/>
              </w:rPr>
            </w:pPr>
          </w:p>
        </w:tc>
      </w:tr>
      <w:tr>
        <w:trPr>
          <w:trHeight w:val="222"/>
        </w:trPr>
        <w:tc>
          <w:tcPr>
            <w:tcW w:w="6460" w:type="dxa"/>
            <w:vAlign w:val="bottom"/>
          </w:tcPr>
          <w:p>
            <w:pPr>
              <w:ind w:left="20"/>
              <w:spacing w:after="0"/>
              <w:rPr>
                <w:sz w:val="20"/>
                <w:szCs w:val="20"/>
                <w:color w:val="auto"/>
              </w:rPr>
            </w:pPr>
            <w:r>
              <w:rPr>
                <w:rFonts w:ascii="Arial" w:cs="Arial" w:eastAsia="Arial" w:hAnsi="Arial"/>
                <w:sz w:val="18"/>
                <w:szCs w:val="18"/>
                <w:color w:val="auto"/>
              </w:rPr>
              <w:t>equivalents</w:t>
            </w:r>
          </w:p>
        </w:tc>
        <w:tc>
          <w:tcPr>
            <w:tcW w:w="24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Net cash used in operating activities was $1.6 million and $4.1 million for the three months ended September 30, 2020 and 2021, respectively. The increase in net cash used in operating activities from three months ended September 30, 2020 to the three months ended September 30, 2021 was primarily due to net changes in operating assets and liabilities, partially offset by improved operating results after adjusting for non-cash items including stock-based compensation expense, depreciation and amortization expense and deferred income tax benefit during the three months ended September 30, 2021.</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Net cash provided by (used in) investing activities was $27.6 million and ($198.2) million for the three months ended September 30, 2020 and 2021, respectively. The net cash used in investing activities is significantly impacted by the timing of purchases and sales and maturities of investments as we invest portions of excess corporate cash and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161"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The change in net cash provided by (used in) investing activities was primarily due to purchases of available-for-sale securities of $135.8 million, $59.6 million related to the acquisition of Blue Marble Payroll, LLC and a $27.8 million decrease in proceeds from sales and maturities of available-for-sale securities during the three months ended September 30, 2020 as compared to the three months ended September 30,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Net cash provided by financing activities was $18.3 million and $1,365.0 million for the three months ended September 30, 2020 and 2021, respectively. The change in net cash provided by financing activities was primarily the result of an increase in client fund obligations of $1,374.1 million due to the timing of client funds collected and related remittance of those funds to client employees and taxing authorities, partially offset by $27.4 million in increased taxes paid related to net share settlement of equity awards during the three months ended September 30, 2021 as compared to the three months ended September 30, 2020.</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Our principal commitments consist of operating lease obligations. The following table summarizes our contractual obligations at September 30, 2021:</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Payment Due By Fiscal Period</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Less than 1</w:t>
            </w: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1-3 Years</w:t>
            </w: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3-5 Years</w:t>
            </w:r>
          </w:p>
        </w:tc>
        <w:tc>
          <w:tcPr>
            <w:tcW w:w="7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4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w:t>
            </w:r>
          </w:p>
        </w:tc>
        <w:tc>
          <w:tcPr>
            <w:tcW w:w="8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20" w:type="dxa"/>
            <w:vAlign w:val="bottom"/>
          </w:tcPr>
          <w:p>
            <w:pPr>
              <w:jc w:val="right"/>
              <w:ind w:right="38"/>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89,019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$ 10,313</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$ 19,919</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$ 18,550</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$ 40,237</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 obligations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18,911</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11,355</w:t>
            </w: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6,989</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107,930</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$ 21,668</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$ 26,908</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$ 19,117</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$ 40,237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jc w:val="both"/>
        <w:ind w:left="60" w:right="139" w:firstLine="648"/>
        <w:spacing w:after="0" w:line="286" w:lineRule="auto"/>
        <w:rPr>
          <w:sz w:val="20"/>
          <w:szCs w:val="20"/>
          <w:color w:val="auto"/>
        </w:rPr>
      </w:pPr>
      <w:r>
        <w:rPr>
          <w:rFonts w:ascii="Arial" w:cs="Arial" w:eastAsia="Arial" w:hAnsi="Arial"/>
          <w:sz w:val="16"/>
          <w:szCs w:val="16"/>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w:t>
      </w:r>
    </w:p>
    <w:p>
      <w:pPr>
        <w:spacing w:after="0" w:line="1" w:lineRule="exact"/>
        <w:rPr>
          <w:sz w:val="20"/>
          <w:szCs w:val="20"/>
          <w:color w:val="auto"/>
        </w:rPr>
      </w:pPr>
    </w:p>
    <w:p>
      <w:pPr>
        <w:ind w:left="60" w:right="219"/>
        <w:spacing w:after="0" w:line="260" w:lineRule="auto"/>
        <w:rPr>
          <w:sz w:val="20"/>
          <w:szCs w:val="20"/>
          <w:color w:val="auto"/>
        </w:rPr>
      </w:pPr>
      <w:r>
        <w:rPr>
          <w:rFonts w:ascii="Arial" w:cs="Arial" w:eastAsia="Arial" w:hAnsi="Arial"/>
          <w:sz w:val="18"/>
          <w:szCs w:val="18"/>
          <w:color w:val="auto"/>
        </w:rPr>
        <w:t>$2.0 million and $3.2 million for three months ended September 30, 2020 and 2021, respectively, exclusive of capitalized internal-use software costs of $7.9 million and $9.2 million for the same periods, respectively.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color w:val="auto"/>
        </w:rPr>
        <w:t>Refer to Note 2 of the Notes to the Unaudited Consolidated Financial Statements for a discussion of recently issued accounting standards.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We have operations primarily in the United States and are exposed to market risks in the ordinary course of our business. These risks primarily include interest rate and certain other exposures as well as risks relating to changes in the general economic conditions in the United States. As discussed in Item 2. Management’s Discussion and Analysis of Financial Condition and Results of operations, the novel coronavirus disease (“COVID-19”) pandemic has disrupted the global economy and financial markets and may unfavorably impact our future business and financial performance. Refer to “Part I. Item 1A. Risk Factors” on our Annual Report on Form 10-K filed with the SEC on August 6, 2021 for risks related to the COVID-19 pandemic.</w:t>
      </w:r>
    </w:p>
    <w:p>
      <w:pPr>
        <w:spacing w:after="0" w:line="195"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We have not used, nor do we intend to use, derivatives to mitigate the impact of interest rate or other exposure or for trading or speculative purposes.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As of September 30, 2021, we had cash and cash equivalents of $66.4 million, corporate investments of $3.2 million and funds held for clients of $3,185.5 million. We deposit our cash and cash equivalents and significant portions of our funds held for clients in demand deposit accounts with various financial institutions. We invest portions of our excess cash and cash equivalents and funds held for clients in marketable securities including commercial paper, corporate debt issuances, asset-backed debt securities, certificates of deposit, U.S. government agency securities and other which were classified as available-for-sale securities as of September 30, 2021.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65"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due to expected credit losses. We have not recorded any credit impairment losses on our portfolio to date.</w:t>
      </w:r>
    </w:p>
    <w:p>
      <w:pPr>
        <w:spacing w:after="0" w:line="195"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Based upon a sensitivity model that measures market value changes caused by interest rate fluctuations, an immediate 100-basis point change in interest rates would have had an immaterial effect on the market value of our available-for-sale securities as of September 30, 2021. Fluctuations in the value of our available-for-sale securities caused by changes in interest rates are recorded in other comprehensive income and are only realized if we sell the underlying securities.</w:t>
      </w:r>
    </w:p>
    <w:p>
      <w:pPr>
        <w:spacing w:after="0" w:line="188"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color w:val="212529"/>
        </w:rPr>
        <w:t xml:space="preserve">Additionally, as described in </w:t>
      </w:r>
      <w:r>
        <w:rPr>
          <w:rFonts w:ascii="Arial" w:cs="Arial" w:eastAsia="Arial" w:hAnsi="Arial"/>
          <w:sz w:val="18"/>
          <w:szCs w:val="18"/>
          <w:color w:val="000000"/>
        </w:rPr>
        <w:t>Note 8 of the Notes to the Unaudited Consolidated Financial Statements</w:t>
      </w:r>
      <w:r>
        <w:rPr>
          <w:rFonts w:ascii="Arial" w:cs="Arial" w:eastAsia="Arial" w:hAnsi="Arial"/>
          <w:sz w:val="18"/>
          <w:szCs w:val="18"/>
          <w:color w:val="212529"/>
        </w:rPr>
        <w:t xml:space="preserve"> we entered into a credit agreement that provides for a revolving credit facility (“credit facility”) in the aggregate amount of $250.0 million, which may be increased up to $375.0 million. Borrowings under the credit facility generally bear interest at a rate based upon the London Interbank Offered Rate (“LIBOR”) (or a replacement rate for LIBOR) or, at our sole option, an adjusted base rate plus an applicable margin based on our then-applicable net senior secured leverage ratio. As of September 30, 2021, there were no amounts drawn on the credit facility. To the extent that we draw additional amounts under the credit facility, we may be exposed to increased market risk from changes in the underlying index rates, which affects our interest expense.</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Inflation Risk</w:t>
      </w:r>
    </w:p>
    <w:p>
      <w:pPr>
        <w:spacing w:after="0" w:line="229" w:lineRule="exact"/>
        <w:rPr>
          <w:sz w:val="20"/>
          <w:szCs w:val="20"/>
          <w:color w:val="auto"/>
        </w:rPr>
      </w:pPr>
    </w:p>
    <w:p>
      <w:pPr>
        <w:ind w:left="60" w:right="319" w:firstLine="648"/>
        <w:spacing w:after="0" w:line="254"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95"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of September 30, 2021,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There were no changes to our internal control over financial reporting during the three-month period covered by this Quarterly Report on Form 10-Q that have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579" w:firstLine="648"/>
        <w:spacing w:after="0" w:line="308" w:lineRule="auto"/>
        <w:rPr>
          <w:sz w:val="20"/>
          <w:szCs w:val="20"/>
          <w:color w:val="auto"/>
        </w:rPr>
      </w:pPr>
      <w:r>
        <w:rPr>
          <w:rFonts w:ascii="Arial" w:cs="Arial" w:eastAsia="Arial" w:hAnsi="Arial"/>
          <w:sz w:val="17"/>
          <w:szCs w:val="17"/>
          <w:color w:val="auto"/>
        </w:rPr>
        <w:t>There have been no material changes in our risk factors disclosed in “Item 1A. Risk Factors” of our Annual Report on Form 10-K for the fiscal year ended June 30, 2021 filed with the SEC on August 6, 2021.</w:t>
      </w:r>
    </w:p>
    <w:p>
      <w:pPr>
        <w:spacing w:after="0" w:line="142"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 Sales of Unregistered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Use of Proceeds</w:t>
      </w:r>
    </w:p>
    <w:p>
      <w:pPr>
        <w:spacing w:after="0" w:line="229"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95"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On December 17, 2014, we completed a follow-on offering of 4,960,000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as described in the final prospectus filed with the SEC pursuant to Rule 424(b) on December 12, 2014.</w:t>
      </w:r>
    </w:p>
    <w:p>
      <w:pPr>
        <w:spacing w:after="0" w:line="188"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information required by this Item is set forth in the Index to Exhibits immediately following this page.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80" w:type="dxa"/>
            <w:vAlign w:val="bottom"/>
            <w:gridSpan w:val="12"/>
          </w:tcPr>
          <w:p>
            <w:pPr>
              <w:ind w:left="40"/>
              <w:spacing w:after="0"/>
              <w:rPr>
                <w:sz w:val="20"/>
                <w:szCs w:val="20"/>
                <w:color w:val="auto"/>
              </w:rPr>
            </w:pPr>
            <w:r>
              <w:rPr>
                <w:rFonts w:ascii="Arial" w:cs="Arial" w:eastAsia="Arial" w:hAnsi="Arial"/>
                <w:sz w:val="18"/>
                <w:szCs w:val="18"/>
                <w:b w:val="1"/>
                <w:bCs w:val="1"/>
                <w:color w:val="auto"/>
              </w:rPr>
              <w:t>INDEX TO EXHIBITS</w:t>
            </w:r>
          </w:p>
        </w:tc>
      </w:tr>
      <w:tr>
        <w:trPr>
          <w:trHeight w:val="413"/>
        </w:trPr>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Nos.</w:t>
            </w: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20" w:type="dxa"/>
            <w:vAlign w:val="bottom"/>
            <w:gridSpan w:val="11"/>
          </w:tcPr>
          <w:p>
            <w:pPr>
              <w:ind w:left="1100"/>
              <w:spacing w:after="0"/>
              <w:rPr>
                <w:sz w:val="20"/>
                <w:szCs w:val="20"/>
                <w:color w:val="auto"/>
              </w:rPr>
            </w:pPr>
            <w:r>
              <w:rPr>
                <w:rFonts w:ascii="Arial" w:cs="Arial" w:eastAsia="Arial" w:hAnsi="Arial"/>
                <w:sz w:val="14"/>
                <w:szCs w:val="14"/>
                <w:b w:val="1"/>
                <w:bCs w:val="1"/>
                <w:color w:val="auto"/>
              </w:rPr>
              <w:t>Description</w:t>
            </w:r>
          </w:p>
        </w:tc>
      </w:tr>
      <w:tr>
        <w:trPr>
          <w:trHeight w:val="432"/>
        </w:trPr>
        <w:tc>
          <w:tcPr>
            <w:tcW w:w="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7100" w:type="dxa"/>
            <w:vAlign w:val="bottom"/>
            <w:tcBorders>
              <w:top w:val="single" w:sz="8" w:color="auto"/>
              <w:bottom w:val="single" w:sz="8" w:color="0000EE"/>
            </w:tcBorders>
            <w:gridSpan w:val="6"/>
          </w:tcPr>
          <w:p>
            <w:pPr>
              <w:spacing w:after="0"/>
              <w:rPr>
                <w:rFonts w:ascii="Arial" w:cs="Arial" w:eastAsia="Arial" w:hAnsi="Arial"/>
                <w:sz w:val="18"/>
                <w:szCs w:val="18"/>
                <w:color w:val="0000EE"/>
                <w:w w:val="92"/>
              </w:rPr>
            </w:pPr>
            <w:hyperlink r:id="rId55">
              <w:r>
                <w:rPr>
                  <w:rFonts w:ascii="Arial" w:cs="Arial" w:eastAsia="Arial" w:hAnsi="Arial"/>
                  <w:sz w:val="18"/>
                  <w:szCs w:val="18"/>
                  <w:color w:val="0000EE"/>
                  <w:w w:val="92"/>
                </w:rPr>
                <w:t>First Amended and Restated Certificate of Incorporation (filed as Exhibit 3.2 of Paylocity Holding</w:t>
              </w:r>
            </w:hyperlink>
          </w:p>
        </w:tc>
        <w:tc>
          <w:tcPr>
            <w:tcW w:w="660" w:type="dxa"/>
            <w:vAlign w:val="bottom"/>
            <w:tcBorders>
              <w:top w:val="single" w:sz="8" w:color="auto"/>
            </w:tcBorders>
            <w:gridSpan w:val="7"/>
          </w:tcPr>
          <w:p>
            <w:pPr>
              <w:spacing w:after="0"/>
              <w:rPr>
                <w:sz w:val="24"/>
                <w:szCs w:val="24"/>
                <w:color w:val="auto"/>
              </w:rPr>
            </w:pPr>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760" w:type="dxa"/>
            <w:vAlign w:val="bottom"/>
            <w:gridSpan w:val="13"/>
          </w:tcPr>
          <w:p>
            <w:pPr>
              <w:spacing w:after="0"/>
              <w:rPr>
                <w:rFonts w:ascii="Arial" w:cs="Arial" w:eastAsia="Arial" w:hAnsi="Arial"/>
                <w:sz w:val="18"/>
                <w:szCs w:val="18"/>
                <w:color w:val="0000EE"/>
              </w:rPr>
            </w:pPr>
            <w:hyperlink r:id="rId55">
              <w:r>
                <w:rPr>
                  <w:rFonts w:ascii="Arial" w:cs="Arial" w:eastAsia="Arial" w:hAnsi="Arial"/>
                  <w:sz w:val="18"/>
                  <w:szCs w:val="18"/>
                  <w:color w:val="0000EE"/>
                </w:rPr>
                <w:t>Corporation’s Form S-1 Registration Statement (Registration No. 333-193661)).</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880" w:type="dxa"/>
            <w:vAlign w:val="bottom"/>
          </w:tcPr>
          <w:p>
            <w:pPr>
              <w:ind w:left="2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7760" w:type="dxa"/>
            <w:vAlign w:val="bottom"/>
            <w:tcBorders>
              <w:bottom w:val="single" w:sz="8" w:color="0000EE"/>
            </w:tcBorders>
            <w:gridSpan w:val="13"/>
          </w:tcPr>
          <w:p>
            <w:pPr>
              <w:spacing w:after="0"/>
              <w:rPr>
                <w:rFonts w:ascii="Arial" w:cs="Arial" w:eastAsia="Arial" w:hAnsi="Arial"/>
                <w:sz w:val="18"/>
                <w:szCs w:val="18"/>
                <w:color w:val="0000EE"/>
                <w:w w:val="92"/>
              </w:rPr>
            </w:pPr>
            <w:hyperlink r:id="rId56">
              <w:r>
                <w:rPr>
                  <w:rFonts w:ascii="Arial" w:cs="Arial" w:eastAsia="Arial" w:hAnsi="Arial"/>
                  <w:sz w:val="18"/>
                  <w:szCs w:val="18"/>
                  <w:color w:val="0000EE"/>
                  <w:w w:val="92"/>
                </w:rPr>
                <w:t>Amended and Restated Bylaws of Paylocity Holding Corporation (filed as Exhibit 3.2 of Paylocity Holding</w:t>
              </w:r>
            </w:hyperlink>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760" w:type="dxa"/>
            <w:vAlign w:val="bottom"/>
            <w:gridSpan w:val="13"/>
          </w:tcPr>
          <w:p>
            <w:pPr>
              <w:spacing w:after="0"/>
              <w:rPr>
                <w:rFonts w:ascii="Arial" w:cs="Arial" w:eastAsia="Arial" w:hAnsi="Arial"/>
                <w:sz w:val="18"/>
                <w:szCs w:val="18"/>
                <w:color w:val="0000EE"/>
                <w:w w:val="97"/>
              </w:rPr>
            </w:pPr>
            <w:hyperlink r:id="rId56">
              <w:r>
                <w:rPr>
                  <w:rFonts w:ascii="Arial" w:cs="Arial" w:eastAsia="Arial" w:hAnsi="Arial"/>
                  <w:sz w:val="18"/>
                  <w:szCs w:val="18"/>
                  <w:color w:val="0000EE"/>
                  <w:w w:val="97"/>
                </w:rPr>
                <w:t>Corporation’s Annual Report on Form 10-K for the year ended June 30, 2017 (File No. 001-36348)).</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880" w:type="dxa"/>
            <w:vAlign w:val="bottom"/>
          </w:tcPr>
          <w:p>
            <w:pPr>
              <w:ind w:left="2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7760" w:type="dxa"/>
            <w:vAlign w:val="bottom"/>
            <w:gridSpan w:val="13"/>
          </w:tcPr>
          <w:p>
            <w:pPr>
              <w:spacing w:after="0"/>
              <w:rPr>
                <w:rFonts w:ascii="Arial" w:cs="Arial" w:eastAsia="Arial" w:hAnsi="Arial"/>
                <w:sz w:val="18"/>
                <w:szCs w:val="18"/>
                <w:color w:val="0000EE"/>
                <w:w w:val="95"/>
              </w:rPr>
            </w:pPr>
            <w:hyperlink r:id="rId57">
              <w:r>
                <w:rPr>
                  <w:rFonts w:ascii="Arial" w:cs="Arial" w:eastAsia="Arial" w:hAnsi="Arial"/>
                  <w:sz w:val="18"/>
                  <w:szCs w:val="18"/>
                  <w:color w:val="0000EE"/>
                  <w:w w:val="95"/>
                </w:rPr>
                <w:t>Equity Purchase Agreement, dated as of August 31, 2021, among Paylocity Corporation, Blue Marble</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760" w:type="dxa"/>
            <w:vAlign w:val="bottom"/>
            <w:gridSpan w:val="13"/>
          </w:tcPr>
          <w:p>
            <w:pPr>
              <w:spacing w:after="0"/>
              <w:rPr>
                <w:rFonts w:ascii="Arial" w:cs="Arial" w:eastAsia="Arial" w:hAnsi="Arial"/>
                <w:sz w:val="18"/>
                <w:szCs w:val="18"/>
                <w:color w:val="0000EE"/>
                <w:w w:val="93"/>
              </w:rPr>
            </w:pPr>
            <w:hyperlink r:id="rId57">
              <w:r>
                <w:rPr>
                  <w:rFonts w:ascii="Arial" w:cs="Arial" w:eastAsia="Arial" w:hAnsi="Arial"/>
                  <w:sz w:val="18"/>
                  <w:szCs w:val="18"/>
                  <w:color w:val="0000EE"/>
                  <w:w w:val="93"/>
                </w:rPr>
                <w:t>Payroll, LLC and the Equityholders party thereto (filed as Exhibit 10.1 of Paylocity Holding Corporation’s</w:t>
              </w:r>
            </w:hyperlink>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80" w:type="dxa"/>
            <w:vAlign w:val="bottom"/>
            <w:tcBorders>
              <w:top w:val="single" w:sz="8" w:color="0000EE"/>
            </w:tcBorders>
            <w:gridSpan w:val="12"/>
          </w:tcPr>
          <w:p>
            <w:pPr>
              <w:spacing w:after="0"/>
              <w:rPr>
                <w:rFonts w:ascii="Arial" w:cs="Arial" w:eastAsia="Arial" w:hAnsi="Arial"/>
                <w:sz w:val="18"/>
                <w:szCs w:val="18"/>
                <w:color w:val="0000EE"/>
              </w:rPr>
            </w:pPr>
            <w:hyperlink r:id="rId57">
              <w:r>
                <w:rPr>
                  <w:rFonts w:ascii="Arial" w:cs="Arial" w:eastAsia="Arial" w:hAnsi="Arial"/>
                  <w:sz w:val="18"/>
                  <w:szCs w:val="18"/>
                  <w:color w:val="0000EE"/>
                </w:rPr>
                <w:t>Current Report on Form 8-K on September 1, 2021 (File No. 001-36348)).</w:t>
              </w:r>
              <w:r>
                <w:rPr>
                  <w:rFonts w:ascii="Arial" w:cs="Arial" w:eastAsia="Arial" w:hAnsi="Arial"/>
                  <w:sz w:val="18"/>
                  <w:szCs w:val="18"/>
                  <w:color w:val="000000"/>
                </w:rPr>
                <w:t>*</w:t>
              </w:r>
            </w:hyperlink>
          </w:p>
        </w:tc>
        <w:tc>
          <w:tcPr>
            <w:tcW w:w="8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466"/>
        </w:trPr>
        <w:tc>
          <w:tcPr>
            <w:tcW w:w="880" w:type="dxa"/>
            <w:vAlign w:val="bottom"/>
          </w:tcPr>
          <w:p>
            <w:pPr>
              <w:ind w:left="2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7760" w:type="dxa"/>
            <w:vAlign w:val="bottom"/>
            <w:gridSpan w:val="13"/>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Certification of Chief Executive Officer pursuant to Securities Exchange Act Rules 13a-4 and 15d-14 as</w:t>
              </w:r>
            </w:hyperlink>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500" w:type="dxa"/>
            <w:vAlign w:val="bottom"/>
            <w:tcBorders>
              <w:top w:val="single" w:sz="8" w:color="0000EE"/>
            </w:tcBorders>
            <w:gridSpan w:val="1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adopted pursuant to Section 302 of the Sarbanes-Oxley Act of 2002.</w:t>
              </w:r>
            </w:hyperlink>
          </w:p>
        </w:tc>
        <w:tc>
          <w:tcPr>
            <w:tcW w:w="260" w:type="dxa"/>
            <w:vAlign w:val="bottom"/>
            <w:gridSpan w:val="2"/>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466"/>
        </w:trPr>
        <w:tc>
          <w:tcPr>
            <w:tcW w:w="880" w:type="dxa"/>
            <w:vAlign w:val="bottom"/>
          </w:tcPr>
          <w:p>
            <w:pPr>
              <w:ind w:left="2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746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Certification of Chief Financial Officer pursuant to Securities Exchange Act Rules 13a-4 and 15d-14 as</w:t>
              </w:r>
            </w:hyperlink>
          </w:p>
        </w:tc>
        <w:tc>
          <w:tcPr>
            <w:tcW w:w="300" w:type="dxa"/>
            <w:vAlign w:val="bottom"/>
            <w:gridSpan w:val="4"/>
          </w:tcPr>
          <w:p>
            <w:pPr>
              <w:spacing w:after="0"/>
              <w:rPr>
                <w:sz w:val="24"/>
                <w:szCs w:val="24"/>
                <w:color w:val="auto"/>
              </w:rPr>
            </w:pPr>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760" w:type="dxa"/>
            <w:vAlign w:val="bottom"/>
            <w:gridSpan w:val="1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adopted pursuant to Section 302 of the Sarbanes-Oxley Act of 2002.</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560" w:type="dxa"/>
            <w:vAlign w:val="bottom"/>
            <w:gridSpan w:val="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466"/>
        </w:trPr>
        <w:tc>
          <w:tcPr>
            <w:tcW w:w="880" w:type="dxa"/>
            <w:vAlign w:val="bottom"/>
          </w:tcPr>
          <w:p>
            <w:pPr>
              <w:ind w:left="2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7760" w:type="dxa"/>
            <w:vAlign w:val="bottom"/>
            <w:gridSpan w:val="13"/>
          </w:tcPr>
          <w:p>
            <w:pPr>
              <w:spacing w:after="0"/>
              <w:rPr>
                <w:rFonts w:ascii="Arial" w:cs="Arial" w:eastAsia="Arial" w:hAnsi="Arial"/>
                <w:sz w:val="18"/>
                <w:szCs w:val="18"/>
                <w:color w:val="0000EE"/>
                <w:w w:val="93"/>
              </w:rPr>
            </w:pPr>
            <w:hyperlink w:anchor="page38">
              <w:r>
                <w:rPr>
                  <w:rFonts w:ascii="Arial" w:cs="Arial" w:eastAsia="Arial" w:hAnsi="Arial"/>
                  <w:sz w:val="18"/>
                  <w:szCs w:val="18"/>
                  <w:color w:val="0000EE"/>
                  <w:w w:val="93"/>
                </w:rPr>
                <w:t>Certification pursuant to 18 U.S.C. 1350, adopted pursuant to Section 906 of the Sarbanes-Oxley Act of</w:t>
              </w:r>
            </w:hyperlink>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2002, by Chief Executive Officer.</w:t>
              </w:r>
            </w:hyperlink>
          </w:p>
        </w:tc>
        <w:tc>
          <w:tcPr>
            <w:tcW w:w="5040" w:type="dxa"/>
            <w:vAlign w:val="bottom"/>
            <w:tcBorders>
              <w:top w:val="single" w:sz="8" w:color="0000EE"/>
            </w:tcBorders>
            <w:gridSpan w:val="8"/>
          </w:tcPr>
          <w:p>
            <w:pPr>
              <w:spacing w:after="0"/>
              <w:rPr>
                <w:sz w:val="19"/>
                <w:szCs w:val="19"/>
                <w:color w:val="auto"/>
              </w:rPr>
            </w:pPr>
          </w:p>
        </w:tc>
        <w:tc>
          <w:tcPr>
            <w:tcW w:w="280" w:type="dxa"/>
            <w:vAlign w:val="bottom"/>
            <w:gridSpan w:val="3"/>
          </w:tcPr>
          <w:p>
            <w:pPr>
              <w:spacing w:after="0"/>
              <w:rPr>
                <w:sz w:val="19"/>
                <w:szCs w:val="19"/>
                <w:color w:val="auto"/>
              </w:rPr>
            </w:pPr>
          </w:p>
        </w:tc>
      </w:tr>
      <w:tr>
        <w:trPr>
          <w:trHeight w:val="466"/>
        </w:trPr>
        <w:tc>
          <w:tcPr>
            <w:tcW w:w="880" w:type="dxa"/>
            <w:vAlign w:val="bottom"/>
          </w:tcPr>
          <w:p>
            <w:pPr>
              <w:ind w:left="2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7760" w:type="dxa"/>
            <w:vAlign w:val="bottom"/>
            <w:gridSpan w:val="13"/>
          </w:tcPr>
          <w:p>
            <w:pPr>
              <w:spacing w:after="0"/>
              <w:rPr>
                <w:rFonts w:ascii="Arial" w:cs="Arial" w:eastAsia="Arial" w:hAnsi="Arial"/>
                <w:sz w:val="18"/>
                <w:szCs w:val="18"/>
                <w:color w:val="0000EE"/>
                <w:w w:val="93"/>
              </w:rPr>
            </w:pPr>
            <w:hyperlink w:anchor="page39">
              <w:r>
                <w:rPr>
                  <w:rFonts w:ascii="Arial" w:cs="Arial" w:eastAsia="Arial" w:hAnsi="Arial"/>
                  <w:sz w:val="18"/>
                  <w:szCs w:val="18"/>
                  <w:color w:val="0000EE"/>
                  <w:w w:val="93"/>
                </w:rPr>
                <w:t>Certification pursuant to 18 U.S.C. 1350, adopted pursuant to Section 906 of the Sarbanes-Oxley Act of</w:t>
              </w:r>
            </w:hyperlink>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80" w:type="dxa"/>
            <w:vAlign w:val="bottom"/>
            <w:tcBorders>
              <w:top w:val="single" w:sz="8" w:color="0000EE"/>
            </w:tcBorders>
            <w:gridSpan w:val="1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2002, by Chief Financial Officer.</w:t>
              </w:r>
            </w:hyperlink>
          </w:p>
        </w:tc>
        <w:tc>
          <w:tcPr>
            <w:tcW w:w="280" w:type="dxa"/>
            <w:vAlign w:val="bottom"/>
            <w:gridSpan w:val="3"/>
          </w:tcPr>
          <w:p>
            <w:pPr>
              <w:spacing w:after="0"/>
              <w:rPr>
                <w:sz w:val="19"/>
                <w:szCs w:val="19"/>
                <w:color w:val="auto"/>
              </w:rPr>
            </w:pPr>
          </w:p>
        </w:tc>
      </w:tr>
      <w:tr>
        <w:trPr>
          <w:trHeight w:val="20"/>
        </w:trPr>
        <w:tc>
          <w:tcPr>
            <w:tcW w:w="1140" w:type="dxa"/>
            <w:vAlign w:val="bottom"/>
            <w:gridSpan w:val="2"/>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5380" w:type="dxa"/>
            <w:vAlign w:val="bottom"/>
            <w:gridSpan w:val="12"/>
          </w:tcPr>
          <w:p>
            <w:pPr>
              <w:spacing w:after="0" w:line="20" w:lineRule="exact"/>
              <w:rPr>
                <w:sz w:val="1"/>
                <w:szCs w:val="1"/>
                <w:color w:val="auto"/>
              </w:rPr>
            </w:pPr>
          </w:p>
        </w:tc>
      </w:tr>
      <w:tr>
        <w:trPr>
          <w:trHeight w:val="507"/>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7760" w:type="dxa"/>
            <w:vAlign w:val="bottom"/>
            <w:gridSpan w:val="13"/>
          </w:tcPr>
          <w:p>
            <w:pPr>
              <w:spacing w:after="0"/>
              <w:rPr>
                <w:sz w:val="20"/>
                <w:szCs w:val="20"/>
                <w:color w:val="auto"/>
              </w:rPr>
            </w:pPr>
            <w:r>
              <w:rPr>
                <w:rFonts w:ascii="Arial" w:cs="Arial" w:eastAsia="Arial" w:hAnsi="Arial"/>
                <w:sz w:val="18"/>
                <w:szCs w:val="18"/>
                <w:color w:val="auto"/>
                <w:w w:val="91"/>
              </w:rPr>
              <w:t>XBRL Instance Document (the instance document does not appear in the Interactive Data File because its</w:t>
            </w:r>
          </w:p>
        </w:tc>
      </w:tr>
      <w:tr>
        <w:trPr>
          <w:trHeight w:val="243"/>
        </w:trPr>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760" w:type="dxa"/>
            <w:vAlign w:val="bottom"/>
            <w:gridSpan w:val="13"/>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486"/>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776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r>
      <w:tr>
        <w:trPr>
          <w:trHeight w:val="486"/>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776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86"/>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776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86"/>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776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86"/>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776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86"/>
        </w:trPr>
        <w:tc>
          <w:tcPr>
            <w:tcW w:w="880" w:type="dxa"/>
            <w:vAlign w:val="bottom"/>
          </w:tcPr>
          <w:p>
            <w:pPr>
              <w:ind w:left="2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4"/>
                <w:szCs w:val="24"/>
                <w:color w:val="auto"/>
              </w:rPr>
            </w:pPr>
          </w:p>
        </w:tc>
        <w:tc>
          <w:tcPr>
            <w:tcW w:w="7760" w:type="dxa"/>
            <w:vAlign w:val="bottom"/>
            <w:gridSpan w:val="1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77470</wp:posOffset>
            </wp:positionV>
            <wp:extent cx="141414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95" w:lineRule="exact"/>
        <w:rPr>
          <w:sz w:val="20"/>
          <w:szCs w:val="20"/>
          <w:color w:val="auto"/>
        </w:rPr>
      </w:pPr>
    </w:p>
    <w:p>
      <w:pPr>
        <w:ind w:left="500" w:right="359" w:hanging="450"/>
        <w:spacing w:after="0" w:line="291" w:lineRule="auto"/>
        <w:tabs>
          <w:tab w:leader="none" w:pos="329" w:val="left"/>
        </w:tabs>
        <w:numPr>
          <w:ilvl w:val="0"/>
          <w:numId w:val="12"/>
        </w:numPr>
        <w:rPr>
          <w:rFonts w:ascii="Arial" w:cs="Arial" w:eastAsia="Arial" w:hAnsi="Arial"/>
          <w:sz w:val="16"/>
          <w:szCs w:val="16"/>
          <w:color w:val="auto"/>
        </w:rPr>
      </w:pPr>
      <w:r>
        <w:rPr>
          <w:rFonts w:ascii="Arial" w:cs="Arial" w:eastAsia="Arial" w:hAnsi="Arial"/>
          <w:sz w:val="16"/>
          <w:szCs w:val="16"/>
          <w:color w:val="auto"/>
        </w:rPr>
        <w:t>Certain exhibits and schedules have been omitted in accordance with Regulation S-K Item 601(a)(5). The Company agrees to furnish to the SEC a copy of any omitted exhibits or schedules upon request of the SEC.</w:t>
      </w:r>
    </w:p>
    <w:p>
      <w:pPr>
        <w:ind w:left="360" w:hanging="310"/>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left="360" w:hanging="310"/>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660" w:type="dxa"/>
            <w:vAlign w:val="bottom"/>
            <w:gridSpan w:val="3"/>
          </w:tcPr>
          <w:p>
            <w:pPr>
              <w:ind w:left="2060"/>
              <w:spacing w:after="0"/>
              <w:rPr>
                <w:sz w:val="20"/>
                <w:szCs w:val="20"/>
                <w:color w:val="auto"/>
              </w:rPr>
            </w:pPr>
            <w:r>
              <w:rPr>
                <w:rFonts w:ascii="Arial" w:cs="Arial" w:eastAsia="Arial" w:hAnsi="Arial"/>
                <w:sz w:val="18"/>
                <w:szCs w:val="18"/>
                <w:color w:val="auto"/>
              </w:rPr>
              <w:t>PAYLOCITY HOLDING CORPORATION</w:t>
            </w:r>
          </w:p>
        </w:tc>
      </w:tr>
      <w:tr>
        <w:trPr>
          <w:trHeight w:val="439"/>
        </w:trPr>
        <w:tc>
          <w:tcPr>
            <w:tcW w:w="660" w:type="dxa"/>
            <w:vAlign w:val="bottom"/>
          </w:tcPr>
          <w:p>
            <w:pPr>
              <w:ind w:left="120"/>
              <w:spacing w:after="0"/>
              <w:rPr>
                <w:sz w:val="20"/>
                <w:szCs w:val="20"/>
                <w:color w:val="auto"/>
              </w:rPr>
            </w:pPr>
            <w:r>
              <w:rPr>
                <w:rFonts w:ascii="Arial" w:cs="Arial" w:eastAsia="Arial" w:hAnsi="Arial"/>
                <w:sz w:val="18"/>
                <w:szCs w:val="18"/>
                <w:color w:val="auto"/>
              </w:rPr>
              <w:t>Date:</w:t>
            </w:r>
          </w:p>
        </w:tc>
        <w:tc>
          <w:tcPr>
            <w:tcW w:w="2600" w:type="dxa"/>
            <w:vAlign w:val="bottom"/>
          </w:tcPr>
          <w:p>
            <w:pPr>
              <w:ind w:left="140"/>
              <w:spacing w:after="0"/>
              <w:rPr>
                <w:sz w:val="20"/>
                <w:szCs w:val="20"/>
                <w:color w:val="auto"/>
              </w:rPr>
            </w:pPr>
            <w:r>
              <w:rPr>
                <w:rFonts w:ascii="Arial" w:cs="Arial" w:eastAsia="Arial" w:hAnsi="Arial"/>
                <w:sz w:val="18"/>
                <w:szCs w:val="18"/>
                <w:color w:val="auto"/>
              </w:rPr>
              <w:t>November 5, 2021</w:t>
            </w:r>
          </w:p>
        </w:tc>
        <w:tc>
          <w:tcPr>
            <w:tcW w:w="2640" w:type="dxa"/>
            <w:vAlign w:val="bottom"/>
          </w:tcPr>
          <w:p>
            <w:pPr>
              <w:ind w:left="2060"/>
              <w:spacing w:after="0"/>
              <w:rPr>
                <w:sz w:val="20"/>
                <w:szCs w:val="20"/>
                <w:color w:val="auto"/>
              </w:rPr>
            </w:pPr>
            <w:r>
              <w:rPr>
                <w:rFonts w:ascii="Arial" w:cs="Arial" w:eastAsia="Arial" w:hAnsi="Arial"/>
                <w:sz w:val="18"/>
                <w:szCs w:val="18"/>
                <w:color w:val="auto"/>
              </w:rPr>
              <w:t>By:</w:t>
            </w:r>
          </w:p>
        </w:tc>
        <w:tc>
          <w:tcPr>
            <w:tcW w:w="3020" w:type="dxa"/>
            <w:vAlign w:val="bottom"/>
            <w:gridSpan w:val="2"/>
          </w:tcPr>
          <w:p>
            <w:pPr>
              <w:jc w:val="center"/>
              <w:spacing w:after="0"/>
              <w:rPr>
                <w:sz w:val="20"/>
                <w:szCs w:val="20"/>
                <w:color w:val="auto"/>
              </w:rPr>
            </w:pPr>
            <w:r>
              <w:rPr>
                <w:rFonts w:ascii="Arial" w:cs="Arial" w:eastAsia="Arial" w:hAnsi="Arial"/>
                <w:sz w:val="18"/>
                <w:szCs w:val="18"/>
                <w:color w:val="auto"/>
                <w:w w:val="89"/>
              </w:rPr>
              <w:t>/s/ Steven R. Beauchamp</w:t>
            </w:r>
          </w:p>
        </w:tc>
      </w:tr>
      <w:tr>
        <w:trPr>
          <w:trHeight w:val="198"/>
        </w:trPr>
        <w:tc>
          <w:tcPr>
            <w:tcW w:w="6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640" w:type="dxa"/>
            <w:vAlign w:val="bottom"/>
          </w:tcPr>
          <w:p>
            <w:pPr>
              <w:ind w:left="2060"/>
              <w:spacing w:after="0" w:line="198" w:lineRule="exact"/>
              <w:rPr>
                <w:sz w:val="20"/>
                <w:szCs w:val="20"/>
                <w:color w:val="auto"/>
              </w:rPr>
            </w:pPr>
            <w:r>
              <w:rPr>
                <w:rFonts w:ascii="Arial" w:cs="Arial" w:eastAsia="Arial" w:hAnsi="Arial"/>
                <w:sz w:val="18"/>
                <w:szCs w:val="18"/>
                <w:b w:val="1"/>
                <w:bCs w:val="1"/>
                <w:color w:val="auto"/>
              </w:rPr>
              <w:t>Name:</w:t>
            </w:r>
          </w:p>
        </w:tc>
        <w:tc>
          <w:tcPr>
            <w:tcW w:w="30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Steven R. Beauchamp</w:t>
            </w:r>
          </w:p>
        </w:tc>
        <w:tc>
          <w:tcPr>
            <w:tcW w:w="2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640" w:type="dxa"/>
            <w:vAlign w:val="bottom"/>
          </w:tcPr>
          <w:p>
            <w:pPr>
              <w:ind w:left="2060"/>
              <w:spacing w:after="0"/>
              <w:rPr>
                <w:sz w:val="20"/>
                <w:szCs w:val="20"/>
                <w:color w:val="auto"/>
              </w:rPr>
            </w:pPr>
            <w:r>
              <w:rPr>
                <w:rFonts w:ascii="Arial" w:cs="Arial" w:eastAsia="Arial" w:hAnsi="Arial"/>
                <w:sz w:val="18"/>
                <w:szCs w:val="18"/>
                <w:b w:val="1"/>
                <w:bCs w:val="1"/>
                <w:color w:val="auto"/>
              </w:rPr>
              <w:t>Title:</w:t>
            </w:r>
          </w:p>
        </w:tc>
        <w:tc>
          <w:tcPr>
            <w:tcW w:w="3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Chief Executive Officer (Principal</w:t>
            </w:r>
          </w:p>
        </w:tc>
      </w:tr>
      <w:tr>
        <w:trPr>
          <w:trHeight w:val="234"/>
        </w:trPr>
        <w:tc>
          <w:tcPr>
            <w:tcW w:w="6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Executive Officer) and Director</w:t>
            </w:r>
          </w:p>
        </w:tc>
      </w:tr>
      <w:tr>
        <w:trPr>
          <w:trHeight w:val="655"/>
        </w:trPr>
        <w:tc>
          <w:tcPr>
            <w:tcW w:w="660" w:type="dxa"/>
            <w:vAlign w:val="bottom"/>
          </w:tcPr>
          <w:p>
            <w:pPr>
              <w:ind w:left="120"/>
              <w:spacing w:after="0"/>
              <w:rPr>
                <w:sz w:val="20"/>
                <w:szCs w:val="20"/>
                <w:color w:val="auto"/>
              </w:rPr>
            </w:pPr>
            <w:r>
              <w:rPr>
                <w:rFonts w:ascii="Arial" w:cs="Arial" w:eastAsia="Arial" w:hAnsi="Arial"/>
                <w:sz w:val="18"/>
                <w:szCs w:val="18"/>
                <w:color w:val="auto"/>
              </w:rPr>
              <w:t>Date:</w:t>
            </w:r>
          </w:p>
        </w:tc>
        <w:tc>
          <w:tcPr>
            <w:tcW w:w="2600" w:type="dxa"/>
            <w:vAlign w:val="bottom"/>
          </w:tcPr>
          <w:p>
            <w:pPr>
              <w:ind w:left="140"/>
              <w:spacing w:after="0"/>
              <w:rPr>
                <w:sz w:val="20"/>
                <w:szCs w:val="20"/>
                <w:color w:val="auto"/>
              </w:rPr>
            </w:pPr>
            <w:r>
              <w:rPr>
                <w:rFonts w:ascii="Arial" w:cs="Arial" w:eastAsia="Arial" w:hAnsi="Arial"/>
                <w:sz w:val="18"/>
                <w:szCs w:val="18"/>
                <w:color w:val="auto"/>
              </w:rPr>
              <w:t>November 5, 2021</w:t>
            </w:r>
          </w:p>
        </w:tc>
        <w:tc>
          <w:tcPr>
            <w:tcW w:w="2640" w:type="dxa"/>
            <w:vAlign w:val="bottom"/>
          </w:tcPr>
          <w:p>
            <w:pPr>
              <w:ind w:left="2060"/>
              <w:spacing w:after="0"/>
              <w:rPr>
                <w:sz w:val="20"/>
                <w:szCs w:val="20"/>
                <w:color w:val="auto"/>
              </w:rPr>
            </w:pPr>
            <w:r>
              <w:rPr>
                <w:rFonts w:ascii="Arial" w:cs="Arial" w:eastAsia="Arial" w:hAnsi="Arial"/>
                <w:sz w:val="18"/>
                <w:szCs w:val="18"/>
                <w:color w:val="auto"/>
              </w:rPr>
              <w:t>By:</w:t>
            </w:r>
          </w:p>
        </w:tc>
        <w:tc>
          <w:tcPr>
            <w:tcW w:w="302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/s/ Toby J. Williams</w:t>
            </w:r>
          </w:p>
        </w:tc>
      </w:tr>
      <w:tr>
        <w:trPr>
          <w:trHeight w:val="198"/>
        </w:trPr>
        <w:tc>
          <w:tcPr>
            <w:tcW w:w="6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640" w:type="dxa"/>
            <w:vAlign w:val="bottom"/>
          </w:tcPr>
          <w:p>
            <w:pPr>
              <w:ind w:left="2060"/>
              <w:spacing w:after="0" w:line="198" w:lineRule="exact"/>
              <w:rPr>
                <w:sz w:val="20"/>
                <w:szCs w:val="20"/>
                <w:color w:val="auto"/>
              </w:rPr>
            </w:pPr>
            <w:r>
              <w:rPr>
                <w:rFonts w:ascii="Arial" w:cs="Arial" w:eastAsia="Arial" w:hAnsi="Arial"/>
                <w:sz w:val="18"/>
                <w:szCs w:val="18"/>
                <w:b w:val="1"/>
                <w:bCs w:val="1"/>
                <w:color w:val="auto"/>
              </w:rPr>
              <w:t>Name:</w:t>
            </w:r>
          </w:p>
        </w:tc>
        <w:tc>
          <w:tcPr>
            <w:tcW w:w="30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Toby J. Williams</w:t>
            </w:r>
          </w:p>
        </w:tc>
        <w:tc>
          <w:tcPr>
            <w:tcW w:w="2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640" w:type="dxa"/>
            <w:vAlign w:val="bottom"/>
          </w:tcPr>
          <w:p>
            <w:pPr>
              <w:ind w:left="2060"/>
              <w:spacing w:after="0"/>
              <w:rPr>
                <w:sz w:val="20"/>
                <w:szCs w:val="20"/>
                <w:color w:val="auto"/>
              </w:rPr>
            </w:pPr>
            <w:r>
              <w:rPr>
                <w:rFonts w:ascii="Arial" w:cs="Arial" w:eastAsia="Arial" w:hAnsi="Arial"/>
                <w:sz w:val="18"/>
                <w:szCs w:val="18"/>
                <w:b w:val="1"/>
                <w:bCs w:val="1"/>
                <w:color w:val="auto"/>
              </w:rPr>
              <w:t>Title:</w:t>
            </w:r>
          </w:p>
        </w:tc>
        <w:tc>
          <w:tcPr>
            <w:tcW w:w="3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Chief Financial Officer (Principal</w:t>
            </w:r>
          </w:p>
        </w:tc>
      </w:tr>
      <w:tr>
        <w:trPr>
          <w:trHeight w:val="234"/>
        </w:trPr>
        <w:tc>
          <w:tcPr>
            <w:tcW w:w="6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Financial Officer)</w:t>
            </w:r>
          </w:p>
        </w:tc>
      </w:tr>
      <w:tr>
        <w:trPr>
          <w:trHeight w:val="904"/>
        </w:trPr>
        <w:tc>
          <w:tcPr>
            <w:tcW w:w="6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640" w:type="dxa"/>
            <w:vAlign w:val="bottom"/>
          </w:tcPr>
          <w:p>
            <w:pPr>
              <w:ind w:left="1120"/>
              <w:spacing w:after="0"/>
              <w:rPr>
                <w:sz w:val="20"/>
                <w:szCs w:val="20"/>
                <w:color w:val="auto"/>
              </w:rPr>
            </w:pPr>
            <w:r>
              <w:rPr>
                <w:rFonts w:ascii="Arial" w:cs="Arial" w:eastAsia="Arial" w:hAnsi="Arial"/>
                <w:sz w:val="18"/>
                <w:szCs w:val="18"/>
                <w:color w:val="auto"/>
              </w:rPr>
              <w:t>34</w:t>
            </w: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6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5" w:name="page36"/>
    <w:bookmarkEnd w:id="35"/>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Steven R. Beauchamp, certify that:</w:t>
      </w:r>
    </w:p>
    <w:p>
      <w:pPr>
        <w:spacing w:after="0" w:line="198" w:lineRule="exact"/>
        <w:rPr>
          <w:sz w:val="20"/>
          <w:szCs w:val="20"/>
          <w:color w:val="auto"/>
        </w:rPr>
      </w:pPr>
    </w:p>
    <w:p>
      <w:pPr>
        <w:ind w:left="1340" w:hanging="408"/>
        <w:spacing w:after="0"/>
        <w:tabs>
          <w:tab w:leader="none" w:pos="1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Paylocity Holding Corporation (the “Company”);</w:t>
      </w:r>
    </w:p>
    <w:p>
      <w:pPr>
        <w:spacing w:after="0" w:line="209" w:lineRule="exact"/>
        <w:rPr>
          <w:rFonts w:ascii="Arial" w:cs="Arial" w:eastAsia="Arial" w:hAnsi="Arial"/>
          <w:sz w:val="17"/>
          <w:szCs w:val="17"/>
          <w:color w:val="auto"/>
        </w:rPr>
      </w:pPr>
    </w:p>
    <w:p>
      <w:pPr>
        <w:ind w:left="500" w:right="299" w:firstLine="432"/>
        <w:spacing w:after="0" w:line="270" w:lineRule="auto"/>
        <w:tabs>
          <w:tab w:leader="none" w:pos="1346"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7"/>
          <w:szCs w:val="17"/>
          <w:color w:val="auto"/>
        </w:rPr>
      </w:pPr>
    </w:p>
    <w:p>
      <w:pPr>
        <w:ind w:left="500" w:right="119" w:firstLine="432"/>
        <w:spacing w:after="0" w:line="248" w:lineRule="auto"/>
        <w:tabs>
          <w:tab w:leader="none" w:pos="13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00" w:right="199" w:firstLine="432"/>
        <w:spacing w:after="0" w:line="294" w:lineRule="auto"/>
        <w:tabs>
          <w:tab w:leader="none" w:pos="134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6"/>
          <w:szCs w:val="16"/>
          <w:color w:val="auto"/>
        </w:rPr>
      </w:pPr>
    </w:p>
    <w:p>
      <w:pPr>
        <w:ind w:left="940" w:right="139" w:firstLine="432"/>
        <w:spacing w:after="0" w:line="243" w:lineRule="auto"/>
        <w:tabs>
          <w:tab w:leader="none" w:pos="177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jc w:val="both"/>
        <w:ind w:left="940" w:right="99" w:firstLine="432"/>
        <w:spacing w:after="0" w:line="243" w:lineRule="auto"/>
        <w:tabs>
          <w:tab w:leader="none" w:pos="178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ind w:left="940" w:right="219" w:firstLine="432"/>
        <w:spacing w:after="0" w:line="248" w:lineRule="auto"/>
        <w:tabs>
          <w:tab w:leader="none" w:pos="1776"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940" w:right="199" w:firstLine="432"/>
        <w:spacing w:after="0" w:line="294" w:lineRule="auto"/>
        <w:tabs>
          <w:tab w:leader="none" w:pos="1786"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fiscal quarter ended September 30, 2021 that has materially affected, or is reasonably likely to materially affect, the registrant’s internal control over financial reporting; and</w:t>
      </w:r>
    </w:p>
    <w:p>
      <w:pPr>
        <w:spacing w:after="0" w:line="133" w:lineRule="exact"/>
        <w:rPr>
          <w:rFonts w:ascii="Arial" w:cs="Arial" w:eastAsia="Arial" w:hAnsi="Arial"/>
          <w:sz w:val="16"/>
          <w:szCs w:val="16"/>
          <w:color w:val="auto"/>
        </w:rPr>
      </w:pPr>
    </w:p>
    <w:p>
      <w:pPr>
        <w:ind w:left="500" w:right="179" w:firstLine="432"/>
        <w:spacing w:after="0" w:line="248" w:lineRule="auto"/>
        <w:tabs>
          <w:tab w:leader="none" w:pos="134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940" w:right="279" w:firstLine="432"/>
        <w:spacing w:after="0" w:line="248" w:lineRule="auto"/>
        <w:tabs>
          <w:tab w:leader="none" w:pos="176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940" w:right="479" w:firstLine="432"/>
        <w:spacing w:after="0" w:line="261" w:lineRule="auto"/>
        <w:tabs>
          <w:tab w:leader="none" w:pos="177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080" w:type="dxa"/>
            <w:vAlign w:val="bottom"/>
          </w:tcPr>
          <w:p>
            <w:pPr>
              <w:ind w:left="20"/>
              <w:spacing w:after="0"/>
              <w:rPr>
                <w:sz w:val="20"/>
                <w:szCs w:val="20"/>
                <w:color w:val="auto"/>
              </w:rPr>
            </w:pPr>
            <w:r>
              <w:rPr>
                <w:rFonts w:ascii="Arial" w:cs="Arial" w:eastAsia="Arial" w:hAnsi="Arial"/>
                <w:sz w:val="18"/>
                <w:szCs w:val="18"/>
                <w:color w:val="auto"/>
              </w:rPr>
              <w:t>Date: November 5, 2021</w:t>
            </w:r>
          </w:p>
        </w:tc>
        <w:tc>
          <w:tcPr>
            <w:tcW w:w="38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/s/ Steven R. Beauchamp</w:t>
            </w:r>
          </w:p>
        </w:tc>
      </w:tr>
      <w:tr>
        <w:trPr>
          <w:trHeight w:val="191"/>
        </w:trPr>
        <w:tc>
          <w:tcPr>
            <w:tcW w:w="5080" w:type="dxa"/>
            <w:vAlign w:val="bottom"/>
          </w:tcPr>
          <w:p>
            <w:pPr>
              <w:ind w:left="4460"/>
              <w:spacing w:after="0" w:line="191" w:lineRule="exact"/>
              <w:rPr>
                <w:sz w:val="20"/>
                <w:szCs w:val="20"/>
                <w:color w:val="auto"/>
              </w:rPr>
            </w:pPr>
            <w:r>
              <w:rPr>
                <w:rFonts w:ascii="Arial" w:cs="Arial" w:eastAsia="Arial" w:hAnsi="Arial"/>
                <w:sz w:val="18"/>
                <w:szCs w:val="18"/>
                <w:b w:val="1"/>
                <w:bCs w:val="1"/>
                <w:color w:val="auto"/>
              </w:rPr>
              <w:t>Name:</w:t>
            </w:r>
          </w:p>
        </w:tc>
        <w:tc>
          <w:tcPr>
            <w:tcW w:w="38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Steven R. Beauchamp</w:t>
            </w:r>
          </w:p>
        </w:tc>
        <w:tc>
          <w:tcPr>
            <w:tcW w:w="20" w:type="dxa"/>
            <w:vAlign w:val="bottom"/>
          </w:tcPr>
          <w:p>
            <w:pPr>
              <w:spacing w:after="0"/>
              <w:rPr>
                <w:sz w:val="16"/>
                <w:szCs w:val="16"/>
                <w:color w:val="auto"/>
              </w:rPr>
            </w:pPr>
          </w:p>
        </w:tc>
      </w:tr>
      <w:tr>
        <w:trPr>
          <w:trHeight w:val="234"/>
        </w:trPr>
        <w:tc>
          <w:tcPr>
            <w:tcW w:w="5080" w:type="dxa"/>
            <w:vAlign w:val="bottom"/>
          </w:tcPr>
          <w:p>
            <w:pPr>
              <w:ind w:left="4460"/>
              <w:spacing w:after="0"/>
              <w:rPr>
                <w:sz w:val="20"/>
                <w:szCs w:val="20"/>
                <w:color w:val="auto"/>
              </w:rPr>
            </w:pPr>
            <w:r>
              <w:rPr>
                <w:rFonts w:ascii="Arial" w:cs="Arial" w:eastAsia="Arial" w:hAnsi="Arial"/>
                <w:sz w:val="18"/>
                <w:szCs w:val="18"/>
                <w:b w:val="1"/>
                <w:bCs w:val="1"/>
                <w:color w:val="auto"/>
              </w:rPr>
              <w:t>Title:</w:t>
            </w:r>
          </w:p>
        </w:tc>
        <w:tc>
          <w:tcPr>
            <w:tcW w:w="38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Chief Executive Officer (Principal Executive</w:t>
            </w:r>
          </w:p>
        </w:tc>
      </w:tr>
      <w:tr>
        <w:trPr>
          <w:trHeight w:val="243"/>
        </w:trPr>
        <w:tc>
          <w:tcPr>
            <w:tcW w:w="5080" w:type="dxa"/>
            <w:vAlign w:val="bottom"/>
          </w:tcPr>
          <w:p>
            <w:pPr>
              <w:spacing w:after="0"/>
              <w:rPr>
                <w:sz w:val="21"/>
                <w:szCs w:val="21"/>
                <w:color w:val="auto"/>
              </w:rPr>
            </w:pPr>
          </w:p>
        </w:tc>
        <w:tc>
          <w:tcPr>
            <w:tcW w:w="38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Officer) and Director</w:t>
            </w:r>
          </w:p>
        </w:tc>
      </w:tr>
      <w:tr>
        <w:trPr>
          <w:trHeight w:val="776"/>
        </w:trPr>
        <w:tc>
          <w:tcPr>
            <w:tcW w:w="50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36" w:name="page37"/>
    <w:bookmarkEnd w:id="36"/>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Toby J. Williams, certify that:</w:t>
      </w:r>
    </w:p>
    <w:p>
      <w:pPr>
        <w:spacing w:after="0" w:line="198" w:lineRule="exact"/>
        <w:rPr>
          <w:sz w:val="20"/>
          <w:szCs w:val="20"/>
          <w:color w:val="auto"/>
        </w:rPr>
      </w:pPr>
    </w:p>
    <w:p>
      <w:pPr>
        <w:ind w:left="1340" w:hanging="408"/>
        <w:spacing w:after="0"/>
        <w:tabs>
          <w:tab w:leader="none" w:pos="1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Paylocity Holding Corporation (the “Company”);</w:t>
      </w:r>
    </w:p>
    <w:p>
      <w:pPr>
        <w:spacing w:after="0" w:line="209" w:lineRule="exact"/>
        <w:rPr>
          <w:rFonts w:ascii="Arial" w:cs="Arial" w:eastAsia="Arial" w:hAnsi="Arial"/>
          <w:sz w:val="17"/>
          <w:szCs w:val="17"/>
          <w:color w:val="auto"/>
        </w:rPr>
      </w:pPr>
    </w:p>
    <w:p>
      <w:pPr>
        <w:ind w:left="500" w:right="299" w:firstLine="432"/>
        <w:spacing w:after="0" w:line="270" w:lineRule="auto"/>
        <w:tabs>
          <w:tab w:leader="none" w:pos="1346"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7"/>
          <w:szCs w:val="17"/>
          <w:color w:val="auto"/>
        </w:rPr>
      </w:pPr>
    </w:p>
    <w:p>
      <w:pPr>
        <w:ind w:left="500" w:right="119" w:firstLine="432"/>
        <w:spacing w:after="0" w:line="248" w:lineRule="auto"/>
        <w:tabs>
          <w:tab w:leader="none" w:pos="13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00" w:right="199" w:firstLine="432"/>
        <w:spacing w:after="0" w:line="294" w:lineRule="auto"/>
        <w:tabs>
          <w:tab w:leader="none" w:pos="134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6"/>
          <w:szCs w:val="16"/>
          <w:color w:val="auto"/>
        </w:rPr>
      </w:pPr>
    </w:p>
    <w:p>
      <w:pPr>
        <w:ind w:left="940" w:right="139" w:firstLine="432"/>
        <w:spacing w:after="0" w:line="243" w:lineRule="auto"/>
        <w:tabs>
          <w:tab w:leader="none" w:pos="1776"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jc w:val="both"/>
        <w:ind w:left="940" w:right="99" w:firstLine="432"/>
        <w:spacing w:after="0" w:line="243" w:lineRule="auto"/>
        <w:tabs>
          <w:tab w:leader="none" w:pos="1786"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ind w:left="940" w:right="219" w:firstLine="432"/>
        <w:spacing w:after="0" w:line="248" w:lineRule="auto"/>
        <w:tabs>
          <w:tab w:leader="none" w:pos="1776"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940" w:right="199" w:firstLine="432"/>
        <w:spacing w:after="0" w:line="294" w:lineRule="auto"/>
        <w:tabs>
          <w:tab w:leader="none" w:pos="1786"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fiscal quarter ended September 30, 2021 that has materially affected, or is reasonably likely to materially affect, the registrant’s internal control over financial reporting; and</w:t>
      </w:r>
    </w:p>
    <w:p>
      <w:pPr>
        <w:spacing w:after="0" w:line="133" w:lineRule="exact"/>
        <w:rPr>
          <w:rFonts w:ascii="Arial" w:cs="Arial" w:eastAsia="Arial" w:hAnsi="Arial"/>
          <w:sz w:val="16"/>
          <w:szCs w:val="16"/>
          <w:color w:val="auto"/>
        </w:rPr>
      </w:pPr>
    </w:p>
    <w:p>
      <w:pPr>
        <w:ind w:left="500" w:right="179" w:firstLine="432"/>
        <w:spacing w:after="0" w:line="248" w:lineRule="auto"/>
        <w:tabs>
          <w:tab w:leader="none" w:pos="134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940" w:right="279" w:firstLine="432"/>
        <w:spacing w:after="0" w:line="248" w:lineRule="auto"/>
        <w:tabs>
          <w:tab w:leader="none" w:pos="176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940" w:right="479" w:firstLine="432"/>
        <w:spacing w:after="0" w:line="261" w:lineRule="auto"/>
        <w:tabs>
          <w:tab w:leader="none" w:pos="177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080" w:type="dxa"/>
            <w:vAlign w:val="bottom"/>
          </w:tcPr>
          <w:p>
            <w:pPr>
              <w:ind w:left="20"/>
              <w:spacing w:after="0"/>
              <w:rPr>
                <w:sz w:val="20"/>
                <w:szCs w:val="20"/>
                <w:color w:val="auto"/>
              </w:rPr>
            </w:pPr>
            <w:r>
              <w:rPr>
                <w:rFonts w:ascii="Arial" w:cs="Arial" w:eastAsia="Arial" w:hAnsi="Arial"/>
                <w:sz w:val="18"/>
                <w:szCs w:val="18"/>
                <w:color w:val="auto"/>
              </w:rPr>
              <w:t>Date: November 5, 2021</w:t>
            </w:r>
          </w:p>
        </w:tc>
        <w:tc>
          <w:tcPr>
            <w:tcW w:w="3840" w:type="dxa"/>
            <w:vAlign w:val="bottom"/>
            <w:gridSpan w:val="2"/>
          </w:tcPr>
          <w:p>
            <w:pPr>
              <w:jc w:val="center"/>
              <w:spacing w:after="0"/>
              <w:rPr>
                <w:sz w:val="20"/>
                <w:szCs w:val="20"/>
                <w:color w:val="auto"/>
              </w:rPr>
            </w:pPr>
            <w:r>
              <w:rPr>
                <w:rFonts w:ascii="Arial" w:cs="Arial" w:eastAsia="Arial" w:hAnsi="Arial"/>
                <w:sz w:val="18"/>
                <w:szCs w:val="18"/>
                <w:color w:val="auto"/>
                <w:w w:val="92"/>
              </w:rPr>
              <w:t>/s/ Toby J. Williams</w:t>
            </w:r>
          </w:p>
        </w:tc>
      </w:tr>
      <w:tr>
        <w:trPr>
          <w:trHeight w:val="178"/>
        </w:trPr>
        <w:tc>
          <w:tcPr>
            <w:tcW w:w="5080" w:type="dxa"/>
            <w:vAlign w:val="bottom"/>
          </w:tcPr>
          <w:p>
            <w:pPr>
              <w:ind w:left="4460"/>
              <w:spacing w:after="0" w:line="177" w:lineRule="exact"/>
              <w:rPr>
                <w:sz w:val="20"/>
                <w:szCs w:val="20"/>
                <w:color w:val="auto"/>
              </w:rPr>
            </w:pPr>
            <w:r>
              <w:rPr>
                <w:rFonts w:ascii="Arial" w:cs="Arial" w:eastAsia="Arial" w:hAnsi="Arial"/>
                <w:sz w:val="18"/>
                <w:szCs w:val="18"/>
                <w:b w:val="1"/>
                <w:bCs w:val="1"/>
                <w:color w:val="auto"/>
              </w:rPr>
              <w:t>Name:</w:t>
            </w:r>
          </w:p>
        </w:tc>
        <w:tc>
          <w:tcPr>
            <w:tcW w:w="382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2"/>
              </w:rPr>
              <w:t>Toby J. Williams</w:t>
            </w:r>
          </w:p>
        </w:tc>
        <w:tc>
          <w:tcPr>
            <w:tcW w:w="20" w:type="dxa"/>
            <w:vAlign w:val="bottom"/>
          </w:tcPr>
          <w:p>
            <w:pPr>
              <w:spacing w:after="0"/>
              <w:rPr>
                <w:sz w:val="15"/>
                <w:szCs w:val="15"/>
                <w:color w:val="auto"/>
              </w:rPr>
            </w:pPr>
          </w:p>
        </w:tc>
      </w:tr>
      <w:tr>
        <w:trPr>
          <w:trHeight w:val="203"/>
        </w:trPr>
        <w:tc>
          <w:tcPr>
            <w:tcW w:w="5080" w:type="dxa"/>
            <w:vAlign w:val="bottom"/>
          </w:tcPr>
          <w:p>
            <w:pPr>
              <w:ind w:left="4460"/>
              <w:spacing w:after="0" w:line="202" w:lineRule="exact"/>
              <w:rPr>
                <w:sz w:val="20"/>
                <w:szCs w:val="20"/>
                <w:color w:val="auto"/>
              </w:rPr>
            </w:pPr>
            <w:r>
              <w:rPr>
                <w:rFonts w:ascii="Arial" w:cs="Arial" w:eastAsia="Arial" w:hAnsi="Arial"/>
                <w:sz w:val="18"/>
                <w:szCs w:val="18"/>
                <w:b w:val="1"/>
                <w:bCs w:val="1"/>
                <w:color w:val="auto"/>
              </w:rPr>
              <w:t>Title:</w:t>
            </w:r>
          </w:p>
        </w:tc>
        <w:tc>
          <w:tcPr>
            <w:tcW w:w="38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3"/>
              </w:rPr>
              <w:t>Chief Financial Officer (Principal Financial</w:t>
            </w:r>
          </w:p>
        </w:tc>
      </w:tr>
      <w:tr>
        <w:trPr>
          <w:trHeight w:val="234"/>
        </w:trPr>
        <w:tc>
          <w:tcPr>
            <w:tcW w:w="5080" w:type="dxa"/>
            <w:vAlign w:val="bottom"/>
          </w:tcPr>
          <w:p>
            <w:pPr>
              <w:spacing w:after="0"/>
              <w:rPr>
                <w:sz w:val="20"/>
                <w:szCs w:val="20"/>
                <w:color w:val="auto"/>
              </w:rPr>
            </w:pPr>
          </w:p>
        </w:tc>
        <w:tc>
          <w:tcPr>
            <w:tcW w:w="3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Officer)</w:t>
            </w:r>
          </w:p>
        </w:tc>
      </w:tr>
      <w:tr>
        <w:trPr>
          <w:trHeight w:val="749"/>
        </w:trPr>
        <w:tc>
          <w:tcPr>
            <w:tcW w:w="50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37" w:name="page38"/>
    <w:bookmarkEnd w:id="37"/>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left="60" w:right="79"/>
        <w:spacing w:after="0" w:line="245"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171" w:lineRule="exact"/>
        <w:rPr>
          <w:sz w:val="20"/>
          <w:szCs w:val="20"/>
          <w:color w:val="auto"/>
        </w:rPr>
      </w:pPr>
    </w:p>
    <w:p>
      <w:pPr>
        <w:ind w:left="60" w:right="159" w:firstLine="441"/>
        <w:spacing w:after="0"/>
        <w:rPr>
          <w:sz w:val="20"/>
          <w:szCs w:val="20"/>
          <w:color w:val="auto"/>
        </w:rPr>
      </w:pPr>
      <w:r>
        <w:rPr>
          <w:rFonts w:ascii="Arial" w:cs="Arial" w:eastAsia="Arial" w:hAnsi="Arial"/>
          <w:sz w:val="18"/>
          <w:szCs w:val="18"/>
          <w:color w:val="auto"/>
        </w:rPr>
        <w:t>The undersigned, the 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September 30, 2021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100" w:type="dxa"/>
            <w:vAlign w:val="bottom"/>
            <w:gridSpan w:val="2"/>
          </w:tcPr>
          <w:p>
            <w:pPr>
              <w:spacing w:after="0"/>
              <w:rPr>
                <w:sz w:val="20"/>
                <w:szCs w:val="20"/>
                <w:color w:val="auto"/>
              </w:rPr>
            </w:pPr>
            <w:r>
              <w:rPr>
                <w:rFonts w:ascii="Arial" w:cs="Arial" w:eastAsia="Arial" w:hAnsi="Arial"/>
                <w:sz w:val="18"/>
                <w:szCs w:val="18"/>
                <w:color w:val="auto"/>
              </w:rPr>
              <w:t>Date: November 5, 2021</w:t>
            </w:r>
          </w:p>
        </w:tc>
        <w:tc>
          <w:tcPr>
            <w:tcW w:w="3780" w:type="dxa"/>
            <w:vAlign w:val="bottom"/>
          </w:tcPr>
          <w:p>
            <w:pPr>
              <w:jc w:val="center"/>
              <w:ind w:right="550"/>
              <w:spacing w:after="0"/>
              <w:rPr>
                <w:sz w:val="20"/>
                <w:szCs w:val="20"/>
                <w:color w:val="auto"/>
              </w:rPr>
            </w:pPr>
            <w:r>
              <w:rPr>
                <w:rFonts w:ascii="Arial" w:cs="Arial" w:eastAsia="Arial" w:hAnsi="Arial"/>
                <w:sz w:val="18"/>
                <w:szCs w:val="18"/>
                <w:color w:val="auto"/>
                <w:w w:val="89"/>
              </w:rPr>
              <w:t>/s/ Steven R. Beauchamp</w:t>
            </w:r>
          </w:p>
        </w:tc>
      </w:tr>
      <w:tr>
        <w:trPr>
          <w:trHeight w:val="198"/>
        </w:trPr>
        <w:tc>
          <w:tcPr>
            <w:tcW w:w="4440" w:type="dxa"/>
            <w:vAlign w:val="bottom"/>
          </w:tcPr>
          <w:p>
            <w:pPr>
              <w:ind w:left="3940"/>
              <w:spacing w:after="0" w:line="198" w:lineRule="exact"/>
              <w:rPr>
                <w:sz w:val="20"/>
                <w:szCs w:val="20"/>
                <w:color w:val="auto"/>
              </w:rPr>
            </w:pPr>
            <w:r>
              <w:rPr>
                <w:rFonts w:ascii="Arial" w:cs="Arial" w:eastAsia="Arial" w:hAnsi="Arial"/>
                <w:sz w:val="18"/>
                <w:szCs w:val="18"/>
                <w:b w:val="1"/>
                <w:bCs w:val="1"/>
                <w:color w:val="auto"/>
                <w:w w:val="87"/>
              </w:rPr>
              <w:t>Name:</w:t>
            </w:r>
          </w:p>
        </w:tc>
        <w:tc>
          <w:tcPr>
            <w:tcW w:w="660" w:type="dxa"/>
            <w:vAlign w:val="bottom"/>
            <w:tcBorders>
              <w:top w:val="single" w:sz="8" w:color="auto"/>
            </w:tcBorders>
          </w:tcPr>
          <w:p>
            <w:pPr>
              <w:spacing w:after="0"/>
              <w:rPr>
                <w:sz w:val="17"/>
                <w:szCs w:val="17"/>
                <w:color w:val="auto"/>
              </w:rPr>
            </w:pPr>
          </w:p>
        </w:tc>
        <w:tc>
          <w:tcPr>
            <w:tcW w:w="3780" w:type="dxa"/>
            <w:vAlign w:val="bottom"/>
            <w:tcBorders>
              <w:top w:val="single" w:sz="8" w:color="auto"/>
            </w:tcBorders>
          </w:tcPr>
          <w:p>
            <w:pPr>
              <w:jc w:val="center"/>
              <w:ind w:right="570"/>
              <w:spacing w:after="0" w:line="198" w:lineRule="exact"/>
              <w:rPr>
                <w:sz w:val="20"/>
                <w:szCs w:val="20"/>
                <w:color w:val="auto"/>
              </w:rPr>
            </w:pPr>
            <w:r>
              <w:rPr>
                <w:rFonts w:ascii="Arial" w:cs="Arial" w:eastAsia="Arial" w:hAnsi="Arial"/>
                <w:sz w:val="18"/>
                <w:szCs w:val="18"/>
                <w:b w:val="1"/>
                <w:bCs w:val="1"/>
                <w:color w:val="auto"/>
                <w:w w:val="88"/>
              </w:rPr>
              <w:t>Steven R. Beauchamp</w:t>
            </w:r>
          </w:p>
        </w:tc>
      </w:tr>
    </w:tbl>
    <w:p>
      <w:pPr>
        <w:ind w:left="4080"/>
        <w:spacing w:after="0"/>
        <w:rPr>
          <w:sz w:val="20"/>
          <w:szCs w:val="20"/>
          <w:color w:val="auto"/>
        </w:rPr>
      </w:pPr>
      <w:r>
        <w:rPr>
          <w:rFonts w:ascii="Arial" w:cs="Arial" w:eastAsia="Arial" w:hAnsi="Arial"/>
          <w:sz w:val="16"/>
          <w:szCs w:val="16"/>
          <w:b w:val="1"/>
          <w:bCs w:val="1"/>
          <w:color w:val="auto"/>
        </w:rPr>
        <w:t>Title:Chief Executive Officer (Principal Executive Officer) and</w:t>
      </w:r>
    </w:p>
    <w:p>
      <w:pPr>
        <w:spacing w:after="0" w:line="1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Director</w:t>
      </w:r>
    </w:p>
    <w:p>
      <w:pPr>
        <w:spacing w:after="0" w:line="182" w:lineRule="exact"/>
        <w:rPr>
          <w:sz w:val="20"/>
          <w:szCs w:val="20"/>
          <w:color w:val="auto"/>
        </w:rPr>
      </w:pPr>
    </w:p>
    <w:p>
      <w:pPr>
        <w:ind w:left="60" w:right="319" w:firstLine="441"/>
        <w:spacing w:after="0" w:line="324"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294005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8" w:name="page39"/>
    <w:bookmarkEnd w:id="38"/>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left="60" w:right="79"/>
        <w:spacing w:after="0" w:line="245"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171" w:lineRule="exact"/>
        <w:rPr>
          <w:sz w:val="20"/>
          <w:szCs w:val="20"/>
          <w:color w:val="auto"/>
        </w:rPr>
      </w:pPr>
    </w:p>
    <w:p>
      <w:pPr>
        <w:ind w:left="60" w:right="59" w:firstLine="441"/>
        <w:spacing w:after="0"/>
        <w:rPr>
          <w:sz w:val="20"/>
          <w:szCs w:val="20"/>
          <w:color w:val="auto"/>
        </w:rPr>
      </w:pPr>
      <w:r>
        <w:rPr>
          <w:rFonts w:ascii="Arial" w:cs="Arial" w:eastAsia="Arial" w:hAnsi="Arial"/>
          <w:sz w:val="18"/>
          <w:szCs w:val="18"/>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September 30, 2021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4300" w:type="dxa"/>
            <w:vAlign w:val="bottom"/>
            <w:gridSpan w:val="2"/>
          </w:tcPr>
          <w:p>
            <w:pPr>
              <w:jc w:val="right"/>
              <w:ind w:right="2540"/>
              <w:spacing w:after="0"/>
              <w:rPr>
                <w:sz w:val="20"/>
                <w:szCs w:val="20"/>
                <w:color w:val="auto"/>
              </w:rPr>
            </w:pPr>
            <w:r>
              <w:rPr>
                <w:rFonts w:ascii="Arial" w:cs="Arial" w:eastAsia="Arial" w:hAnsi="Arial"/>
                <w:sz w:val="18"/>
                <w:szCs w:val="18"/>
                <w:color w:val="auto"/>
                <w:w w:val="88"/>
              </w:rPr>
              <w:t>Date: November 5, 2021</w:t>
            </w:r>
          </w:p>
        </w:tc>
        <w:tc>
          <w:tcPr>
            <w:tcW w:w="4580" w:type="dxa"/>
            <w:vAlign w:val="bottom"/>
          </w:tcPr>
          <w:p>
            <w:pPr>
              <w:jc w:val="center"/>
              <w:ind w:right="90"/>
              <w:spacing w:after="0"/>
              <w:rPr>
                <w:sz w:val="20"/>
                <w:szCs w:val="20"/>
                <w:color w:val="auto"/>
              </w:rPr>
            </w:pPr>
            <w:r>
              <w:rPr>
                <w:rFonts w:ascii="Arial" w:cs="Arial" w:eastAsia="Arial" w:hAnsi="Arial"/>
                <w:sz w:val="18"/>
                <w:szCs w:val="18"/>
                <w:color w:val="auto"/>
                <w:w w:val="92"/>
              </w:rPr>
              <w:t>/s/ Toby J. Williams</w:t>
            </w:r>
          </w:p>
        </w:tc>
      </w:tr>
      <w:tr>
        <w:trPr>
          <w:trHeight w:val="178"/>
        </w:trPr>
        <w:tc>
          <w:tcPr>
            <w:tcW w:w="41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Name:</w:t>
            </w:r>
          </w:p>
        </w:tc>
        <w:tc>
          <w:tcPr>
            <w:tcW w:w="180" w:type="dxa"/>
            <w:vAlign w:val="bottom"/>
            <w:tcBorders>
              <w:top w:val="single" w:sz="8" w:color="auto"/>
            </w:tcBorders>
          </w:tcPr>
          <w:p>
            <w:pPr>
              <w:spacing w:after="0"/>
              <w:rPr>
                <w:sz w:val="15"/>
                <w:szCs w:val="15"/>
                <w:color w:val="auto"/>
              </w:rPr>
            </w:pPr>
          </w:p>
        </w:tc>
        <w:tc>
          <w:tcPr>
            <w:tcW w:w="4580" w:type="dxa"/>
            <w:vAlign w:val="bottom"/>
            <w:tcBorders>
              <w:top w:val="single" w:sz="8" w:color="auto"/>
            </w:tcBorders>
          </w:tcPr>
          <w:p>
            <w:pPr>
              <w:jc w:val="center"/>
              <w:ind w:right="70"/>
              <w:spacing w:after="0" w:line="177" w:lineRule="exact"/>
              <w:rPr>
                <w:sz w:val="20"/>
                <w:szCs w:val="20"/>
                <w:color w:val="auto"/>
              </w:rPr>
            </w:pPr>
            <w:r>
              <w:rPr>
                <w:rFonts w:ascii="Arial" w:cs="Arial" w:eastAsia="Arial" w:hAnsi="Arial"/>
                <w:sz w:val="18"/>
                <w:szCs w:val="18"/>
                <w:b w:val="1"/>
                <w:bCs w:val="1"/>
                <w:color w:val="auto"/>
                <w:w w:val="92"/>
              </w:rPr>
              <w:t>Toby J. Williams</w:t>
            </w:r>
          </w:p>
        </w:tc>
      </w:tr>
      <w:tr>
        <w:trPr>
          <w:trHeight w:val="234"/>
        </w:trPr>
        <w:tc>
          <w:tcPr>
            <w:tcW w:w="4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Title:</w:t>
            </w:r>
          </w:p>
        </w:tc>
        <w:tc>
          <w:tcPr>
            <w:tcW w:w="45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Chief Financial Officer (Principal Financial Officer)</w:t>
            </w:r>
          </w:p>
        </w:tc>
      </w:tr>
    </w:tbl>
    <w:p>
      <w:pPr>
        <w:spacing w:after="0" w:line="175" w:lineRule="exact"/>
        <w:rPr>
          <w:sz w:val="20"/>
          <w:szCs w:val="20"/>
          <w:color w:val="auto"/>
        </w:rPr>
      </w:pPr>
    </w:p>
    <w:p>
      <w:pPr>
        <w:ind w:left="60" w:right="319" w:firstLine="441"/>
        <w:spacing w:after="0" w:line="324"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294005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Letter"/>
      <w:start w:val="2"/>
    </w:lvl>
  </w:abstractNum>
  <w:abstractNum w:abstractNumId="4">
    <w:nsid w:val="216231B"/>
    <w:multiLevelType w:val="hybridMultilevel"/>
    <w:lvl w:ilvl="0">
      <w:lvlJc w:val="left"/>
      <w:lvlText w:val="(%1)"/>
      <w:numFmt w:val="lowerLetter"/>
      <w:start w:val="3"/>
    </w:lvl>
  </w:abstractNum>
  <w:abstractNum w:abstractNumId="5">
    <w:nsid w:val="1F16E9E8"/>
    <w:multiLevelType w:val="hybridMultilevel"/>
    <w:lvl w:ilvl="0">
      <w:lvlJc w:val="left"/>
      <w:lvlText w:val="(%1)"/>
      <w:numFmt w:val="lowerLetter"/>
      <w:start w:val="4"/>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2"/>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55" Type="http://schemas.openxmlformats.org/officeDocument/2006/relationships/hyperlink" Target="http://www.sec.gov/Archives/edgar/data/1591698/000104746914000931/a2218171zex-3_2.htm" TargetMode="External"/><Relationship Id="rId56" Type="http://schemas.openxmlformats.org/officeDocument/2006/relationships/hyperlink" Target="http://www.sec.gov/Archives/edgar/data/1591698/000155837017006561/pcty-20170630ex321ac616a.htm" TargetMode="External"/><Relationship Id="rId57" Type="http://schemas.openxmlformats.org/officeDocument/2006/relationships/hyperlink" Target="https://www.sec.gov/Archives/edgar/data/1591698/000110465921111860/tm212641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2021-11-05T09:05:42Z</dcterms:created>
  <dcterms:modified xsi:type="dcterms:W3CDTF">2021-11-05T09:05:42Z</dcterms:modified>
</cp:coreProperties>
</file>