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133350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160020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660" w:hanging="32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2020</w:t>
      </w:r>
    </w:p>
    <w:p>
      <w:pPr>
        <w:spacing w:after="0" w:line="140" w:lineRule="exact"/>
        <w:rPr>
          <w:sz w:val="24"/>
          <w:szCs w:val="24"/>
          <w:color w:val="auto"/>
        </w:rPr>
      </w:pPr>
    </w:p>
    <w:p>
      <w:pPr>
        <w:ind w:left="660" w:hanging="326"/>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960"/>
        <w:spacing w:after="0"/>
        <w:tabs>
          <w:tab w:leader="none" w:pos="59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152400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47625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tcPr>
          <w:p>
            <w:pPr>
              <w:jc w:val="center"/>
              <w:ind w:left="1488"/>
              <w:spacing w:after="0"/>
              <w:rPr>
                <w:sz w:val="20"/>
                <w:szCs w:val="20"/>
                <w:color w:val="auto"/>
              </w:rPr>
            </w:pPr>
            <w:r>
              <w:rPr>
                <w:rFonts w:ascii="Arial" w:cs="Arial" w:eastAsia="Arial" w:hAnsi="Arial"/>
                <w:sz w:val="14"/>
                <w:szCs w:val="14"/>
                <w:b w:val="1"/>
                <w:bCs w:val="1"/>
                <w:color w:val="auto"/>
                <w:w w:val="94"/>
              </w:rPr>
              <w:t>Delaware</w:t>
            </w:r>
          </w:p>
        </w:tc>
        <w:tc>
          <w:tcPr>
            <w:tcW w:w="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tcPr>
          <w:p>
            <w:pPr>
              <w:jc w:val="center"/>
              <w:ind w:right="160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346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5"/>
              </w:rPr>
              <w:t>(State or other jurisdiction of</w:t>
            </w:r>
          </w:p>
        </w:tc>
        <w:tc>
          <w:tcPr>
            <w:tcW w:w="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40" w:type="dxa"/>
            <w:vAlign w:val="bottom"/>
          </w:tcPr>
          <w:p>
            <w:pPr>
              <w:jc w:val="center"/>
              <w:ind w:right="1608"/>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3460" w:type="dxa"/>
            <w:vAlign w:val="bottom"/>
            <w:gridSpan w:val="2"/>
          </w:tcPr>
          <w:p>
            <w:pPr>
              <w:jc w:val="center"/>
              <w:ind w:left="1508"/>
              <w:spacing w:after="0"/>
              <w:rPr>
                <w:sz w:val="20"/>
                <w:szCs w:val="20"/>
                <w:color w:val="auto"/>
              </w:rPr>
            </w:pPr>
            <w:r>
              <w:rPr>
                <w:rFonts w:ascii="Arial" w:cs="Arial" w:eastAsia="Arial" w:hAnsi="Arial"/>
                <w:sz w:val="14"/>
                <w:szCs w:val="14"/>
                <w:color w:val="auto"/>
                <w:w w:val="94"/>
              </w:rPr>
              <w:t>incorporation or organization)</w:t>
            </w:r>
          </w:p>
        </w:tc>
        <w:tc>
          <w:tcPr>
            <w:tcW w:w="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tcPr>
          <w:p>
            <w:pPr>
              <w:jc w:val="center"/>
              <w:ind w:right="160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86"/>
        </w:trPr>
        <w:tc>
          <w:tcPr>
            <w:tcW w:w="3460" w:type="dxa"/>
            <w:vAlign w:val="bottom"/>
            <w:gridSpan w:val="2"/>
          </w:tcPr>
          <w:p>
            <w:pPr>
              <w:jc w:val="center"/>
              <w:ind w:left="1588"/>
              <w:spacing w:after="0"/>
              <w:rPr>
                <w:sz w:val="20"/>
                <w:szCs w:val="20"/>
                <w:color w:val="auto"/>
              </w:rPr>
            </w:pPr>
            <w:r>
              <w:rPr>
                <w:rFonts w:ascii="Arial" w:cs="Arial" w:eastAsia="Arial" w:hAnsi="Arial"/>
                <w:sz w:val="14"/>
                <w:szCs w:val="14"/>
                <w:b w:val="1"/>
                <w:bCs w:val="1"/>
                <w:color w:val="auto"/>
                <w:w w:val="94"/>
              </w:rPr>
              <w:t>1400 American Lane</w:t>
            </w:r>
          </w:p>
        </w:tc>
        <w:tc>
          <w:tcPr>
            <w:tcW w:w="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vMerge w:val="restart"/>
          </w:tcPr>
          <w:p>
            <w:pPr>
              <w:jc w:val="right"/>
              <w:ind w:right="2308"/>
              <w:spacing w:after="0"/>
              <w:rPr>
                <w:sz w:val="20"/>
                <w:szCs w:val="20"/>
                <w:color w:val="auto"/>
              </w:rPr>
            </w:pPr>
            <w:r>
              <w:rPr>
                <w:rFonts w:ascii="Arial" w:cs="Arial" w:eastAsia="Arial" w:hAnsi="Arial"/>
                <w:sz w:val="14"/>
                <w:szCs w:val="14"/>
                <w:b w:val="1"/>
                <w:bCs w:val="1"/>
                <w:color w:val="auto"/>
              </w:rPr>
              <w:t>60173</w:t>
            </w:r>
          </w:p>
        </w:tc>
        <w:tc>
          <w:tcPr>
            <w:tcW w:w="0" w:type="dxa"/>
            <w:vAlign w:val="bottom"/>
          </w:tcPr>
          <w:p>
            <w:pPr>
              <w:spacing w:after="0"/>
              <w:rPr>
                <w:sz w:val="1"/>
                <w:szCs w:val="1"/>
                <w:color w:val="auto"/>
              </w:rPr>
            </w:pPr>
          </w:p>
        </w:tc>
      </w:tr>
      <w:tr>
        <w:trPr>
          <w:trHeight w:val="152"/>
        </w:trPr>
        <w:tc>
          <w:tcPr>
            <w:tcW w:w="3460" w:type="dxa"/>
            <w:vAlign w:val="bottom"/>
            <w:gridSpan w:val="2"/>
          </w:tcPr>
          <w:p>
            <w:pPr>
              <w:jc w:val="center"/>
              <w:ind w:left="1608"/>
              <w:spacing w:after="0" w:line="153" w:lineRule="exact"/>
              <w:rPr>
                <w:sz w:val="20"/>
                <w:szCs w:val="20"/>
                <w:color w:val="auto"/>
              </w:rPr>
            </w:pPr>
            <w:r>
              <w:rPr>
                <w:rFonts w:ascii="Arial" w:cs="Arial" w:eastAsia="Arial" w:hAnsi="Arial"/>
                <w:sz w:val="14"/>
                <w:szCs w:val="14"/>
                <w:b w:val="1"/>
                <w:bCs w:val="1"/>
                <w:color w:val="auto"/>
                <w:w w:val="94"/>
              </w:rPr>
              <w:t>Schaumburg, Illinois</w:t>
            </w:r>
          </w:p>
        </w:tc>
        <w:tc>
          <w:tcPr>
            <w:tcW w:w="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900" w:type="dxa"/>
            <w:vAlign w:val="bottom"/>
            <w:gridSpan w:val="6"/>
          </w:tcPr>
          <w:p>
            <w:pPr>
              <w:jc w:val="center"/>
              <w:ind w:right="1780"/>
              <w:spacing w:after="0" w:line="145" w:lineRule="exact"/>
              <w:rPr>
                <w:sz w:val="20"/>
                <w:szCs w:val="20"/>
                <w:color w:val="auto"/>
              </w:rPr>
            </w:pPr>
            <w:r>
              <w:rPr>
                <w:rFonts w:ascii="Arial" w:cs="Arial" w:eastAsia="Arial" w:hAnsi="Arial"/>
                <w:sz w:val="14"/>
                <w:szCs w:val="14"/>
                <w:color w:val="auto"/>
                <w:w w:val="95"/>
              </w:rPr>
              <w:t>(Address of principal executive offices)</w:t>
            </w:r>
          </w:p>
        </w:tc>
        <w:tc>
          <w:tcPr>
            <w:tcW w:w="3340" w:type="dxa"/>
            <w:vAlign w:val="bottom"/>
          </w:tcPr>
          <w:p>
            <w:pPr>
              <w:ind w:left="460"/>
              <w:spacing w:after="0" w:line="145" w:lineRule="exact"/>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40" w:type="dxa"/>
            <w:vAlign w:val="bottom"/>
            <w:gridSpan w:val="2"/>
          </w:tcPr>
          <w:p>
            <w:pPr>
              <w:jc w:val="center"/>
              <w:ind w:left="328"/>
              <w:spacing w:after="0" w:line="153" w:lineRule="exact"/>
              <w:rPr>
                <w:sz w:val="20"/>
                <w:szCs w:val="20"/>
                <w:color w:val="auto"/>
              </w:rPr>
            </w:pPr>
            <w:r>
              <w:rPr>
                <w:rFonts w:ascii="Arial" w:cs="Arial" w:eastAsia="Arial" w:hAnsi="Arial"/>
                <w:sz w:val="14"/>
                <w:szCs w:val="14"/>
                <w:b w:val="1"/>
                <w:bCs w:val="1"/>
                <w:color w:val="auto"/>
                <w:w w:val="93"/>
              </w:rPr>
              <w:t>(847) 463-3200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(Registrant’s telephone number, including area code)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3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500" w:type="dxa"/>
            <w:vAlign w:val="bottom"/>
            <w:gridSpan w:val="2"/>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Pr>
          <w:p>
            <w:pPr>
              <w:spacing w:after="0"/>
              <w:rPr>
                <w:sz w:val="24"/>
                <w:szCs w:val="24"/>
                <w:color w:val="auto"/>
              </w:rPr>
            </w:pPr>
          </w:p>
        </w:tc>
        <w:tc>
          <w:tcPr>
            <w:tcW w:w="30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Trading Symbol(s)</w:t>
            </w:r>
          </w:p>
        </w:tc>
        <w:tc>
          <w:tcPr>
            <w:tcW w:w="3340" w:type="dxa"/>
            <w:vAlign w:val="bottom"/>
          </w:tcPr>
          <w:p>
            <w:pPr>
              <w:ind w:left="3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32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40" w:type="dxa"/>
            <w:vAlign w:val="bottom"/>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2"/>
          </w:tcPr>
          <w:p>
            <w:pPr>
              <w:jc w:val="center"/>
              <w:ind w:right="380"/>
              <w:spacing w:after="0"/>
              <w:rPr>
                <w:sz w:val="20"/>
                <w:szCs w:val="20"/>
                <w:color w:val="auto"/>
              </w:rPr>
            </w:pPr>
            <w:r>
              <w:rPr>
                <w:rFonts w:ascii="Arial" w:cs="Arial" w:eastAsia="Arial" w:hAnsi="Arial"/>
                <w:sz w:val="14"/>
                <w:szCs w:val="14"/>
                <w:color w:val="auto"/>
              </w:rPr>
              <w:t>PCTY</w:t>
            </w:r>
          </w:p>
        </w:tc>
        <w:tc>
          <w:tcPr>
            <w:tcW w:w="220" w:type="dxa"/>
            <w:vAlign w:val="bottom"/>
            <w:vMerge w:val="continue"/>
          </w:tcPr>
          <w:p>
            <w:pPr>
              <w:spacing w:after="0"/>
              <w:rPr>
                <w:sz w:val="15"/>
                <w:szCs w:val="15"/>
                <w:color w:val="auto"/>
              </w:rPr>
            </w:pPr>
          </w:p>
        </w:tc>
        <w:tc>
          <w:tcPr>
            <w:tcW w:w="3340" w:type="dxa"/>
            <w:vAlign w:val="bottom"/>
          </w:tcPr>
          <w:p>
            <w:pPr>
              <w:ind w:left="460"/>
              <w:spacing w:after="0"/>
              <w:rPr>
                <w:sz w:val="20"/>
                <w:szCs w:val="20"/>
                <w:color w:val="auto"/>
              </w:rPr>
            </w:pPr>
            <w:r>
              <w:rPr>
                <w:rFonts w:ascii="Arial" w:cs="Arial" w:eastAsia="Arial" w:hAnsi="Arial"/>
                <w:sz w:val="14"/>
                <w:szCs w:val="14"/>
                <w:color w:val="auto"/>
              </w:rPr>
              <w:t>The NASDAQ Global Select Market LLC</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left="20" w:right="42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left="20" w:right="2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left="20" w:right="60" w:firstLine="441"/>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520" w:type="dxa"/>
        <w:tblCellMar>
          <w:top w:w="0" w:type="dxa"/>
          <w:left w:w="0" w:type="dxa"/>
          <w:bottom w:w="0" w:type="dxa"/>
          <w:right w:w="0" w:type="dxa"/>
        </w:tblCellMar>
      </w:tblPr>
      <w:tr>
        <w:trPr>
          <w:trHeight w:val="226"/>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220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5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2200"/>
              <w:spacing w:after="0"/>
              <w:rPr>
                <w:sz w:val="20"/>
                <w:szCs w:val="20"/>
                <w:color w:val="auto"/>
              </w:rPr>
            </w:pPr>
            <w:r>
              <w:rPr>
                <w:rFonts w:ascii="Arial" w:cs="Arial" w:eastAsia="Arial" w:hAnsi="Arial"/>
                <w:sz w:val="14"/>
                <w:szCs w:val="14"/>
                <w:color w:val="auto"/>
                <w:w w:val="95"/>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900" w:type="dxa"/>
            <w:vAlign w:val="bottom"/>
          </w:tcPr>
          <w:p>
            <w:pPr>
              <w:ind w:left="2200"/>
              <w:spacing w:after="0"/>
              <w:rPr>
                <w:sz w:val="20"/>
                <w:szCs w:val="20"/>
                <w:color w:val="auto"/>
              </w:rPr>
            </w:pPr>
            <w:r>
              <w:rPr>
                <w:rFonts w:ascii="Arial" w:cs="Arial" w:eastAsia="Arial" w:hAnsi="Arial"/>
                <w:sz w:val="14"/>
                <w:szCs w:val="14"/>
                <w:color w:val="auto"/>
                <w:w w:val="97"/>
              </w:rPr>
              <w:t>Emerging Growth Company</w:t>
            </w:r>
          </w:p>
        </w:tc>
        <w:tc>
          <w:tcPr>
            <w:tcW w:w="2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80" w:lineRule="exact"/>
        <w:rPr>
          <w:sz w:val="24"/>
          <w:szCs w:val="24"/>
          <w:color w:val="auto"/>
        </w:rPr>
      </w:pPr>
    </w:p>
    <w:p>
      <w:pPr>
        <w:ind w:left="20" w:right="34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left="20" w:right="100"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53,686,172 shares of Common Stock, $0.001 par value per share, as of May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405130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42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60" w:type="dxa"/>
            <w:vAlign w:val="bottom"/>
            <w:gridSpan w:val="2"/>
          </w:tcPr>
          <w:p>
            <w:pPr>
              <w:jc w:val="center"/>
              <w:ind w:right="1580"/>
              <w:spacing w:after="0"/>
              <w:rPr>
                <w:rFonts w:ascii="Arial" w:cs="Arial" w:eastAsia="Arial" w:hAnsi="Arial"/>
                <w:sz w:val="18"/>
                <w:szCs w:val="18"/>
                <w:u w:val="single" w:color="auto"/>
                <w:color w:val="0000EE"/>
                <w:w w:val="98"/>
              </w:rPr>
            </w:pPr>
            <w:hyperlink w:anchor="page3">
              <w:r>
                <w:rPr>
                  <w:rFonts w:ascii="Arial" w:cs="Arial" w:eastAsia="Arial" w:hAnsi="Arial"/>
                  <w:sz w:val="18"/>
                  <w:szCs w:val="18"/>
                  <w:u w:val="single" w:color="auto"/>
                  <w:color w:val="0000EE"/>
                  <w:w w:val="98"/>
                </w:rPr>
                <w:t>PART I. FINANCIAL INFORMATION</w:t>
              </w:r>
            </w:hyperlink>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Consolidated Balance Sheets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Consolidated Statements of Operations and Comprehensive Income</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Statement of Changes in Stockholders’ Equity</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Cash Flows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Unaudited Consolidated Financial Statements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9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1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OF OPERATIONS</w:t>
              </w:r>
            </w:hyperlink>
          </w:p>
        </w:tc>
        <w:tc>
          <w:tcPr>
            <w:tcW w:w="280" w:type="dxa"/>
            <w:vAlign w:val="bottom"/>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3. QUANTITATIVE AND QUALITATIVE DISCLOSURES ABOUT MARKET RISK</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4. CONTROLS AND PROCEDURES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60" w:type="dxa"/>
            <w:vAlign w:val="bottom"/>
            <w:gridSpan w:val="2"/>
          </w:tcPr>
          <w:p>
            <w:pPr>
              <w:jc w:val="center"/>
              <w:ind w:right="1580"/>
              <w:spacing w:after="0"/>
              <w:rPr>
                <w:rFonts w:ascii="Arial" w:cs="Arial" w:eastAsia="Arial" w:hAnsi="Arial"/>
                <w:sz w:val="18"/>
                <w:szCs w:val="18"/>
                <w:u w:val="single" w:color="auto"/>
                <w:color w:val="0000EE"/>
                <w:w w:val="95"/>
              </w:rPr>
            </w:pPr>
            <w:hyperlink w:anchor="page39">
              <w:r>
                <w:rPr>
                  <w:rFonts w:ascii="Arial" w:cs="Arial" w:eastAsia="Arial" w:hAnsi="Arial"/>
                  <w:sz w:val="18"/>
                  <w:szCs w:val="18"/>
                  <w:u w:val="single" w:color="auto"/>
                  <w:color w:val="0000EE"/>
                  <w:w w:val="95"/>
                </w:rPr>
                <w:t>PART II. OTHER INFORMATION</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 LEGAL PROCEEDINGS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1A. RISK FACTORS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2. UNREGISTERED SALES OF EQUITY SECURITIES AND USE OF PROCEEDS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3. DEFAULTS UPON SENIOR SECURITIES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4. MINE SAFETY DISCLOSURES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5. OTHER INFORMATION</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6. EXHIBITS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SIGNATURES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648"/>
        </w:trPr>
        <w:tc>
          <w:tcPr>
            <w:tcW w:w="8160" w:type="dxa"/>
            <w:vAlign w:val="bottom"/>
            <w:gridSpan w:val="3"/>
          </w:tcPr>
          <w:p>
            <w:pPr>
              <w:jc w:val="right"/>
              <w:ind w:right="357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FINANCIAL INFORMATION</w:t>
      </w:r>
    </w:p>
    <w:p>
      <w:pPr>
        <w:spacing w:after="0" w:line="105"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6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114,325</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Corporate investments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66,308</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Deferred contract costs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29,086</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80" w:type="dxa"/>
            <w:vAlign w:val="bottom"/>
            <w:shd w:val="clear" w:color="auto" w:fill="CCEEFF"/>
          </w:tcPr>
          <w:p>
            <w:pPr>
              <w:spacing w:after="0"/>
              <w:rPr>
                <w:sz w:val="18"/>
                <w:szCs w:val="18"/>
                <w:color w:val="auto"/>
              </w:rPr>
            </w:pPr>
          </w:p>
        </w:tc>
      </w:tr>
      <w:tr>
        <w:trPr>
          <w:trHeight w:val="209"/>
        </w:trPr>
        <w:tc>
          <w:tcPr>
            <w:tcW w:w="6760" w:type="dxa"/>
            <w:vAlign w:val="bottom"/>
          </w:tcPr>
          <w:p>
            <w:pPr>
              <w:ind w:left="320"/>
              <w:spacing w:after="0"/>
              <w:rPr>
                <w:sz w:val="20"/>
                <w:szCs w:val="20"/>
                <w:color w:val="auto"/>
              </w:rPr>
            </w:pPr>
            <w:r>
              <w:rPr>
                <w:rFonts w:ascii="Arial" w:cs="Arial" w:eastAsia="Arial" w:hAnsi="Arial"/>
                <w:sz w:val="18"/>
                <w:szCs w:val="18"/>
                <w:color w:val="auto"/>
              </w:rPr>
              <w:t>Total current assets before funds held for clients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228,817</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Funds held for clients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1,394,469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1,729,176</w:t>
            </w:r>
          </w:p>
        </w:tc>
        <w:tc>
          <w:tcPr>
            <w:tcW w:w="80" w:type="dxa"/>
            <w:vAlign w:val="bottom"/>
            <w:shd w:val="clear" w:color="auto" w:fill="CCEEFF"/>
          </w:tcPr>
          <w:p>
            <w:pPr>
              <w:spacing w:after="0"/>
              <w:rPr>
                <w:sz w:val="18"/>
                <w:szCs w:val="18"/>
                <w:color w:val="auto"/>
              </w:rPr>
            </w:pPr>
          </w:p>
        </w:tc>
      </w:tr>
      <w:tr>
        <w:trPr>
          <w:trHeight w:val="209"/>
        </w:trPr>
        <w:tc>
          <w:tcPr>
            <w:tcW w:w="67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1,596,189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1,957,993</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34,067</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68,698</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50,180</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9,063</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Long-term deferred contract costs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111,842</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 and other</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assets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7,229</w:t>
            </w:r>
          </w:p>
        </w:tc>
        <w:tc>
          <w:tcPr>
            <w:tcW w:w="80" w:type="dxa"/>
            <w:vAlign w:val="bottom"/>
            <w:tcBorders>
              <w:bottom w:val="single" w:sz="8" w:color="CCEEFF"/>
            </w:tcBorders>
          </w:tcPr>
          <w:p>
            <w:pPr>
              <w:spacing w:after="0"/>
              <w:rPr>
                <w:sz w:val="18"/>
                <w:szCs w:val="18"/>
                <w:color w:val="auto"/>
              </w:rPr>
            </w:pPr>
          </w:p>
        </w:tc>
      </w:tr>
      <w:tr>
        <w:trPr>
          <w:trHeight w:val="209"/>
        </w:trPr>
        <w:tc>
          <w:tcPr>
            <w:tcW w:w="6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1,803,941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2,256,928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64,002</w:t>
            </w:r>
          </w:p>
        </w:tc>
        <w:tc>
          <w:tcPr>
            <w:tcW w:w="8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 before client fund obligations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67,628</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Client fund obligations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1,394,469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1,729,176</w:t>
            </w:r>
          </w:p>
        </w:tc>
        <w:tc>
          <w:tcPr>
            <w:tcW w:w="8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1,456,048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1,796,804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74,912</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w:t>
            </w:r>
          </w:p>
        </w:tc>
        <w:tc>
          <w:tcPr>
            <w:tcW w:w="80" w:type="dxa"/>
            <w:vAlign w:val="bottom"/>
            <w:shd w:val="clear" w:color="auto" w:fill="CCEEFF"/>
          </w:tcPr>
          <w:p>
            <w:pPr>
              <w:spacing w:after="0"/>
              <w:rPr>
                <w:sz w:val="18"/>
                <w:szCs w:val="18"/>
                <w:color w:val="auto"/>
              </w:rPr>
            </w:pPr>
          </w:p>
        </w:tc>
      </w:tr>
      <w:tr>
        <w:trPr>
          <w:trHeight w:val="210"/>
        </w:trPr>
        <w:tc>
          <w:tcPr>
            <w:tcW w:w="6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1,495,977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1,882,553</w:t>
            </w:r>
          </w:p>
        </w:tc>
        <w:tc>
          <w:tcPr>
            <w:tcW w:w="8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6760" w:type="dxa"/>
            <w:vAlign w:val="bottom"/>
          </w:tcPr>
          <w:p>
            <w:pPr>
              <w:ind w:left="220"/>
              <w:spacing w:after="0" w:line="201" w:lineRule="exact"/>
              <w:rPr>
                <w:sz w:val="20"/>
                <w:szCs w:val="20"/>
                <w:color w:val="auto"/>
              </w:rPr>
            </w:pPr>
            <w:r>
              <w:rPr>
                <w:rFonts w:ascii="Arial" w:cs="Arial" w:eastAsia="Arial" w:hAnsi="Arial"/>
                <w:sz w:val="18"/>
                <w:szCs w:val="18"/>
                <w:color w:val="auto"/>
                <w:w w:val="91"/>
              </w:rPr>
              <w:t>Preferred stock, $0.001 par value, 5,000 authorized, no shares issued and outstanding at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760" w:type="dxa"/>
            <w:vAlign w:val="bottom"/>
          </w:tcPr>
          <w:p>
            <w:pPr>
              <w:ind w:left="220"/>
              <w:spacing w:after="0"/>
              <w:rPr>
                <w:sz w:val="20"/>
                <w:szCs w:val="20"/>
                <w:color w:val="auto"/>
              </w:rPr>
            </w:pPr>
            <w:r>
              <w:rPr>
                <w:rFonts w:ascii="Arial" w:cs="Arial" w:eastAsia="Arial" w:hAnsi="Arial"/>
                <w:sz w:val="18"/>
                <w:szCs w:val="18"/>
                <w:color w:val="auto"/>
              </w:rPr>
              <w:t>June 30, 2019 and March 31,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Common stock, $0.001 par value, 155,000 shares authorized at June 30, 2019 and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March 31, 2020; 53,075 shares issued and outstanding at June 30, 2019 and 53,660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at March 31, 2020</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0"/>
                <w:szCs w:val="20"/>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207,982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215,101</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159,322</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r>
      <w:tr>
        <w:trPr>
          <w:trHeight w:val="210"/>
        </w:trPr>
        <w:tc>
          <w:tcPr>
            <w:tcW w:w="67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374,375</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76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1,803,941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2,256,928</w:t>
            </w: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Recurring and other revenue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133,355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167,095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333,096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416,948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139,552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171,646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347,260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430,740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113,757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123,565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233,503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294,605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112,051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77,283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186,488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234,750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47,741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28,026</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40,132</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43,582</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Unrealized gains (losses) on securities, net of tax</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28,187</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39,950</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43,743</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0.79</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w w:val="92"/>
              </w:rPr>
              <w:t>Weighted-average shares used in computing net income per share: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55,465</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55,953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55,280</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55,760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500" w:right="1720"/>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16"/>
          </w:tcPr>
          <w:p>
            <w:pPr>
              <w:spacing w:after="0"/>
              <w:rPr>
                <w:sz w:val="20"/>
                <w:szCs w:val="20"/>
                <w:color w:val="auto"/>
              </w:rPr>
            </w:pPr>
            <w:r>
              <w:rPr>
                <w:rFonts w:ascii="Arial" w:cs="Arial" w:eastAsia="Arial" w:hAnsi="Arial"/>
                <w:sz w:val="13"/>
                <w:szCs w:val="13"/>
                <w:b w:val="1"/>
                <w:bCs w:val="1"/>
                <w:color w:val="auto"/>
              </w:rPr>
              <w:t>Three Months Ended March 31, 2019</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4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4"/>
          </w:tcPr>
          <w:p>
            <w:pPr>
              <w:jc w:val="center"/>
              <w:ind w:right="6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5"/>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53"/>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11"/>
          </w:tcPr>
          <w:p>
            <w:pPr>
              <w:ind w:left="12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43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jc w:val="right"/>
              <w:ind w:right="180"/>
              <w:spacing w:after="0" w:line="129" w:lineRule="exact"/>
              <w:rPr>
                <w:sz w:val="20"/>
                <w:szCs w:val="20"/>
                <w:color w:val="auto"/>
              </w:rPr>
            </w:pPr>
            <w:r>
              <w:rPr>
                <w:rFonts w:ascii="Arial" w:cs="Arial" w:eastAsia="Arial" w:hAnsi="Arial"/>
                <w:sz w:val="13"/>
                <w:szCs w:val="13"/>
                <w:b w:val="1"/>
                <w:bCs w:val="1"/>
                <w:color w:val="auto"/>
                <w:w w:val="96"/>
              </w:rPr>
              <w:t>Shares</w:t>
            </w: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w w:val="81"/>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4"/>
          </w:tcPr>
          <w:p>
            <w:pPr>
              <w:jc w:val="center"/>
              <w:ind w:right="120"/>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ind w:right="60"/>
              <w:spacing w:after="0" w:line="129" w:lineRule="exact"/>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42"/>
        </w:trPr>
        <w:tc>
          <w:tcPr>
            <w:tcW w:w="43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December 31, 2018</w:t>
            </w:r>
          </w:p>
        </w:tc>
        <w:tc>
          <w:tcPr>
            <w:tcW w:w="5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52,887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8"/>
              </w:rPr>
              <w:t>189,473</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61,550</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250,937</w:t>
            </w:r>
          </w:p>
        </w:tc>
        <w:tc>
          <w:tcPr>
            <w:tcW w:w="20" w:type="dxa"/>
            <w:vAlign w:val="bottom"/>
          </w:tcPr>
          <w:p>
            <w:pPr>
              <w:spacing w:after="0"/>
              <w:rPr>
                <w:sz w:val="12"/>
                <w:szCs w:val="12"/>
                <w:color w:val="auto"/>
              </w:rPr>
            </w:pPr>
          </w:p>
        </w:tc>
      </w:tr>
      <w:tr>
        <w:trPr>
          <w:trHeight w:val="148"/>
        </w:trPr>
        <w:tc>
          <w:tcPr>
            <w:tcW w:w="430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9,972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9,972</w:t>
            </w:r>
          </w:p>
        </w:tc>
        <w:tc>
          <w:tcPr>
            <w:tcW w:w="20" w:type="dxa"/>
            <w:vAlign w:val="bottom"/>
          </w:tcPr>
          <w:p>
            <w:pPr>
              <w:spacing w:after="0"/>
              <w:rPr>
                <w:sz w:val="12"/>
                <w:szCs w:val="12"/>
                <w:color w:val="auto"/>
              </w:rPr>
            </w:pPr>
          </w:p>
        </w:tc>
      </w:tr>
      <w:tr>
        <w:trPr>
          <w:trHeight w:val="148"/>
        </w:trPr>
        <w:tc>
          <w:tcPr>
            <w:tcW w:w="4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1,483</w:t>
            </w:r>
          </w:p>
        </w:tc>
        <w:tc>
          <w:tcPr>
            <w:tcW w:w="20" w:type="dxa"/>
            <w:vAlign w:val="bottom"/>
          </w:tcPr>
          <w:p>
            <w:pPr>
              <w:spacing w:after="0"/>
              <w:rPr>
                <w:sz w:val="12"/>
                <w:szCs w:val="12"/>
                <w:color w:val="auto"/>
              </w:rPr>
            </w:pPr>
          </w:p>
        </w:tc>
      </w:tr>
      <w:tr>
        <w:trPr>
          <w:trHeight w:val="148"/>
        </w:trPr>
        <w:tc>
          <w:tcPr>
            <w:tcW w:w="430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4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Net settlement for taxes and/or exercise price related to equity awards</w:t>
            </w:r>
          </w:p>
        </w:tc>
        <w:tc>
          <w:tcPr>
            <w:tcW w:w="6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(4,354)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(4,354)</w:t>
            </w:r>
          </w:p>
        </w:tc>
        <w:tc>
          <w:tcPr>
            <w:tcW w:w="20" w:type="dxa"/>
            <w:vAlign w:val="bottom"/>
          </w:tcPr>
          <w:p>
            <w:pPr>
              <w:spacing w:after="0"/>
              <w:rPr>
                <w:sz w:val="12"/>
                <w:szCs w:val="12"/>
                <w:color w:val="auto"/>
              </w:rPr>
            </w:pPr>
          </w:p>
        </w:tc>
      </w:tr>
      <w:tr>
        <w:trPr>
          <w:trHeight w:val="148"/>
        </w:trPr>
        <w:tc>
          <w:tcPr>
            <w:tcW w:w="4300" w:type="dxa"/>
            <w:vAlign w:val="bottom"/>
          </w:tcPr>
          <w:p>
            <w:pPr>
              <w:ind w:left="20"/>
              <w:spacing w:after="0" w:line="149" w:lineRule="exact"/>
              <w:rPr>
                <w:sz w:val="20"/>
                <w:szCs w:val="20"/>
                <w:color w:val="auto"/>
              </w:rPr>
            </w:pPr>
            <w:r>
              <w:rPr>
                <w:rFonts w:ascii="Arial" w:cs="Arial" w:eastAsia="Arial" w:hAnsi="Arial"/>
                <w:sz w:val="14"/>
                <w:szCs w:val="14"/>
                <w:color w:val="auto"/>
              </w:rPr>
              <w:t>Unrealized gains on securities, net of tax</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20" w:type="dxa"/>
            <w:vAlign w:val="bottom"/>
          </w:tcPr>
          <w:p>
            <w:pPr>
              <w:spacing w:after="0"/>
              <w:rPr>
                <w:sz w:val="12"/>
                <w:szCs w:val="12"/>
                <w:color w:val="auto"/>
              </w:rPr>
            </w:pPr>
          </w:p>
        </w:tc>
      </w:tr>
      <w:tr>
        <w:trPr>
          <w:trHeight w:val="148"/>
        </w:trPr>
        <w:tc>
          <w:tcPr>
            <w:tcW w:w="4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28,026</w:t>
            </w:r>
          </w:p>
        </w:tc>
        <w:tc>
          <w:tcPr>
            <w:tcW w:w="20" w:type="dxa"/>
            <w:vAlign w:val="bottom"/>
          </w:tcPr>
          <w:p>
            <w:pPr>
              <w:spacing w:after="0"/>
              <w:rPr>
                <w:sz w:val="12"/>
                <w:szCs w:val="12"/>
                <w:color w:val="auto"/>
              </w:rPr>
            </w:pPr>
          </w:p>
        </w:tc>
      </w:tr>
      <w:tr>
        <w:trPr>
          <w:trHeight w:val="142"/>
        </w:trPr>
        <w:tc>
          <w:tcPr>
            <w:tcW w:w="43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Balances at March 31, 2019</w:t>
            </w:r>
          </w:p>
        </w:tc>
        <w:tc>
          <w:tcPr>
            <w:tcW w:w="5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52,964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w w:val="98"/>
              </w:rPr>
              <w:t>196,574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89,576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286,225</w:t>
            </w:r>
          </w:p>
        </w:tc>
        <w:tc>
          <w:tcPr>
            <w:tcW w:w="20" w:type="dxa"/>
            <w:vAlign w:val="bottom"/>
          </w:tcPr>
          <w:p>
            <w:pPr>
              <w:spacing w:after="0"/>
              <w:rPr>
                <w:sz w:val="12"/>
                <w:szCs w:val="12"/>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6"/>
          </w:tcPr>
          <w:p>
            <w:pPr>
              <w:spacing w:after="0"/>
              <w:rPr>
                <w:sz w:val="20"/>
                <w:szCs w:val="20"/>
                <w:color w:val="auto"/>
              </w:rPr>
            </w:pPr>
            <w:r>
              <w:rPr>
                <w:rFonts w:ascii="Arial" w:cs="Arial" w:eastAsia="Arial" w:hAnsi="Arial"/>
                <w:sz w:val="13"/>
                <w:szCs w:val="13"/>
                <w:b w:val="1"/>
                <w:bCs w:val="1"/>
                <w:color w:val="auto"/>
              </w:rPr>
              <w:t>Three Months Ended March 31, 2020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4"/>
          </w:tcPr>
          <w:p>
            <w:pPr>
              <w:jc w:val="center"/>
              <w:ind w:right="8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5"/>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53"/>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11"/>
          </w:tcPr>
          <w:p>
            <w:pPr>
              <w:ind w:left="12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3"/>
                <w:szCs w:val="13"/>
                <w:color w:val="auto"/>
              </w:rPr>
            </w:pPr>
          </w:p>
        </w:tc>
        <w:tc>
          <w:tcPr>
            <w:tcW w:w="920" w:type="dxa"/>
            <w:vAlign w:val="bottom"/>
            <w:gridSpan w:val="5"/>
          </w:tcPr>
          <w:p>
            <w:pPr>
              <w:ind w:left="20"/>
              <w:spacing w:after="0"/>
              <w:rPr>
                <w:sz w:val="20"/>
                <w:szCs w:val="20"/>
                <w:color w:val="auto"/>
              </w:rPr>
            </w:pPr>
            <w:r>
              <w:rPr>
                <w:rFonts w:ascii="Arial" w:cs="Arial" w:eastAsia="Arial" w:hAnsi="Arial"/>
                <w:sz w:val="13"/>
                <w:szCs w:val="13"/>
                <w:b w:val="1"/>
                <w:bCs w:val="1"/>
                <w:color w:val="auto"/>
                <w:w w:val="90"/>
              </w:rPr>
              <w:t>Comprehensive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43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jc w:val="right"/>
              <w:ind w:right="180"/>
              <w:spacing w:after="0" w:line="129" w:lineRule="exact"/>
              <w:rPr>
                <w:sz w:val="20"/>
                <w:szCs w:val="20"/>
                <w:color w:val="auto"/>
              </w:rPr>
            </w:pPr>
            <w:r>
              <w:rPr>
                <w:rFonts w:ascii="Arial" w:cs="Arial" w:eastAsia="Arial" w:hAnsi="Arial"/>
                <w:sz w:val="13"/>
                <w:szCs w:val="13"/>
                <w:b w:val="1"/>
                <w:bCs w:val="1"/>
                <w:color w:val="auto"/>
                <w:w w:val="96"/>
              </w:rPr>
              <w:t>Shares</w:t>
            </w: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w w:val="81"/>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4"/>
          </w:tcPr>
          <w:p>
            <w:pPr>
              <w:jc w:val="center"/>
              <w:ind w:right="120"/>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ind w:right="60"/>
              <w:spacing w:after="0" w:line="129" w:lineRule="exact"/>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42"/>
        </w:trPr>
        <w:tc>
          <w:tcPr>
            <w:tcW w:w="43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December 31, 2019</w:t>
            </w:r>
          </w:p>
        </w:tc>
        <w:tc>
          <w:tcPr>
            <w:tcW w:w="5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53,573</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8"/>
              </w:rPr>
              <w:t>212,240</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119,190</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331,564</w:t>
            </w:r>
          </w:p>
        </w:tc>
        <w:tc>
          <w:tcPr>
            <w:tcW w:w="20" w:type="dxa"/>
            <w:vAlign w:val="bottom"/>
          </w:tcPr>
          <w:p>
            <w:pPr>
              <w:spacing w:after="0"/>
              <w:rPr>
                <w:sz w:val="12"/>
                <w:szCs w:val="12"/>
                <w:color w:val="auto"/>
              </w:rPr>
            </w:pPr>
          </w:p>
        </w:tc>
      </w:tr>
      <w:tr>
        <w:trPr>
          <w:trHeight w:val="148"/>
        </w:trPr>
        <w:tc>
          <w:tcPr>
            <w:tcW w:w="430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10,051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10,051</w:t>
            </w:r>
          </w:p>
        </w:tc>
        <w:tc>
          <w:tcPr>
            <w:tcW w:w="20" w:type="dxa"/>
            <w:vAlign w:val="bottom"/>
          </w:tcPr>
          <w:p>
            <w:pPr>
              <w:spacing w:after="0"/>
              <w:rPr>
                <w:sz w:val="12"/>
                <w:szCs w:val="12"/>
                <w:color w:val="auto"/>
              </w:rPr>
            </w:pPr>
          </w:p>
        </w:tc>
      </w:tr>
      <w:tr>
        <w:trPr>
          <w:trHeight w:val="148"/>
        </w:trPr>
        <w:tc>
          <w:tcPr>
            <w:tcW w:w="4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20" w:type="dxa"/>
            <w:vAlign w:val="bottom"/>
          </w:tcPr>
          <w:p>
            <w:pPr>
              <w:spacing w:after="0"/>
              <w:rPr>
                <w:sz w:val="12"/>
                <w:szCs w:val="12"/>
                <w:color w:val="auto"/>
              </w:rPr>
            </w:pPr>
          </w:p>
        </w:tc>
      </w:tr>
      <w:tr>
        <w:trPr>
          <w:trHeight w:val="149"/>
        </w:trPr>
        <w:tc>
          <w:tcPr>
            <w:tcW w:w="430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4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Net settlement for taxes and/or exercise price related to equity awards</w:t>
            </w:r>
          </w:p>
        </w:tc>
        <w:tc>
          <w:tcPr>
            <w:tcW w:w="6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(8,508)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(8,508)</w:t>
            </w:r>
          </w:p>
        </w:tc>
        <w:tc>
          <w:tcPr>
            <w:tcW w:w="20" w:type="dxa"/>
            <w:vAlign w:val="bottom"/>
          </w:tcPr>
          <w:p>
            <w:pPr>
              <w:spacing w:after="0"/>
              <w:rPr>
                <w:sz w:val="12"/>
                <w:szCs w:val="12"/>
                <w:color w:val="auto"/>
              </w:rPr>
            </w:pPr>
          </w:p>
        </w:tc>
      </w:tr>
      <w:tr>
        <w:trPr>
          <w:trHeight w:val="148"/>
        </w:trPr>
        <w:tc>
          <w:tcPr>
            <w:tcW w:w="4300" w:type="dxa"/>
            <w:vAlign w:val="bottom"/>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20" w:type="dxa"/>
            <w:vAlign w:val="bottom"/>
          </w:tcPr>
          <w:p>
            <w:pPr>
              <w:spacing w:after="0"/>
              <w:rPr>
                <w:sz w:val="12"/>
                <w:szCs w:val="12"/>
                <w:color w:val="auto"/>
              </w:rPr>
            </w:pPr>
          </w:p>
        </w:tc>
      </w:tr>
      <w:tr>
        <w:trPr>
          <w:trHeight w:val="148"/>
        </w:trPr>
        <w:tc>
          <w:tcPr>
            <w:tcW w:w="4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40,132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40,132</w:t>
            </w:r>
          </w:p>
        </w:tc>
        <w:tc>
          <w:tcPr>
            <w:tcW w:w="20" w:type="dxa"/>
            <w:vAlign w:val="bottom"/>
          </w:tcPr>
          <w:p>
            <w:pPr>
              <w:spacing w:after="0"/>
              <w:rPr>
                <w:sz w:val="12"/>
                <w:szCs w:val="12"/>
                <w:color w:val="auto"/>
              </w:rPr>
            </w:pPr>
          </w:p>
        </w:tc>
      </w:tr>
      <w:tr>
        <w:trPr>
          <w:trHeight w:val="142"/>
        </w:trPr>
        <w:tc>
          <w:tcPr>
            <w:tcW w:w="43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Balances at March 31, 2020</w:t>
            </w:r>
          </w:p>
        </w:tc>
        <w:tc>
          <w:tcPr>
            <w:tcW w:w="5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53,660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w w:val="98"/>
              </w:rPr>
              <w:t>215,101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159,322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374,375</w:t>
            </w:r>
          </w:p>
        </w:tc>
        <w:tc>
          <w:tcPr>
            <w:tcW w:w="20" w:type="dxa"/>
            <w:vAlign w:val="bottom"/>
          </w:tcPr>
          <w:p>
            <w:pPr>
              <w:spacing w:after="0"/>
              <w:rPr>
                <w:sz w:val="12"/>
                <w:szCs w:val="12"/>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6"/>
          </w:tcPr>
          <w:p>
            <w:pPr>
              <w:ind w:left="40"/>
              <w:spacing w:after="0"/>
              <w:rPr>
                <w:sz w:val="20"/>
                <w:szCs w:val="20"/>
                <w:color w:val="auto"/>
              </w:rPr>
            </w:pPr>
            <w:r>
              <w:rPr>
                <w:rFonts w:ascii="Arial" w:cs="Arial" w:eastAsia="Arial" w:hAnsi="Arial"/>
                <w:sz w:val="13"/>
                <w:szCs w:val="13"/>
                <w:b w:val="1"/>
                <w:bCs w:val="1"/>
                <w:color w:val="auto"/>
              </w:rPr>
              <w:t>Nine Months Ended March 31, 2019</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10"/>
        </w:trPr>
        <w:tc>
          <w:tcPr>
            <w:tcW w:w="4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4"/>
          </w:tcPr>
          <w:p>
            <w:pPr>
              <w:ind w:left="40"/>
              <w:spacing w:after="0" w:line="110" w:lineRule="exact"/>
              <w:rPr>
                <w:sz w:val="20"/>
                <w:szCs w:val="20"/>
                <w:color w:val="auto"/>
              </w:rPr>
            </w:pPr>
            <w:r>
              <w:rPr>
                <w:rFonts w:ascii="Arial" w:cs="Arial" w:eastAsia="Arial" w:hAnsi="Arial"/>
                <w:sz w:val="12"/>
                <w:szCs w:val="12"/>
                <w:b w:val="1"/>
                <w:bCs w:val="1"/>
                <w:color w:val="auto"/>
              </w:rPr>
              <w:t>Retained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4"/>
          </w:tcPr>
          <w:p>
            <w:pPr>
              <w:jc w:val="center"/>
              <w:ind w:right="6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7"/>
          </w:tcPr>
          <w:p>
            <w:pPr>
              <w:jc w:val="right"/>
              <w:ind w:right="1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72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11"/>
          </w:tcPr>
          <w:p>
            <w:pPr>
              <w:ind w:left="12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5"/>
          </w:tcPr>
          <w:p>
            <w:pPr>
              <w:ind w:left="60"/>
              <w:spacing w:after="0"/>
              <w:rPr>
                <w:sz w:val="20"/>
                <w:szCs w:val="20"/>
                <w:color w:val="auto"/>
              </w:rPr>
            </w:pPr>
            <w:r>
              <w:rPr>
                <w:rFonts w:ascii="Arial" w:cs="Arial" w:eastAsia="Arial" w:hAnsi="Arial"/>
                <w:sz w:val="13"/>
                <w:szCs w:val="13"/>
                <w:b w:val="1"/>
                <w:bCs w:val="1"/>
                <w:color w:val="auto"/>
              </w:rPr>
              <w:t>Paid-in</w:t>
            </w:r>
          </w:p>
        </w:tc>
        <w:tc>
          <w:tcPr>
            <w:tcW w:w="820" w:type="dxa"/>
            <w:vAlign w:val="bottom"/>
            <w:gridSpan w:val="5"/>
          </w:tcPr>
          <w:p>
            <w:pPr>
              <w:ind w:left="20"/>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3"/>
                <w:szCs w:val="13"/>
                <w:color w:val="auto"/>
              </w:rPr>
            </w:pPr>
          </w:p>
        </w:tc>
        <w:tc>
          <w:tcPr>
            <w:tcW w:w="920" w:type="dxa"/>
            <w:vAlign w:val="bottom"/>
            <w:gridSpan w:val="5"/>
          </w:tcPr>
          <w:p>
            <w:pPr>
              <w:ind w:left="20"/>
              <w:spacing w:after="0"/>
              <w:rPr>
                <w:sz w:val="20"/>
                <w:szCs w:val="20"/>
                <w:color w:val="auto"/>
              </w:rPr>
            </w:pPr>
            <w:r>
              <w:rPr>
                <w:rFonts w:ascii="Arial" w:cs="Arial" w:eastAsia="Arial" w:hAnsi="Arial"/>
                <w:sz w:val="13"/>
                <w:szCs w:val="13"/>
                <w:b w:val="1"/>
                <w:bCs w:val="1"/>
                <w:color w:val="auto"/>
                <w:w w:val="90"/>
              </w:rPr>
              <w:t>Comprehensive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jc w:val="right"/>
              <w:ind w:right="180"/>
              <w:spacing w:after="0" w:line="129" w:lineRule="exact"/>
              <w:rPr>
                <w:sz w:val="20"/>
                <w:szCs w:val="20"/>
                <w:color w:val="auto"/>
              </w:rPr>
            </w:pPr>
            <w:r>
              <w:rPr>
                <w:rFonts w:ascii="Arial" w:cs="Arial" w:eastAsia="Arial" w:hAnsi="Arial"/>
                <w:sz w:val="13"/>
                <w:szCs w:val="13"/>
                <w:b w:val="1"/>
                <w:bCs w:val="1"/>
                <w:color w:val="auto"/>
                <w:w w:val="96"/>
              </w:rPr>
              <w:t>Shares</w:t>
            </w:r>
          </w:p>
        </w:tc>
        <w:tc>
          <w:tcPr>
            <w:tcW w:w="460" w:type="dxa"/>
            <w:vAlign w:val="bottom"/>
            <w:tcBorders>
              <w:top w:val="single" w:sz="8" w:color="auto"/>
            </w:tcBorders>
            <w:gridSpan w:val="5"/>
          </w:tcPr>
          <w:p>
            <w:pPr>
              <w:ind w:left="40"/>
              <w:spacing w:after="0" w:line="129" w:lineRule="exact"/>
              <w:rPr>
                <w:sz w:val="20"/>
                <w:szCs w:val="20"/>
                <w:color w:val="auto"/>
              </w:rPr>
            </w:pPr>
            <w:r>
              <w:rPr>
                <w:rFonts w:ascii="Arial" w:cs="Arial" w:eastAsia="Arial" w:hAnsi="Arial"/>
                <w:sz w:val="13"/>
                <w:szCs w:val="13"/>
                <w:b w:val="1"/>
                <w:bCs w:val="1"/>
                <w:color w:val="auto"/>
                <w:w w:val="81"/>
              </w:rPr>
              <w:t>Amount</w:t>
            </w:r>
          </w:p>
        </w:tc>
        <w:tc>
          <w:tcPr>
            <w:tcW w:w="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5"/>
          </w:tcPr>
          <w:p>
            <w:pPr>
              <w:ind w:left="60"/>
              <w:spacing w:after="0" w:line="129"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ind w:right="60"/>
              <w:spacing w:after="0" w:line="129" w:lineRule="exact"/>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4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June 30, 2018</w:t>
            </w: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52,758</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$ 219,588</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(6,678)</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(139)</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212,824</w:t>
            </w:r>
          </w:p>
        </w:tc>
        <w:tc>
          <w:tcPr>
            <w:tcW w:w="20" w:type="dxa"/>
            <w:vAlign w:val="bottom"/>
            <w:tcBorders>
              <w:top w:val="single" w:sz="8" w:color="auto"/>
            </w:tcBorders>
            <w:shd w:val="clear" w:color="auto" w:fill="CCEEFF"/>
          </w:tcPr>
          <w:p>
            <w:pPr>
              <w:spacing w:after="0"/>
              <w:rPr>
                <w:sz w:val="12"/>
                <w:szCs w:val="12"/>
                <w:color w:val="auto"/>
              </w:rPr>
            </w:pPr>
          </w:p>
        </w:tc>
      </w:tr>
      <w:tr>
        <w:trPr>
          <w:trHeight w:val="130"/>
        </w:trPr>
        <w:tc>
          <w:tcPr>
            <w:tcW w:w="4300" w:type="dxa"/>
            <w:vAlign w:val="bottom"/>
          </w:tcPr>
          <w:p>
            <w:pPr>
              <w:spacing w:after="0" w:line="130" w:lineRule="exact"/>
              <w:rPr>
                <w:sz w:val="20"/>
                <w:szCs w:val="20"/>
                <w:color w:val="auto"/>
              </w:rPr>
            </w:pPr>
            <w:r>
              <w:rPr>
                <w:rFonts w:ascii="Arial" w:cs="Arial" w:eastAsia="Arial" w:hAnsi="Arial"/>
                <w:sz w:val="14"/>
                <w:szCs w:val="14"/>
                <w:color w:val="auto"/>
              </w:rPr>
              <w:t>Cumulative effect of change in accounting policy (adoption of Topic</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4300" w:type="dxa"/>
            <w:vAlign w:val="bottom"/>
          </w:tcPr>
          <w:p>
            <w:pPr>
              <w:spacing w:after="0"/>
              <w:rPr>
                <w:sz w:val="20"/>
                <w:szCs w:val="20"/>
                <w:color w:val="auto"/>
              </w:rPr>
            </w:pPr>
            <w:r>
              <w:rPr>
                <w:rFonts w:ascii="Arial" w:cs="Arial" w:eastAsia="Arial" w:hAnsi="Arial"/>
                <w:sz w:val="14"/>
                <w:szCs w:val="14"/>
                <w:color w:val="auto"/>
              </w:rPr>
              <w:t>606)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52,672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52,672</w:t>
            </w:r>
          </w:p>
        </w:tc>
        <w:tc>
          <w:tcPr>
            <w:tcW w:w="20" w:type="dxa"/>
            <w:vAlign w:val="bottom"/>
          </w:tcPr>
          <w:p>
            <w:pPr>
              <w:spacing w:after="0"/>
              <w:rPr>
                <w:sz w:val="14"/>
                <w:szCs w:val="14"/>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30,817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30,817</w:t>
            </w:r>
          </w:p>
        </w:tc>
        <w:tc>
          <w:tcPr>
            <w:tcW w:w="20" w:type="dxa"/>
            <w:vAlign w:val="bottom"/>
            <w:shd w:val="clear" w:color="auto" w:fill="CCEEFF"/>
          </w:tcPr>
          <w:p>
            <w:pPr>
              <w:spacing w:after="0"/>
              <w:rPr>
                <w:sz w:val="12"/>
                <w:szCs w:val="12"/>
                <w:color w:val="auto"/>
              </w:rPr>
            </w:pPr>
          </w:p>
        </w:tc>
      </w:tr>
      <w:tr>
        <w:trPr>
          <w:trHeight w:val="148"/>
        </w:trPr>
        <w:tc>
          <w:tcPr>
            <w:tcW w:w="430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4,140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4,140</w:t>
            </w:r>
          </w:p>
        </w:tc>
        <w:tc>
          <w:tcPr>
            <w:tcW w:w="20" w:type="dxa"/>
            <w:vAlign w:val="bottom"/>
          </w:tcPr>
          <w:p>
            <w:pPr>
              <w:spacing w:after="0"/>
              <w:rPr>
                <w:sz w:val="12"/>
                <w:szCs w:val="12"/>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623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430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2,824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2,824</w:t>
            </w:r>
          </w:p>
        </w:tc>
        <w:tc>
          <w:tcPr>
            <w:tcW w:w="20" w:type="dxa"/>
            <w:vAlign w:val="bottom"/>
          </w:tcPr>
          <w:p>
            <w:pPr>
              <w:spacing w:after="0"/>
              <w:rPr>
                <w:sz w:val="12"/>
                <w:szCs w:val="12"/>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Net settlement for taxes and/or exercise price related to equity awards</w:t>
            </w: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(25,804)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(25,804)</w:t>
            </w:r>
          </w:p>
        </w:tc>
      </w:tr>
      <w:tr>
        <w:trPr>
          <w:trHeight w:val="149"/>
        </w:trPr>
        <w:tc>
          <w:tcPr>
            <w:tcW w:w="4300" w:type="dxa"/>
            <w:vAlign w:val="bottom"/>
          </w:tcPr>
          <w:p>
            <w:pPr>
              <w:spacing w:after="0" w:line="149" w:lineRule="exact"/>
              <w:rPr>
                <w:sz w:val="20"/>
                <w:szCs w:val="20"/>
                <w:color w:val="auto"/>
              </w:rPr>
            </w:pPr>
            <w:r>
              <w:rPr>
                <w:rFonts w:ascii="Arial" w:cs="Arial" w:eastAsia="Arial" w:hAnsi="Arial"/>
                <w:sz w:val="14"/>
                <w:szCs w:val="14"/>
                <w:color w:val="auto"/>
              </w:rPr>
              <w:t>Repurchases of common shares</w:t>
            </w: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(442)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1"/>
              </w:rPr>
              <w:t>(34,991)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(34,991)</w:t>
            </w: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gains on securities, net of tax</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20" w:type="dxa"/>
            <w:vAlign w:val="bottom"/>
            <w:shd w:val="clear" w:color="auto" w:fill="CCEEFF"/>
          </w:tcPr>
          <w:p>
            <w:pPr>
              <w:spacing w:after="0"/>
              <w:rPr>
                <w:sz w:val="12"/>
                <w:szCs w:val="12"/>
                <w:color w:val="auto"/>
              </w:rPr>
            </w:pPr>
          </w:p>
        </w:tc>
      </w:tr>
      <w:tr>
        <w:trPr>
          <w:trHeight w:val="148"/>
        </w:trPr>
        <w:tc>
          <w:tcPr>
            <w:tcW w:w="4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43,582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43,582</w:t>
            </w:r>
          </w:p>
        </w:tc>
        <w:tc>
          <w:tcPr>
            <w:tcW w:w="20" w:type="dxa"/>
            <w:vAlign w:val="bottom"/>
          </w:tcPr>
          <w:p>
            <w:pPr>
              <w:spacing w:after="0"/>
              <w:rPr>
                <w:sz w:val="12"/>
                <w:szCs w:val="12"/>
                <w:color w:val="auto"/>
              </w:rPr>
            </w:pPr>
          </w:p>
        </w:tc>
      </w:tr>
      <w:tr>
        <w:trPr>
          <w:trHeight w:val="142"/>
        </w:trPr>
        <w:tc>
          <w:tcPr>
            <w:tcW w:w="43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March 31, 2019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52,964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$ 196,574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89,576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286,225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6"/>
          </w:tcPr>
          <w:p>
            <w:pPr>
              <w:ind w:left="60"/>
              <w:spacing w:after="0"/>
              <w:rPr>
                <w:sz w:val="20"/>
                <w:szCs w:val="20"/>
                <w:color w:val="auto"/>
              </w:rPr>
            </w:pPr>
            <w:r>
              <w:rPr>
                <w:rFonts w:ascii="Arial" w:cs="Arial" w:eastAsia="Arial" w:hAnsi="Arial"/>
                <w:sz w:val="13"/>
                <w:szCs w:val="13"/>
                <w:b w:val="1"/>
                <w:bCs w:val="1"/>
                <w:color w:val="auto"/>
              </w:rPr>
              <w:t>Nine Months Ended March 31, 2020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10"/>
        </w:trPr>
        <w:tc>
          <w:tcPr>
            <w:tcW w:w="4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4"/>
          </w:tcPr>
          <w:p>
            <w:pPr>
              <w:jc w:val="center"/>
              <w:ind w:right="4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5"/>
          </w:tcPr>
          <w:p>
            <w:pPr>
              <w:ind w:left="4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11"/>
          </w:tcPr>
          <w:p>
            <w:pPr>
              <w:ind w:left="16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4"/>
              </w:rPr>
              <w:t>Comprehensive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3"/>
                <w:szCs w:val="13"/>
                <w:b w:val="1"/>
                <w:bCs w:val="1"/>
                <w:color w:val="auto"/>
                <w:w w:val="81"/>
              </w:rPr>
              <w:t>Amount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4"/>
          </w:tcPr>
          <w:p>
            <w:pPr>
              <w:jc w:val="right"/>
              <w:ind w:right="140"/>
              <w:spacing w:after="0" w:line="129"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ind w:right="60"/>
              <w:spacing w:after="0" w:line="129" w:lineRule="exact"/>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4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June 30, 2019</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53,075</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3"/>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53</w:t>
            </w: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207,982</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99,817</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307,964</w:t>
            </w:r>
          </w:p>
        </w:tc>
        <w:tc>
          <w:tcPr>
            <w:tcW w:w="20" w:type="dxa"/>
            <w:vAlign w:val="bottom"/>
            <w:tcBorders>
              <w:top w:val="single" w:sz="8" w:color="auto"/>
            </w:tcBorders>
            <w:shd w:val="clear" w:color="auto" w:fill="CCEEFF"/>
          </w:tcPr>
          <w:p>
            <w:pPr>
              <w:spacing w:after="0"/>
              <w:rPr>
                <w:sz w:val="12"/>
                <w:szCs w:val="12"/>
                <w:color w:val="auto"/>
              </w:rPr>
            </w:pPr>
          </w:p>
        </w:tc>
      </w:tr>
      <w:tr>
        <w:trPr>
          <w:trHeight w:val="149"/>
        </w:trPr>
        <w:tc>
          <w:tcPr>
            <w:tcW w:w="43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36,191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36,191</w:t>
            </w:r>
          </w:p>
        </w:tc>
        <w:tc>
          <w:tcPr>
            <w:tcW w:w="20" w:type="dxa"/>
            <w:vAlign w:val="bottom"/>
          </w:tcPr>
          <w:p>
            <w:pPr>
              <w:spacing w:after="0"/>
              <w:rPr>
                <w:sz w:val="12"/>
                <w:szCs w:val="12"/>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6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1,707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1,707</w:t>
            </w:r>
          </w:p>
        </w:tc>
        <w:tc>
          <w:tcPr>
            <w:tcW w:w="20" w:type="dxa"/>
            <w:vAlign w:val="bottom"/>
            <w:shd w:val="clear" w:color="auto" w:fill="CCEEFF"/>
          </w:tcPr>
          <w:p>
            <w:pPr>
              <w:spacing w:after="0"/>
              <w:rPr>
                <w:sz w:val="12"/>
                <w:szCs w:val="12"/>
                <w:color w:val="auto"/>
              </w:rPr>
            </w:pPr>
          </w:p>
        </w:tc>
      </w:tr>
      <w:tr>
        <w:trPr>
          <w:trHeight w:val="149"/>
        </w:trPr>
        <w:tc>
          <w:tcPr>
            <w:tcW w:w="430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6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708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6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3,961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3,961</w:t>
            </w:r>
          </w:p>
        </w:tc>
        <w:tc>
          <w:tcPr>
            <w:tcW w:w="20" w:type="dxa"/>
            <w:vAlign w:val="bottom"/>
            <w:shd w:val="clear" w:color="auto" w:fill="CCEEFF"/>
          </w:tcPr>
          <w:p>
            <w:pPr>
              <w:spacing w:after="0"/>
              <w:rPr>
                <w:sz w:val="12"/>
                <w:szCs w:val="12"/>
                <w:color w:val="auto"/>
              </w:rPr>
            </w:pPr>
          </w:p>
        </w:tc>
      </w:tr>
      <w:tr>
        <w:trPr>
          <w:trHeight w:val="148"/>
        </w:trPr>
        <w:tc>
          <w:tcPr>
            <w:tcW w:w="4300" w:type="dxa"/>
            <w:vAlign w:val="bottom"/>
          </w:tcPr>
          <w:p>
            <w:pPr>
              <w:spacing w:after="0" w:line="149" w:lineRule="exact"/>
              <w:rPr>
                <w:sz w:val="20"/>
                <w:szCs w:val="20"/>
                <w:color w:val="auto"/>
              </w:rPr>
            </w:pPr>
            <w:r>
              <w:rPr>
                <w:rFonts w:ascii="Arial" w:cs="Arial" w:eastAsia="Arial" w:hAnsi="Arial"/>
                <w:sz w:val="14"/>
                <w:szCs w:val="14"/>
                <w:color w:val="auto"/>
                <w:w w:val="98"/>
              </w:rPr>
              <w:t>Net settlement for taxes and/or exercise price related to equity awards</w:t>
            </w:r>
          </w:p>
        </w:tc>
        <w:tc>
          <w:tcPr>
            <w:tcW w:w="66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(321)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(34,739)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(34,739)</w:t>
            </w:r>
          </w:p>
        </w:tc>
      </w:tr>
      <w:tr>
        <w:trPr>
          <w:trHeight w:val="149"/>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r>
      <w:tr>
        <w:trPr>
          <w:trHeight w:val="149"/>
        </w:trPr>
        <w:tc>
          <w:tcPr>
            <w:tcW w:w="4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59,505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59,505</w:t>
            </w:r>
          </w:p>
        </w:tc>
        <w:tc>
          <w:tcPr>
            <w:tcW w:w="20" w:type="dxa"/>
            <w:vAlign w:val="bottom"/>
          </w:tcPr>
          <w:p>
            <w:pPr>
              <w:spacing w:after="0"/>
              <w:rPr>
                <w:sz w:val="12"/>
                <w:szCs w:val="12"/>
                <w:color w:val="auto"/>
              </w:rPr>
            </w:pPr>
          </w:p>
        </w:tc>
      </w:tr>
      <w:tr>
        <w:trPr>
          <w:trHeight w:val="142"/>
        </w:trPr>
        <w:tc>
          <w:tcPr>
            <w:tcW w:w="43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March 31, 2020</w:t>
            </w: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58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53,660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215,101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159,322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(102)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374,375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Nine Months Ended</w:t>
      </w:r>
    </w:p>
    <w:p>
      <w:pPr>
        <w:ind w:left="762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6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43,582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59,505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28,837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34,348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320"/>
              <w:spacing w:after="0"/>
              <w:rPr>
                <w:sz w:val="20"/>
                <w:szCs w:val="20"/>
                <w:color w:val="auto"/>
              </w:rPr>
            </w:pPr>
            <w:r>
              <w:rPr>
                <w:rFonts w:ascii="Arial" w:cs="Arial" w:eastAsia="Arial" w:hAnsi="Arial"/>
                <w:sz w:val="16"/>
                <w:szCs w:val="16"/>
                <w:color w:val="auto"/>
              </w:rPr>
              <w:t>Deferred income tax expense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Provision for doubtful accounts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320"/>
              <w:spacing w:after="0"/>
              <w:rPr>
                <w:sz w:val="20"/>
                <w:szCs w:val="20"/>
                <w:color w:val="auto"/>
              </w:rPr>
            </w:pPr>
            <w:r>
              <w:rPr>
                <w:rFonts w:ascii="Arial" w:cs="Arial" w:eastAsia="Arial" w:hAnsi="Arial"/>
                <w:sz w:val="16"/>
                <w:szCs w:val="16"/>
                <w:color w:val="auto"/>
              </w:rPr>
              <w:t>Net accretion of discounts and amortization of premiums on available-for-sale securities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320"/>
              <w:spacing w:after="0"/>
              <w:rPr>
                <w:sz w:val="20"/>
                <w:szCs w:val="20"/>
                <w:color w:val="auto"/>
              </w:rPr>
            </w:pPr>
            <w:r>
              <w:rPr>
                <w:rFonts w:ascii="Arial" w:cs="Arial" w:eastAsia="Arial" w:hAnsi="Arial"/>
                <w:sz w:val="16"/>
                <w:szCs w:val="16"/>
                <w:color w:val="auto"/>
              </w:rPr>
              <w:t>Loss on disposal of equipment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4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Deferred contract costs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420"/>
              <w:spacing w:after="0"/>
              <w:rPr>
                <w:sz w:val="20"/>
                <w:szCs w:val="20"/>
                <w:color w:val="auto"/>
              </w:rPr>
            </w:pPr>
            <w:r>
              <w:rPr>
                <w:rFonts w:ascii="Arial" w:cs="Arial" w:eastAsia="Arial" w:hAnsi="Arial"/>
                <w:sz w:val="16"/>
                <w:szCs w:val="16"/>
                <w:color w:val="auto"/>
              </w:rPr>
              <w:t>Prepaid expenses and other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80" w:type="dxa"/>
            <w:vAlign w:val="bottom"/>
          </w:tcPr>
          <w:p>
            <w:pPr>
              <w:ind w:left="420"/>
              <w:spacing w:after="0"/>
              <w:rPr>
                <w:sz w:val="20"/>
                <w:szCs w:val="20"/>
                <w:color w:val="auto"/>
              </w:rPr>
            </w:pPr>
            <w:r>
              <w:rPr>
                <w:rFonts w:ascii="Arial" w:cs="Arial" w:eastAsia="Arial" w:hAnsi="Arial"/>
                <w:sz w:val="16"/>
                <w:szCs w:val="16"/>
                <w:color w:val="auto"/>
              </w:rPr>
              <w:t>Accrued expenses and other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Tenant improvement allowance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680" w:type="dxa"/>
            <w:vAlign w:val="bottom"/>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79,159</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86,795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Purchases of available-for-sale securities and other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(210,374)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(400,343)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and maturities of available-for-sale securities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Capitalized internal-use software costs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Lease allowances used for tenant improvements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6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(74,179)</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client fund obligations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496,695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Repurchases of common shares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(34,991)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 of debt issuance costs</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442,864</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304,857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20"/>
                <w:szCs w:val="20"/>
                <w:color w:val="auto"/>
              </w:rPr>
            </w:pPr>
            <w:r>
              <w:rPr>
                <w:rFonts w:ascii="Arial" w:cs="Arial" w:eastAsia="Arial" w:hAnsi="Arial"/>
                <w:sz w:val="16"/>
                <w:szCs w:val="16"/>
                <w:color w:val="auto"/>
              </w:rPr>
              <w:t>Net change in cash, cash equivalents and funds held for clients' cash and cash equivalents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447,844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208,309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w w:val="95"/>
              </w:rPr>
              <w:t>Cash, cash equivalents and funds held for clients' cash and cash equivalents—beginning of period</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1,239,731</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1,426,143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funds held for clients' cash and cash equivalents—end of period</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1,687,575</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1,634,452</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Supplemental Disclosure of Non-Cash Investing and Financing Activities</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220"/>
              <w:spacing w:after="0"/>
              <w:rPr>
                <w:sz w:val="20"/>
                <w:szCs w:val="20"/>
                <w:color w:val="auto"/>
              </w:rPr>
            </w:pPr>
            <w:r>
              <w:rPr>
                <w:rFonts w:ascii="Arial" w:cs="Arial" w:eastAsia="Arial" w:hAnsi="Arial"/>
                <w:sz w:val="16"/>
                <w:szCs w:val="16"/>
                <w:color w:val="auto"/>
              </w:rPr>
              <w:t>Purchases of property and equipment, accrued but not paid</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3,529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6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Supplemental Disclosure of Cash Flow Information</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680" w:type="dxa"/>
            <w:vAlign w:val="bottom"/>
          </w:tcPr>
          <w:p>
            <w:pPr>
              <w:ind w:left="220"/>
              <w:spacing w:after="0"/>
              <w:rPr>
                <w:sz w:val="20"/>
                <w:szCs w:val="20"/>
                <w:color w:val="auto"/>
              </w:rPr>
            </w:pPr>
            <w:r>
              <w:rPr>
                <w:rFonts w:ascii="Arial" w:cs="Arial" w:eastAsia="Arial" w:hAnsi="Arial"/>
                <w:sz w:val="16"/>
                <w:szCs w:val="16"/>
                <w:color w:val="auto"/>
              </w:rPr>
              <w:t>Cash paid for interest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paid for income taxes</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color w:val="auto"/>
                <w:w w:val="94"/>
              </w:rPr>
              <w:t>Reconciliation of cash, cash equivalents and funds held for clients' cash and cash equivalents to the</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Consolidated Balance Sheets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Funds held for clients' cash and cash equivalents</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1,596,719</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1,520,127</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cash equivalents and funds held for clients' cash and cash equivalents</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1,687,575</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1,634,452</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unaudited consolidated financial statements</w:t>
      </w:r>
      <w:r>
        <w:rPr>
          <w:rFonts w:ascii="Arial" w:cs="Arial" w:eastAsia="Arial" w:hAnsi="Arial"/>
          <w:sz w:val="17"/>
          <w:szCs w:val="17"/>
          <w:color w:val="auto"/>
        </w:rPr>
        <w:t>.</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The Company’s comprehensive product suite delivers a unified platform that allows clients to make strategic decisions in the areas of payroll, core HR, workforce management, talent and benefits.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40" w:hanging="29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9"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In March 2020, the World Health Organization declared the outbreak of the novel coronavirus disease (“COVID-19”) as a pandemic which has caused a global slowdown of economic activity that the Company believes will unfavorably impact its business operations and financial conditions. The duration and severity of the COVID-19 pandemic, and the effect the pandemic will have on the Company’s clients and general economic conditions, remains uncertain and difficult to predict. Accounting estimates used in the preparation of these consolidated financial statements may change as new events occur, more experience and additional information is acquired, and the operating environment evolves, including the ongoing impact of COVID-19.</w:t>
      </w:r>
    </w:p>
    <w:p>
      <w:pPr>
        <w:spacing w:after="0" w:line="172"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Beginning in fiscal 2020, the Company simplified the presentation of revenue and cost of revenues on its Unaudited Consolidated Statements of Operations and Comprehensive Income. The line items “Recurring fees” and “Implementation services and other” have been combined into one revenue line: “Recurring and other revenue”. Likewise, the line items “Cost of revenues – recurring revenues” and “Cost of revenues – implementation services and other” have been combined into one line: “Cost of revenues”. The Company changed the presentation of revenue and cost of revenues as Implementation services and other has become a smaller component of its overall revenue mix due to the human capital management (“HCM”) suite becoming a larger part of the portfolio. Previously reported results for the three and nine months ended March 31, 2019 have been reclassified to conform to the current presentation.</w:t>
      </w:r>
    </w:p>
    <w:p>
      <w:pPr>
        <w:spacing w:after="0" w:line="165"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nine months ended March 31, 2020 are not necessarily indicative of the results for the full year or the results for any future periods. The financial impacts from the COVID-19 pandemic became more observable in the latter half of March 2020. As a result, the impact of the COVID</w:t>
      </w:r>
      <w:r>
        <w:rPr>
          <w:rFonts w:ascii="Arial" w:cs="Arial" w:eastAsia="Arial" w:hAnsi="Arial"/>
          <w:sz w:val="16"/>
          <w:szCs w:val="16"/>
          <w:i w:val="1"/>
          <w:iCs w:val="1"/>
          <w:color w:val="auto"/>
        </w:rPr>
        <w:t>-</w:t>
      </w:r>
    </w:p>
    <w:p>
      <w:pPr>
        <w:spacing w:after="0" w:line="1"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19 pandemic will not be fully known or reflected in the Company’s results of operations and overall financial performance until future periods. Refer to “Item 1A. Risk Factors” in this Quarterly Report on Form 10-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Q for risks related to the COVID</w:t>
      </w:r>
      <w:r>
        <w:rPr>
          <w:rFonts w:ascii="Arial" w:cs="Arial" w:eastAsia="Arial" w:hAnsi="Arial"/>
          <w:sz w:val="18"/>
          <w:szCs w:val="18"/>
          <w:i w:val="1"/>
          <w:iCs w:val="1"/>
          <w:color w:val="auto"/>
        </w:rPr>
        <w:t>-</w:t>
      </w:r>
      <w:r>
        <w:rPr>
          <w:rFonts w:ascii="Arial" w:cs="Arial" w:eastAsia="Arial" w:hAnsi="Arial"/>
          <w:sz w:val="18"/>
          <w:szCs w:val="18"/>
          <w:color w:val="auto"/>
        </w:rPr>
        <w:t>19 pandemic on its business and financial performance. These unaudited consolidated financial statements should be read in conjunction with the audited consolidated financial statements and related notes for the year ended June 30, 2019 included in the Company’s Annual Report on Form 10-K filed with the SEC on August 9, 2019.</w:t>
      </w:r>
    </w:p>
    <w:p>
      <w:pPr>
        <w:spacing w:after="0" w:line="187" w:lineRule="exact"/>
        <w:rPr>
          <w:sz w:val="20"/>
          <w:szCs w:val="20"/>
          <w:color w:val="auto"/>
        </w:rPr>
      </w:pPr>
    </w:p>
    <w:p>
      <w:pPr>
        <w:ind w:left="340" w:hanging="29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92" w:lineRule="exact"/>
        <w:rPr>
          <w:sz w:val="20"/>
          <w:szCs w:val="20"/>
          <w:color w:val="auto"/>
        </w:rPr>
      </w:pPr>
    </w:p>
    <w:p>
      <w:pPr>
        <w:ind w:left="360" w:hanging="310"/>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In February 2016, the FASB issued ASU 2016-02, Leases (Topic 842)</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lessees to recognize leases on-balance sheet and disclose key information about leasing arrangements. The new standard 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176"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The Company adopted the new standard on July 1, 2019 using the modified retrospective method and the transition relief guidance provided by the FASB in ASU 2018-11, Leases (Topic 842): Targeted Improvements. Consequently, the Company did not update financial information or provide disclosures required under the new standard for dates and periods prior to July 1, 2019. The Company elected the package of practical expedients and did not reassess prior conclusions on whether contracts are or contain a lease, lease classification, and initial direct costs. In addition, the Company adopted the lessee practical expedient to combine lease and non-lease components for all asset classes and elected to not recognize ROU assets and lease liabilities for leases with a term of 12 months or less.</w:t>
      </w:r>
    </w:p>
    <w:p>
      <w:pPr>
        <w:spacing w:after="0" w:line="166"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Adoption of the new standard resulted in the Company recording operating lease ROU assets and operating lease liabilities of $52,083 and $83,852, respectively, as of July 1, 2019. The ROU assets were recorded net of $31,769 in deferred rent adjustments that were previously recorded in Accrued expenses and Deferred rent on the Consolidated Balance Sheets as of June 30, 2019. The adoption of this standard did not result in any cumulative-effect adjustments to Retained earnings. Additionally, there was no impact on the Company’s unaudited consolidated statements of operations and comprehensive income or the unaudited statement of cash flows as a result of the adoption of Topic 842 for the three and nine months ended March 31, 2019.</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 to Note 8 for additional disclosures over the Company’s leases.</w:t>
      </w:r>
    </w:p>
    <w:p>
      <w:pPr>
        <w:spacing w:after="0" w:line="225" w:lineRule="exact"/>
        <w:rPr>
          <w:sz w:val="20"/>
          <w:szCs w:val="20"/>
          <w:color w:val="auto"/>
        </w:rPr>
      </w:pPr>
    </w:p>
    <w:p>
      <w:pPr>
        <w:ind w:left="340" w:hanging="29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This standard is effective for fiscal years beginning after December 15, 2019, with early adoption permitted. Any new disclosure requirements must be applied on a prospective basis in the interim and annual periods of initial adoption; all removed or modified requirements must be applied retrospectively to all periods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presented. The Company plans to adopt this standard on July 1, 2020 and does not expect any material impact from adoption.</w:t>
      </w:r>
    </w:p>
    <w:p>
      <w:pPr>
        <w:spacing w:after="0" w:line="170"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(“ASU 2019-12”) which provides guidance to reduce complexity in certain areas of accounting for income taxes. ASU 2019-12 removes certain exceptions to the general principles in Topic 740 and simplifies various aspects of the current guidance to promote consistent application of the standard among reporting entities. This standard is effective for fiscal years beginning after December 15, 2020 with early adoption permitted. The Company is currently assessing the impact of ASU 2019-12 on its financial statements as well as the timing and method of adoption.</w:t>
      </w:r>
    </w:p>
    <w:p>
      <w:pPr>
        <w:spacing w:after="0" w:line="164"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(“ASU 2020-04”), which provides optional practical expedients and exceptions for applying GAAP to contracts and transactions, including debt agreements, affected by interest rate reform as regulators discontinue the use of the London Interbank Offered Rate (LIBOR) and other similar reference rates. This standard is effective for contract modifications made as of March 12, 2020 through December 31, 2022, on a prospective basis. The Company adopted this standard upon its issuance, and it did not have a material impact on the Company’s financial statements.</w:t>
      </w:r>
    </w:p>
    <w:p>
      <w:pPr>
        <w:spacing w:after="0" w:line="19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The Company derives its revenue from contracts predominantly from recurring and non-recurring service fees. While the majority of its agreements are generally cancellable by the client on 60 days’ notice or less, the Company also has term arrangements,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disaggregates revenue by Recurring fees and Implementation services and other, which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believes depicts the nature, amount and timing of its revenue:</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76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1760" w:type="dxa"/>
            <w:vAlign w:val="bottom"/>
            <w:gridSpan w:val="4"/>
          </w:tcPr>
          <w:p>
            <w:pPr>
              <w:ind w:lef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fees</w:t>
            </w:r>
          </w:p>
        </w:tc>
        <w:tc>
          <w:tcPr>
            <w:tcW w:w="18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7"/>
              </w:rPr>
              <w:t>$ 129,976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$ 161,266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$ 326,012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$ 402,605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Implementation services and other</w:t>
            </w:r>
          </w:p>
        </w:tc>
        <w:tc>
          <w:tcPr>
            <w:tcW w:w="2620" w:type="dxa"/>
            <w:vAlign w:val="bottom"/>
            <w:gridSpan w:val="2"/>
          </w:tcPr>
          <w:p>
            <w:pPr>
              <w:jc w:val="right"/>
              <w:ind w:right="1"/>
              <w:spacing w:after="0"/>
              <w:rPr>
                <w:sz w:val="20"/>
                <w:szCs w:val="20"/>
                <w:color w:val="auto"/>
              </w:rPr>
            </w:pPr>
            <w:r>
              <w:rPr>
                <w:rFonts w:ascii="Arial" w:cs="Arial" w:eastAsia="Arial" w:hAnsi="Arial"/>
                <w:sz w:val="18"/>
                <w:szCs w:val="18"/>
                <w:color w:val="auto"/>
              </w:rPr>
              <w:t>3,379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 from contracts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87"/>
              </w:rPr>
              <w:t>$ 133,355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$ 167,095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$ 333,096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$ 416,948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20" w:type="dxa"/>
            <w:vAlign w:val="bottom"/>
            <w:vMerge w:val="restart"/>
          </w:tcPr>
          <w:p>
            <w:pPr>
              <w:jc w:val="right"/>
              <w:ind w:right="690"/>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based on the client’s payroll frequency or by month for subscription-based fees. As such, the Company does not recognize contract assets or liabilities related to recurring revenue.</w:t>
      </w:r>
    </w:p>
    <w:p>
      <w:pPr>
        <w:spacing w:after="0" w:line="184" w:lineRule="exact"/>
        <w:rPr>
          <w:sz w:val="20"/>
          <w:szCs w:val="20"/>
          <w:color w:val="auto"/>
        </w:rPr>
      </w:pPr>
    </w:p>
    <w:p>
      <w:pPr>
        <w:jc w:val="both"/>
        <w:ind w:left="60" w:right="459"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and recognizes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58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5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10,243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12,342</w:t>
            </w: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(3,992)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(9,671)</w:t>
            </w:r>
          </w:p>
        </w:tc>
      </w:tr>
      <w:tr>
        <w:trPr>
          <w:trHeight w:val="209"/>
        </w:trPr>
        <w:tc>
          <w:tcPr>
            <w:tcW w:w="5260" w:type="dxa"/>
            <w:vAlign w:val="bottom"/>
          </w:tcPr>
          <w:p>
            <w:pPr>
              <w:ind w:left="20"/>
              <w:spacing w:after="0"/>
              <w:rPr>
                <w:sz w:val="20"/>
                <w:szCs w:val="20"/>
                <w:color w:val="auto"/>
              </w:rPr>
            </w:pPr>
            <w:r>
              <w:rPr>
                <w:rFonts w:ascii="Arial" w:cs="Arial" w:eastAsia="Arial" w:hAnsi="Arial"/>
                <w:sz w:val="18"/>
                <w:szCs w:val="18"/>
                <w:color w:val="auto"/>
              </w:rPr>
              <w:t>Balance at end of the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8,960</w:t>
            </w: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379" w:firstLine="648"/>
        <w:spacing w:after="0" w:line="311" w:lineRule="auto"/>
        <w:rPr>
          <w:sz w:val="20"/>
          <w:szCs w:val="20"/>
          <w:color w:val="auto"/>
        </w:rPr>
      </w:pPr>
      <w:r>
        <w:rPr>
          <w:rFonts w:ascii="Arial" w:cs="Arial" w:eastAsia="Arial" w:hAnsi="Arial"/>
          <w:sz w:val="16"/>
          <w:szCs w:val="16"/>
          <w:color w:val="auto"/>
        </w:rPr>
        <w:t>Deferred revenue related to these nonrefundable upfront fees are recorded within Accrued expenses and Other long-term liabilities on the Unaudited Consolidated Balance Sheets. The Company expects to recognize these deferred revenue balances of $3,466 in fiscal 2020, $4,463 in fiscal 2021, $1,031 in fiscal 2022 and thereafter.</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following tables present the deferred contract costs and the related amortization expense for these deferred contract costs: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9"/>
          </w:tcPr>
          <w:p>
            <w:pPr>
              <w:jc w:val="center"/>
              <w:ind w:left="418"/>
              <w:spacing w:after="0"/>
              <w:rPr>
                <w:sz w:val="20"/>
                <w:szCs w:val="20"/>
                <w:color w:val="auto"/>
              </w:rPr>
            </w:pPr>
            <w:r>
              <w:rPr>
                <w:rFonts w:ascii="Arial" w:cs="Arial" w:eastAsia="Arial" w:hAnsi="Arial"/>
                <w:sz w:val="14"/>
                <w:szCs w:val="14"/>
                <w:b w:val="1"/>
                <w:bCs w:val="1"/>
                <w:color w:val="auto"/>
                <w:w w:val="95"/>
              </w:rPr>
              <w:t>Three Months Ended March 31, 2019</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Beginning</w:t>
            </w:r>
          </w:p>
        </w:tc>
        <w:tc>
          <w:tcPr>
            <w:tcW w:w="840" w:type="dxa"/>
            <w:vAlign w:val="bottom"/>
            <w:gridSpan w:val="5"/>
          </w:tcPr>
          <w:p>
            <w:pPr>
              <w:jc w:val="center"/>
              <w:ind w:right="14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9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Pr>
          <w:p>
            <w:pPr>
              <w:spacing w:after="0"/>
              <w:rPr>
                <w:sz w:val="14"/>
                <w:szCs w:val="14"/>
                <w:color w:val="auto"/>
              </w:rPr>
            </w:pPr>
          </w:p>
        </w:tc>
        <w:tc>
          <w:tcPr>
            <w:tcW w:w="96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$ 10,544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77,634</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5,583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15,832</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$ 16,127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0"/>
          </w:tcPr>
          <w:p>
            <w:pPr>
              <w:jc w:val="center"/>
              <w:ind w:right="38"/>
              <w:spacing w:after="0"/>
              <w:rPr>
                <w:sz w:val="20"/>
                <w:szCs w:val="20"/>
                <w:color w:val="auto"/>
              </w:rPr>
            </w:pPr>
            <w:r>
              <w:rPr>
                <w:rFonts w:ascii="Arial" w:cs="Arial" w:eastAsia="Arial" w:hAnsi="Arial"/>
                <w:sz w:val="14"/>
                <w:szCs w:val="14"/>
                <w:b w:val="1"/>
                <w:bCs w:val="1"/>
                <w:color w:val="auto"/>
                <w:w w:val="95"/>
              </w:rPr>
              <w:t>Three Months Ended March 31, 2020</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tcPr>
          <w:p>
            <w:pPr>
              <w:jc w:val="center"/>
              <w:ind w:right="160"/>
              <w:spacing w:after="0" w:line="119" w:lineRule="exact"/>
              <w:rPr>
                <w:sz w:val="20"/>
                <w:szCs w:val="20"/>
                <w:color w:val="auto"/>
              </w:rPr>
            </w:pPr>
            <w:r>
              <w:rPr>
                <w:rFonts w:ascii="Arial" w:cs="Arial" w:eastAsia="Arial" w:hAnsi="Arial"/>
                <w:sz w:val="13"/>
                <w:szCs w:val="13"/>
                <w:b w:val="1"/>
                <w:bCs w:val="1"/>
                <w:color w:val="auto"/>
              </w:rPr>
              <w:t>Beginning</w:t>
            </w:r>
          </w:p>
        </w:tc>
        <w:tc>
          <w:tcPr>
            <w:tcW w:w="20" w:type="dxa"/>
            <w:vAlign w:val="bottom"/>
          </w:tcPr>
          <w:p>
            <w:pPr>
              <w:spacing w:after="0"/>
              <w:rPr>
                <w:sz w:val="10"/>
                <w:szCs w:val="10"/>
                <w:color w:val="auto"/>
              </w:rPr>
            </w:pPr>
          </w:p>
        </w:tc>
        <w:tc>
          <w:tcPr>
            <w:tcW w:w="82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9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2"/>
              </w:rPr>
              <w:t>Costs</w:t>
            </w:r>
          </w:p>
        </w:tc>
        <w:tc>
          <w:tcPr>
            <w:tcW w:w="20" w:type="dxa"/>
            <w:vAlign w:val="bottom"/>
          </w:tcPr>
          <w:p>
            <w:pPr>
              <w:spacing w:after="0"/>
              <w:rPr>
                <w:sz w:val="14"/>
                <w:szCs w:val="14"/>
                <w:color w:val="auto"/>
              </w:rPr>
            </w:pPr>
          </w:p>
        </w:tc>
        <w:tc>
          <w:tcPr>
            <w:tcW w:w="96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92,848</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$ 15,141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102,251</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7,483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38,677</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$ 125,533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$ 22,624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140,928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9"/>
          </w:tcPr>
          <w:p>
            <w:pPr>
              <w:jc w:val="center"/>
              <w:ind w:left="458"/>
              <w:spacing w:after="0"/>
              <w:rPr>
                <w:sz w:val="20"/>
                <w:szCs w:val="20"/>
                <w:color w:val="auto"/>
              </w:rPr>
            </w:pPr>
            <w:r>
              <w:rPr>
                <w:rFonts w:ascii="Arial" w:cs="Arial" w:eastAsia="Arial" w:hAnsi="Arial"/>
                <w:sz w:val="14"/>
                <w:szCs w:val="14"/>
                <w:b w:val="1"/>
                <w:bCs w:val="1"/>
                <w:color w:val="auto"/>
                <w:w w:val="94"/>
              </w:rPr>
              <w:t>Nine Months Ended March 31, 2019</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tcPr>
          <w:p>
            <w:pPr>
              <w:jc w:val="center"/>
              <w:ind w:right="160"/>
              <w:spacing w:after="0" w:line="119" w:lineRule="exact"/>
              <w:rPr>
                <w:sz w:val="20"/>
                <w:szCs w:val="20"/>
                <w:color w:val="auto"/>
              </w:rPr>
            </w:pPr>
            <w:r>
              <w:rPr>
                <w:rFonts w:ascii="Arial" w:cs="Arial" w:eastAsia="Arial" w:hAnsi="Arial"/>
                <w:sz w:val="13"/>
                <w:szCs w:val="13"/>
                <w:b w:val="1"/>
                <w:bCs w:val="1"/>
                <w:color w:val="auto"/>
              </w:rPr>
              <w:t>Beginning</w:t>
            </w:r>
          </w:p>
        </w:tc>
        <w:tc>
          <w:tcPr>
            <w:tcW w:w="20" w:type="dxa"/>
            <w:vAlign w:val="bottom"/>
          </w:tcPr>
          <w:p>
            <w:pPr>
              <w:spacing w:after="0"/>
              <w:rPr>
                <w:sz w:val="10"/>
                <w:szCs w:val="10"/>
                <w:color w:val="auto"/>
              </w:rPr>
            </w:pPr>
          </w:p>
        </w:tc>
        <w:tc>
          <w:tcPr>
            <w:tcW w:w="82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9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2"/>
              </w:rPr>
              <w:t>Costs</w:t>
            </w:r>
          </w:p>
        </w:tc>
        <w:tc>
          <w:tcPr>
            <w:tcW w:w="20" w:type="dxa"/>
            <w:vAlign w:val="bottom"/>
          </w:tcPr>
          <w:p>
            <w:pPr>
              <w:spacing w:after="0"/>
              <w:rPr>
                <w:sz w:val="14"/>
                <w:szCs w:val="14"/>
                <w:color w:val="auto"/>
              </w:rPr>
            </w:pPr>
          </w:p>
        </w:tc>
        <w:tc>
          <w:tcPr>
            <w:tcW w:w="96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$ 21,890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(12,363)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77,634</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16,833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15,832</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$ 38,723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(13,364)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9"/>
          </w:tcPr>
          <w:p>
            <w:pPr>
              <w:jc w:val="right"/>
              <w:spacing w:after="0"/>
              <w:rPr>
                <w:sz w:val="20"/>
                <w:szCs w:val="20"/>
                <w:color w:val="auto"/>
              </w:rPr>
            </w:pPr>
            <w:r>
              <w:rPr>
                <w:rFonts w:ascii="Arial" w:cs="Arial" w:eastAsia="Arial" w:hAnsi="Arial"/>
                <w:sz w:val="14"/>
                <w:szCs w:val="14"/>
                <w:b w:val="1"/>
                <w:bCs w:val="1"/>
                <w:color w:val="auto"/>
              </w:rPr>
              <w:t>Nine Months Ended March 31, 2020</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Beginning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$ 36,027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(15,879)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102,251</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21,348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38,677</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$ 103,099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$ 57,375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(19,546)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140,928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Unaudited Consolidated Balance Sheets. Amortization of deferred contract costs is recorded in Cost of revenues, Sales and marketing, and General and administrative in the Unaudited Consolidated Statements of Operations and Comprehensive Income.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balance of the Company’s remaining performance obligations related to minimum monthly fees on its term-based contracts was approximately $47,673 as of March 31, 2020,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(4) Balance Sheet Information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ind w:left="620"/>
              <w:spacing w:after="0"/>
              <w:rPr>
                <w:sz w:val="20"/>
                <w:szCs w:val="20"/>
                <w:color w:val="auto"/>
              </w:rPr>
            </w:pPr>
            <w:r>
              <w:rPr>
                <w:rFonts w:ascii="Arial" w:cs="Arial" w:eastAsia="Arial" w:hAnsi="Arial"/>
                <w:sz w:val="18"/>
                <w:szCs w:val="18"/>
                <w:color w:val="auto"/>
              </w:rPr>
              <w:t>The following tables provide details of selected consolidated balance sheet items: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ind w:left="620"/>
              <w:spacing w:after="0"/>
              <w:rPr>
                <w:sz w:val="20"/>
                <w:szCs w:val="20"/>
                <w:color w:val="auto"/>
              </w:rPr>
            </w:pPr>
            <w:r>
              <w:rPr>
                <w:rFonts w:ascii="Arial" w:cs="Arial" w:eastAsia="Arial" w:hAnsi="Arial"/>
                <w:sz w:val="18"/>
                <w:szCs w:val="18"/>
                <w:color w:val="auto"/>
              </w:rPr>
              <w:t>Activity in the allowance for doubtful accounts was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Charged to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gridSpan w:val="2"/>
          </w:tcPr>
          <w:p>
            <w:pPr>
              <w:spacing w:after="0"/>
              <w:rPr>
                <w:sz w:val="20"/>
                <w:szCs w:val="20"/>
                <w:color w:val="auto"/>
              </w:rPr>
            </w:pPr>
            <w:r>
              <w:rPr>
                <w:rFonts w:ascii="Arial" w:cs="Arial" w:eastAsia="Arial" w:hAnsi="Arial"/>
                <w:sz w:val="18"/>
                <w:szCs w:val="18"/>
                <w:color w:val="auto"/>
              </w:rPr>
              <w:t>Balance at March 31, 2020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111,556</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(77,489)</w:t>
            </w:r>
          </w:p>
        </w:tc>
      </w:tr>
      <w:tr>
        <w:trPr>
          <w:trHeight w:val="209"/>
        </w:trPr>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Amortization of capitalized internal-use software costs is included in Cost of revenues and amounted to $4,224 and $4,926 for the three months ended March 31, 2019 and 2020, respectively, and $12,854 and $14,073 for the nine months ended March 31, 2019 and 2020,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5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Computer equipment</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42,478</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Software</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6,603</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45,366</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40" w:type="dxa"/>
            <w:vAlign w:val="bottom"/>
            <w:tcBorders>
              <w:bottom w:val="single" w:sz="8" w:color="CCEEFF"/>
            </w:tcBorders>
          </w:tcPr>
          <w:p>
            <w:pPr>
              <w:spacing w:after="0"/>
              <w:rPr>
                <w:sz w:val="18"/>
                <w:szCs w:val="18"/>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108,422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116,609</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(47,911)</w:t>
            </w:r>
          </w:p>
        </w:tc>
        <w:tc>
          <w:tcPr>
            <w:tcW w:w="40" w:type="dxa"/>
            <w:vAlign w:val="bottom"/>
            <w:tcBorders>
              <w:bottom w:val="single" w:sz="8" w:color="CCEEFF"/>
            </w:tcBorders>
          </w:tcPr>
          <w:p>
            <w:pPr>
              <w:spacing w:after="0"/>
              <w:rPr>
                <w:sz w:val="18"/>
                <w:szCs w:val="18"/>
                <w:color w:val="auto"/>
              </w:rPr>
            </w:pPr>
          </w:p>
        </w:tc>
      </w:tr>
      <w:tr>
        <w:trPr>
          <w:trHeight w:val="209"/>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68,698</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19" w:firstLine="648"/>
        <w:spacing w:after="0" w:line="342" w:lineRule="auto"/>
        <w:rPr>
          <w:sz w:val="20"/>
          <w:szCs w:val="20"/>
          <w:color w:val="auto"/>
        </w:rPr>
      </w:pPr>
      <w:r>
        <w:rPr>
          <w:rFonts w:ascii="Arial" w:cs="Arial" w:eastAsia="Arial" w:hAnsi="Arial"/>
          <w:sz w:val="16"/>
          <w:szCs w:val="16"/>
          <w:color w:val="auto"/>
        </w:rPr>
        <w:t>Depreciation expense amounted to $3,626 and $4,082 for the three months ended March 31, 2019 and 2020, respectively, and $10,671 and $12,071 for the nine months ended March 31, 2019 and 2020, respectively.</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amortizable intangible assets and estimated useful lives are as follows:</w:t>
      </w:r>
    </w:p>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Useful</w:t>
            </w:r>
          </w:p>
        </w:tc>
      </w:tr>
      <w:tr>
        <w:trPr>
          <w:trHeight w:val="162"/>
        </w:trPr>
        <w:tc>
          <w:tcPr>
            <w:tcW w:w="3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Life</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7 - 9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1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89"/>
              </w:rPr>
              <w:t>2 - 4 years</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1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(9,667)</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039" w:firstLine="648"/>
        <w:spacing w:after="0" w:line="342" w:lineRule="auto"/>
        <w:rPr>
          <w:sz w:val="20"/>
          <w:szCs w:val="20"/>
          <w:color w:val="auto"/>
        </w:rPr>
      </w:pPr>
      <w:r>
        <w:rPr>
          <w:rFonts w:ascii="Arial" w:cs="Arial" w:eastAsia="Arial" w:hAnsi="Arial"/>
          <w:sz w:val="16"/>
          <w:szCs w:val="16"/>
          <w:color w:val="auto"/>
        </w:rPr>
        <w:t>Amortization expense for acquired intangible assets was $562 and $563 for the three months ended March 31, 2019 and 2020, respectively, and $1,688 for both the nine months ended March 31, 2019 and 2020.</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amortization expense for acquired intangible assets as of March 31, 2020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2020</w:t>
            </w:r>
          </w:p>
        </w:tc>
        <w:tc>
          <w:tcPr>
            <w:tcW w:w="51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Fiscal 2021</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Fiscal 2023</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4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40" w:type="dxa"/>
            <w:vAlign w:val="bottom"/>
            <w:vMerge w:val="restart"/>
          </w:tcPr>
          <w:p>
            <w:pPr>
              <w:jc w:val="right"/>
              <w:ind w:right="329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accrued expenses were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9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personnel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38,386</w:t>
            </w:r>
          </w:p>
        </w:tc>
        <w:tc>
          <w:tcPr>
            <w:tcW w:w="40" w:type="dxa"/>
            <w:vAlign w:val="bottom"/>
            <w:shd w:val="clear" w:color="auto" w:fill="CCEEFF"/>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7,955</w:t>
            </w:r>
          </w:p>
        </w:tc>
        <w:tc>
          <w:tcPr>
            <w:tcW w:w="40" w:type="dxa"/>
            <w:vAlign w:val="bottom"/>
          </w:tcPr>
          <w:p>
            <w:pPr>
              <w:spacing w:after="0"/>
              <w:rPr>
                <w:sz w:val="18"/>
                <w:szCs w:val="18"/>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40" w:type="dxa"/>
            <w:vAlign w:val="bottom"/>
            <w:shd w:val="clear" w:color="auto" w:fill="CCEEFF"/>
          </w:tcPr>
          <w:p>
            <w:pPr>
              <w:spacing w:after="0"/>
              <w:rPr>
                <w:sz w:val="18"/>
                <w:szCs w:val="18"/>
                <w:color w:val="auto"/>
              </w:rPr>
            </w:pPr>
          </w:p>
        </w:tc>
      </w:tr>
      <w:tr>
        <w:trPr>
          <w:trHeight w:val="216"/>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9,353</w:t>
            </w:r>
          </w:p>
        </w:tc>
        <w:tc>
          <w:tcPr>
            <w:tcW w:w="40" w:type="dxa"/>
            <w:vAlign w:val="bottom"/>
            <w:tcBorders>
              <w:bottom w:val="single" w:sz="8" w:color="CCEEFF"/>
            </w:tcBorders>
          </w:tcPr>
          <w:p>
            <w:pPr>
              <w:spacing w:after="0"/>
              <w:rPr>
                <w:sz w:val="18"/>
                <w:szCs w:val="18"/>
                <w:color w:val="auto"/>
              </w:rPr>
            </w:pPr>
          </w:p>
        </w:tc>
      </w:tr>
      <w:tr>
        <w:trPr>
          <w:trHeight w:val="20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64,002</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Corporate Investments and Funds Held for Clients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2"/>
                <w:szCs w:val="12"/>
                <w:color w:val="auto"/>
              </w:rPr>
            </w:pPr>
          </w:p>
        </w:tc>
        <w:tc>
          <w:tcPr>
            <w:tcW w:w="6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68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3"/>
              </w:rPr>
              <w:t>Gross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360" w:type="dxa"/>
            <w:vAlign w:val="bottom"/>
            <w:gridSpan w:val="2"/>
          </w:tcPr>
          <w:p>
            <w:pPr>
              <w:ind w:left="2220"/>
              <w:spacing w:after="0" w:line="158" w:lineRule="exact"/>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3"/>
                <w:szCs w:val="13"/>
                <w:color w:val="auto"/>
              </w:rPr>
            </w:pPr>
          </w:p>
        </w:tc>
        <w:tc>
          <w:tcPr>
            <w:tcW w:w="6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3"/>
                <w:szCs w:val="13"/>
                <w:color w:val="auto"/>
              </w:rPr>
            </w:pPr>
          </w:p>
        </w:tc>
        <w:tc>
          <w:tcPr>
            <w:tcW w:w="820" w:type="dxa"/>
            <w:vAlign w:val="bottom"/>
          </w:tcPr>
          <w:p>
            <w:pPr>
              <w:jc w:val="right"/>
              <w:ind w:right="72"/>
              <w:spacing w:after="0" w:line="158" w:lineRule="exact"/>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1,293,673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1,293,667</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63,428</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c>
          <w:tcPr>
            <w:tcW w:w="0" w:type="dxa"/>
            <w:vAlign w:val="bottom"/>
          </w:tcPr>
          <w:p>
            <w:pPr>
              <w:spacing w:after="0"/>
              <w:rPr>
                <w:sz w:val="1"/>
                <w:szCs w:val="1"/>
                <w:color w:val="auto"/>
              </w:rPr>
            </w:pPr>
          </w:p>
        </w:tc>
      </w:tr>
      <w:tr>
        <w:trPr>
          <w:trHeight w:val="229"/>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26,540</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(1)</w:t>
            </w: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130,665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130,824</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1,556,816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1,556,967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right="17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$30,022 of corporate investments and $100,802 of funds held for clients.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4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114,323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114,325</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1,520,105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1,520,127</w:t>
            </w: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150,388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150,437</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52,248</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57,586</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21,457</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(2)</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281,889</w:t>
            </w: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281,728</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1,916,317</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1,916,180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right="1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$72,679 of corporate investments and $209,049 of funds held for clients.</w:t>
      </w:r>
    </w:p>
    <w:p>
      <w:pPr>
        <w:spacing w:after="0" w:line="170"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Cash and cash equivalents and funds held for clients’ cash and cash equivalents include demand deposit accounts, money market funds, commercial paper and U.S. treasury securities with original maturities of three months or less as of June 30, 2019 and March 31,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Classification of investments on the unaudited consolidated balance sheets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6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114,325</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Corporate investments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66,308</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for clients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1,394,469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1,729,176</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prepaid expenses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w:t>
            </w: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1,556,967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1,916,180</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Available-for-sale securities that have been in an unrealized loss position for a period of less and greater than 12 months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June 30, 2019</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5"/>
          </w:tcPr>
          <w:p>
            <w:pPr>
              <w:ind w:left="180"/>
              <w:spacing w:after="0" w:line="119" w:lineRule="exact"/>
              <w:rPr>
                <w:sz w:val="20"/>
                <w:szCs w:val="20"/>
                <w:color w:val="auto"/>
              </w:rPr>
            </w:pPr>
            <w:r>
              <w:rPr>
                <w:rFonts w:ascii="Arial" w:cs="Arial" w:eastAsia="Arial" w:hAnsi="Arial"/>
                <w:sz w:val="13"/>
                <w:szCs w:val="13"/>
                <w:b w:val="1"/>
                <w:bCs w:val="1"/>
                <w:color w:val="auto"/>
              </w:rPr>
              <w:t>Securities in an</w:t>
            </w:r>
          </w:p>
        </w:tc>
        <w:tc>
          <w:tcPr>
            <w:tcW w:w="140" w:type="dxa"/>
            <w:vAlign w:val="bottom"/>
          </w:tcPr>
          <w:p>
            <w:pPr>
              <w:spacing w:after="0"/>
              <w:rPr>
                <w:sz w:val="10"/>
                <w:szCs w:val="10"/>
                <w:color w:val="auto"/>
              </w:rPr>
            </w:pPr>
          </w:p>
        </w:tc>
        <w:tc>
          <w:tcPr>
            <w:tcW w:w="156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Securities in an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2"/>
                <w:szCs w:val="12"/>
                <w:color w:val="auto"/>
              </w:rPr>
            </w:pPr>
          </w:p>
        </w:tc>
        <w:tc>
          <w:tcPr>
            <w:tcW w:w="15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unrealized loss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position for less</w:t>
            </w:r>
          </w:p>
        </w:tc>
        <w:tc>
          <w:tcPr>
            <w:tcW w:w="140" w:type="dxa"/>
            <w:vAlign w:val="bottom"/>
          </w:tcPr>
          <w:p>
            <w:pPr>
              <w:spacing w:after="0"/>
              <w:rPr>
                <w:sz w:val="12"/>
                <w:szCs w:val="12"/>
                <w:color w:val="auto"/>
              </w:rPr>
            </w:pPr>
          </w:p>
        </w:tc>
        <w:tc>
          <w:tcPr>
            <w:tcW w:w="15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position for greater</w:t>
            </w:r>
          </w:p>
        </w:tc>
        <w:tc>
          <w:tcPr>
            <w:tcW w:w="140" w:type="dxa"/>
            <w:vAlign w:val="bottom"/>
          </w:tcPr>
          <w:p>
            <w:pPr>
              <w:spacing w:after="0"/>
              <w:rPr>
                <w:sz w:val="12"/>
                <w:szCs w:val="12"/>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than 12 months</w:t>
            </w:r>
          </w:p>
        </w:tc>
        <w:tc>
          <w:tcPr>
            <w:tcW w:w="14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than 12 months</w:t>
            </w: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$ 19,055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$ 19,055</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3,701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$ 20,941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6,659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$ 27,600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6"/>
              </w:rPr>
              <w:t>March 31, 2020</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5"/>
          </w:tcPr>
          <w:p>
            <w:pPr>
              <w:ind w:left="180"/>
              <w:spacing w:after="0" w:line="119" w:lineRule="exact"/>
              <w:rPr>
                <w:sz w:val="20"/>
                <w:szCs w:val="20"/>
                <w:color w:val="auto"/>
              </w:rPr>
            </w:pPr>
            <w:r>
              <w:rPr>
                <w:rFonts w:ascii="Arial" w:cs="Arial" w:eastAsia="Arial" w:hAnsi="Arial"/>
                <w:sz w:val="13"/>
                <w:szCs w:val="13"/>
                <w:b w:val="1"/>
                <w:bCs w:val="1"/>
                <w:color w:val="auto"/>
              </w:rPr>
              <w:t>Securities in an</w:t>
            </w:r>
          </w:p>
        </w:tc>
        <w:tc>
          <w:tcPr>
            <w:tcW w:w="140" w:type="dxa"/>
            <w:vAlign w:val="bottom"/>
          </w:tcPr>
          <w:p>
            <w:pPr>
              <w:spacing w:after="0"/>
              <w:rPr>
                <w:sz w:val="10"/>
                <w:szCs w:val="10"/>
                <w:color w:val="auto"/>
              </w:rPr>
            </w:pPr>
          </w:p>
        </w:tc>
        <w:tc>
          <w:tcPr>
            <w:tcW w:w="156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Securities in an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2"/>
                <w:szCs w:val="12"/>
                <w:color w:val="auto"/>
              </w:rPr>
            </w:pPr>
          </w:p>
        </w:tc>
        <w:tc>
          <w:tcPr>
            <w:tcW w:w="15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unrealized loss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position for less</w:t>
            </w:r>
          </w:p>
        </w:tc>
        <w:tc>
          <w:tcPr>
            <w:tcW w:w="140" w:type="dxa"/>
            <w:vAlign w:val="bottom"/>
          </w:tcPr>
          <w:p>
            <w:pPr>
              <w:spacing w:after="0"/>
              <w:rPr>
                <w:sz w:val="12"/>
                <w:szCs w:val="12"/>
                <w:color w:val="auto"/>
              </w:rPr>
            </w:pPr>
          </w:p>
        </w:tc>
        <w:tc>
          <w:tcPr>
            <w:tcW w:w="15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position for greater</w:t>
            </w:r>
          </w:p>
        </w:tc>
        <w:tc>
          <w:tcPr>
            <w:tcW w:w="140" w:type="dxa"/>
            <w:vAlign w:val="bottom"/>
          </w:tcPr>
          <w:p>
            <w:pPr>
              <w:spacing w:after="0"/>
              <w:rPr>
                <w:sz w:val="12"/>
                <w:szCs w:val="12"/>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than 12 months</w:t>
            </w:r>
          </w:p>
        </w:tc>
        <w:tc>
          <w:tcPr>
            <w:tcW w:w="14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than 12 months</w:t>
            </w: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42,474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42,474</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29,900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29,900</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$ 72,872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$ 72,872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The Company regularly reviews the composition of its portfolio to determine the existence of other-than-temporary-impairment (“OTTI”). The Company did not recognize any OTTI charges in accumulated other comprehensive income during the three or nine months ended March 31, 2019 or 2020, nor does it believe that OTTI exists in its portfolio as of March 31, 2020. The Company plans to retain the securities in an unrealized loss position for a period of time sufficient enough to recover their amortized cost basis or until their maturity date. The Company does not believe that the unrealized losses in its portfolio are due to material credit risks. The securities in an unrealized loss position held an A-1 rating or better as of March 31, 2020.</w:t>
      </w:r>
    </w:p>
    <w:p>
      <w:pPr>
        <w:spacing w:after="0" w:line="195" w:lineRule="exact"/>
        <w:rPr>
          <w:sz w:val="20"/>
          <w:szCs w:val="20"/>
          <w:color w:val="auto"/>
        </w:rPr>
      </w:pPr>
    </w:p>
    <w:p>
      <w:pPr>
        <w:ind w:left="60" w:right="359" w:firstLine="648"/>
        <w:spacing w:after="0" w:line="279" w:lineRule="auto"/>
        <w:rPr>
          <w:sz w:val="20"/>
          <w:szCs w:val="20"/>
          <w:color w:val="auto"/>
        </w:rPr>
      </w:pPr>
      <w:r>
        <w:rPr>
          <w:rFonts w:ascii="Arial" w:cs="Arial" w:eastAsia="Arial" w:hAnsi="Arial"/>
          <w:sz w:val="17"/>
          <w:szCs w:val="17"/>
          <w:color w:val="auto"/>
        </w:rPr>
        <w:t>The Company did not make any material reclassification adjustments out of accumulated other comprehensive income for realized gains and losses on the sale of available-for-sale securities during the three or nine months ended March 31, 2019 or 2020. Gross realized gains and losses on the sale of available-for-sale securities were immaterial for both the three and nine months ended March 31, 2019 and 2020.</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Expected maturities of available-for-sale securities at March 31, 2020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72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244,939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245,004</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One year to two years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36,724</w:t>
            </w:r>
          </w:p>
        </w:tc>
        <w:tc>
          <w:tcPr>
            <w:tcW w:w="0" w:type="dxa"/>
            <w:vAlign w:val="bottom"/>
          </w:tcPr>
          <w:p>
            <w:pPr>
              <w:spacing w:after="0"/>
              <w:rPr>
                <w:sz w:val="1"/>
                <w:szCs w:val="1"/>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281,889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281,728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7" w:right="1440" w:bottom="1440" w:gutter="0" w:footer="0" w:header="0"/>
        </w:sect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Fair Value Measurement</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Company applies the fair value measurement and disclosure provisions of ASC 820, Fair Value Measurements and Disclosures, and ASU 2011-04, Fair Value Measurement (Topic 820): Amendments to Achieve Common Fair Value Measurement and Disclosure Requirements in U.S. GAAP and IFRS.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95"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jc w:val="both"/>
        <w:ind w:left="1040" w:right="119" w:hanging="315"/>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1040" w:right="139" w:hanging="315"/>
        <w:spacing w:after="0" w:line="286"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6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2019 and March 31, 2020 based upon the short-term nature of these assets and liabilities.</w:t>
      </w:r>
    </w:p>
    <w:p>
      <w:pPr>
        <w:spacing w:after="0" w:line="171"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2019 or March 31, 2020, and the Company did not transfer assets between Levels during the nine months ended March 31, 2019 or 2020.</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fair value level for the Company’s cash and cash equivalents and available-for-sale securities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w w:val="99"/>
              </w:rPr>
              <w:t>Funds held for clients' cash and cash equivalents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1,293,667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1,244,856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7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130,824</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130,824</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1,556,967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1,361,243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195,724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1,520,127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1,439,324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80,803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150,437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150,437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281,728</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281,728</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r>
      <w:tr>
        <w:trPr>
          <w:trHeight w:val="20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1,916,180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1,530,115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386,065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mature in July 2024. As of March 31, 2020, no amounts have been drawn on the credit facility. In April 2020, the Company borrowed $100,000 under the credit facility. Refer to Note 13 for further details on the borrowing under the credit facility.</w:t>
      </w:r>
    </w:p>
    <w:p>
      <w:pPr>
        <w:spacing w:after="0" w:line="166"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76"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Any borrowings under the credit facility will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94"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March 31, 2020, the Company was in compliance with all of the aforementioned covenants.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The Company determines if an arrangement is a lease at inception. Operating leases are included in Operating lease right-of-use assets, Accrued expenses, and Long-term operating lease liabilities in the Unaudited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extend or not terminate the lease when it is reasonably certain that it will exercise any such options. For the majority of its leases, the Company concluded that it is not reasonably certain that any renewal options would be exercised, and, therefore, the amounts are not recognized as part of Operating lease right-of-use assets nor Operating lease liabilities. Leases with an initial term of 12 months or less are not recorded on the balance sheet. Lease expense is recognized on a straight-line basis over the expected lease term.</w:t>
      </w:r>
    </w:p>
    <w:p>
      <w:pPr>
        <w:sectPr>
          <w:pgSz w:w="11900" w:h="16838" w:orient="portrait"/>
          <w:cols w:equalWidth="0" w:num="1">
            <w:col w:w="9019"/>
          </w:cols>
          <w:pgMar w:left="1440" w:top="517" w:right="1440" w:bottom="1440" w:gutter="0" w:footer="0" w:header="0"/>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finance leases.</w:t>
      </w:r>
    </w:p>
    <w:p>
      <w:pPr>
        <w:spacing w:after="0" w:line="80" w:lineRule="exact"/>
        <w:rPr>
          <w:sz w:val="20"/>
          <w:szCs w:val="20"/>
          <w:color w:val="auto"/>
        </w:rPr>
      </w:pPr>
    </w:p>
    <w:p>
      <w:pPr>
        <w:ind w:left="60" w:right="119" w:firstLine="648"/>
        <w:spacing w:after="0" w:line="316" w:lineRule="auto"/>
        <w:rPr>
          <w:sz w:val="20"/>
          <w:szCs w:val="20"/>
          <w:color w:val="auto"/>
        </w:rPr>
      </w:pPr>
      <w:r>
        <w:rPr>
          <w:rFonts w:ascii="Arial" w:cs="Arial" w:eastAsia="Arial" w:hAnsi="Arial"/>
          <w:sz w:val="15"/>
          <w:szCs w:val="15"/>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landlord, such as insurance, taxes, and common area maintenance, payments based on the usage of the asset, and rental payments adjusted periodically for inflation. Variable payments are expensed as incurred and included within variable rent expense.</w:t>
      </w:r>
    </w:p>
    <w:p>
      <w:pPr>
        <w:spacing w:after="0" w:line="4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lease agreements do not contain material residual value guarantees, restrictions, or covenants.</w:t>
      </w:r>
    </w:p>
    <w:p>
      <w:pPr>
        <w:spacing w:after="0" w:line="3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operating lease expense were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March 31, 2020</w:t>
            </w:r>
          </w:p>
        </w:tc>
      </w:tr>
      <w:tr>
        <w:trPr>
          <w:trHeight w:val="210"/>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40" w:type="dxa"/>
            <w:vAlign w:val="bottom"/>
            <w:shd w:val="clear" w:color="auto" w:fill="CCEEFF"/>
          </w:tcPr>
          <w:p>
            <w:pPr>
              <w:spacing w:after="0"/>
              <w:rPr>
                <w:sz w:val="18"/>
                <w:szCs w:val="18"/>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w:t>
            </w:r>
          </w:p>
        </w:tc>
        <w:tc>
          <w:tcPr>
            <w:tcW w:w="4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359" w:firstLine="648"/>
        <w:spacing w:after="0" w:line="277" w:lineRule="auto"/>
        <w:rPr>
          <w:sz w:val="20"/>
          <w:szCs w:val="20"/>
          <w:color w:val="auto"/>
        </w:rPr>
      </w:pPr>
      <w:r>
        <w:rPr>
          <w:rFonts w:ascii="Arial" w:cs="Arial" w:eastAsia="Arial" w:hAnsi="Arial"/>
          <w:sz w:val="18"/>
          <w:szCs w:val="18"/>
          <w:color w:val="auto"/>
        </w:rPr>
        <w:t>The classification of the Company’s operating lease right-of-use assets and operating lease liabilities and other supplemental information related to the Company’s operating leases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CCEEFF"/>
            </w:tcBorders>
          </w:tcPr>
          <w:p>
            <w:pPr>
              <w:spacing w:after="0"/>
              <w:rPr>
                <w:sz w:val="14"/>
                <w:szCs w:val="14"/>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50,180</w:t>
            </w:r>
          </w:p>
        </w:tc>
        <w:tc>
          <w:tcPr>
            <w:tcW w:w="220" w:type="dxa"/>
            <w:vAlign w:val="bottom"/>
            <w:shd w:val="clear" w:color="auto" w:fill="CCEEFF"/>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7,955</w:t>
            </w:r>
          </w:p>
        </w:tc>
        <w:tc>
          <w:tcPr>
            <w:tcW w:w="220" w:type="dxa"/>
            <w:vAlign w:val="bottom"/>
          </w:tcPr>
          <w:p>
            <w:pPr>
              <w:spacing w:after="0"/>
              <w:rPr>
                <w:sz w:val="18"/>
                <w:szCs w:val="18"/>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74,912</w:t>
            </w:r>
          </w:p>
        </w:tc>
        <w:tc>
          <w:tcPr>
            <w:tcW w:w="220" w:type="dxa"/>
            <w:vAlign w:val="bottom"/>
            <w:shd w:val="clear" w:color="auto" w:fill="CCEEFF"/>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18"/>
                <w:szCs w:val="18"/>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summarizes supplemental cash flow information related to the Company’s operating leases as of March 31, 2020:</w:t>
      </w:r>
    </w:p>
    <w:p>
      <w:pPr>
        <w:spacing w:after="0" w:line="175"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Nine Months Ended</w:t>
      </w:r>
    </w:p>
    <w:p>
      <w:pPr>
        <w:jc w:val="center"/>
        <w:ind w:left="6980"/>
        <w:spacing w:after="0" w:line="236" w:lineRule="auto"/>
        <w:rPr>
          <w:sz w:val="20"/>
          <w:szCs w:val="20"/>
          <w:color w:val="auto"/>
        </w:rPr>
      </w:pPr>
      <w:r>
        <w:rPr>
          <w:rFonts w:ascii="Arial" w:cs="Arial" w:eastAsia="Arial" w:hAnsi="Arial"/>
          <w:sz w:val="14"/>
          <w:szCs w:val="14"/>
          <w:b w:val="1"/>
          <w:bCs w:val="1"/>
          <w:color w:val="auto"/>
        </w:rPr>
        <w:t>March 31, 2020</w:t>
      </w:r>
    </w:p>
    <w:tbl>
      <w:tblPr>
        <w:tblLayout w:type="fixed"/>
        <w:tblInd w:w="40" w:type="dxa"/>
        <w:tblCellMar>
          <w:top w:w="0" w:type="dxa"/>
          <w:left w:w="0" w:type="dxa"/>
          <w:bottom w:w="0" w:type="dxa"/>
          <w:right w:w="0" w:type="dxa"/>
        </w:tblCellMar>
      </w:tblP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liabilities</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2,723</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The undiscounted cash flows for future maturities of the Company’s operating lease liabilities and the reconciliation to the balance of operating lease liabilities reflected on the Company’s balance sheet are as follows as of March 31, 2020:</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2020</w:t>
            </w: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10,890</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9,229</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60,026</w:t>
            </w:r>
          </w:p>
        </w:tc>
        <w:tc>
          <w:tcPr>
            <w:tcW w:w="80" w:type="dxa"/>
            <w:vAlign w:val="bottom"/>
            <w:tcBorders>
              <w:bottom w:val="single" w:sz="8" w:color="CCEEFF"/>
            </w:tcBorders>
          </w:tcPr>
          <w:p>
            <w:pPr>
              <w:spacing w:after="0"/>
              <w:rPr>
                <w:sz w:val="18"/>
                <w:szCs w:val="18"/>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101,719</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5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(18,852)</w:t>
            </w:r>
          </w:p>
        </w:tc>
      </w:tr>
      <w:tr>
        <w:trPr>
          <w:trHeight w:val="210"/>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580" w:type="dxa"/>
            <w:vAlign w:val="bottom"/>
            <w:tcBorders>
              <w:top w:val="single" w:sz="8" w:color="auto"/>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The table above excludes $546 in the undiscounted future minimum lease payments for operating lease liabilities that had not yet commenced for terms up to 5.67 years.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Rent expense was $2,596 and $7,059 for the three and nine months ended March 31, 2019, respectively.</w:t>
      </w:r>
    </w:p>
    <w:p>
      <w:pPr>
        <w:spacing w:after="0" w:line="237"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initial or remaining terms in excess of one year) as of June 30, 2019 under ASC 840 were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14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Fiscal 2021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11,150</w:t>
            </w:r>
          </w:p>
        </w:tc>
        <w:tc>
          <w:tcPr>
            <w:tcW w:w="140" w:type="dxa"/>
            <w:vAlign w:val="bottom"/>
          </w:tcPr>
          <w:p>
            <w:pPr>
              <w:spacing w:after="0"/>
              <w:rPr>
                <w:sz w:val="18"/>
                <w:szCs w:val="18"/>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4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Fiscal 2023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8,840</w:t>
            </w:r>
          </w:p>
        </w:tc>
        <w:tc>
          <w:tcPr>
            <w:tcW w:w="140" w:type="dxa"/>
            <w:vAlign w:val="bottom"/>
          </w:tcPr>
          <w:p>
            <w:pPr>
              <w:spacing w:after="0"/>
              <w:rPr>
                <w:sz w:val="18"/>
                <w:szCs w:val="18"/>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40" w:type="dxa"/>
            <w:vAlign w:val="bottom"/>
            <w:shd w:val="clear" w:color="auto" w:fill="CCEEFF"/>
          </w:tcPr>
          <w:p>
            <w:pPr>
              <w:spacing w:after="0"/>
              <w:rPr>
                <w:sz w:val="18"/>
                <w:szCs w:val="18"/>
                <w:color w:val="auto"/>
              </w:rPr>
            </w:pPr>
          </w:p>
        </w:tc>
      </w:tr>
      <w:tr>
        <w:trPr>
          <w:trHeight w:val="216"/>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59,401</w:t>
            </w:r>
          </w:p>
        </w:tc>
        <w:tc>
          <w:tcPr>
            <w:tcW w:w="140" w:type="dxa"/>
            <w:vAlign w:val="bottom"/>
            <w:tcBorders>
              <w:bottom w:val="single" w:sz="8" w:color="CCEEFF"/>
            </w:tcBorders>
          </w:tcPr>
          <w:p>
            <w:pPr>
              <w:spacing w:after="0"/>
              <w:rPr>
                <w:sz w:val="18"/>
                <w:szCs w:val="18"/>
                <w:color w:val="auto"/>
              </w:rPr>
            </w:pPr>
          </w:p>
        </w:tc>
      </w:tr>
      <w:tr>
        <w:trPr>
          <w:trHeight w:val="209"/>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108,178</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Benefit Plans</w:t>
      </w:r>
    </w:p>
    <w:p>
      <w:pPr>
        <w:spacing w:after="0" w:line="229" w:lineRule="exact"/>
        <w:rPr>
          <w:sz w:val="20"/>
          <w:szCs w:val="20"/>
          <w:color w:val="auto"/>
        </w:rPr>
      </w:pPr>
    </w:p>
    <w:p>
      <w:pPr>
        <w:ind w:left="340" w:hanging="29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 The Company’s board of directors determined that it would not increase the number of shares in reserve for issuance under the 2014 Plan as of January 1, 2020.</w:t>
      </w:r>
    </w:p>
    <w:p>
      <w:pPr>
        <w:spacing w:after="0" w:line="17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 of March 31, 2020, the Company had 12,518 shares allocated to the plans, of which 3,026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nine months ended March 31, 2020:</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79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RSUs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Available for grant at March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8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ectPr>
          <w:pgSz w:w="11900" w:h="16838" w:orient="portrait"/>
          <w:cols w:equalWidth="0" w:num="1">
            <w:col w:w="9019"/>
          </w:cols>
          <w:pgMar w:left="1440" w:top="517"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 and comprehensive income: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4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89"/>
              </w:rPr>
              <w:t>$ 1,192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Sales and marketing</w:t>
            </w:r>
          </w:p>
        </w:tc>
        <w:tc>
          <w:tcPr>
            <w:tcW w:w="2020" w:type="dxa"/>
            <w:vAlign w:val="bottom"/>
            <w:gridSpan w:val="2"/>
          </w:tcPr>
          <w:p>
            <w:pPr>
              <w:jc w:val="right"/>
              <w:ind w:right="1"/>
              <w:spacing w:after="0"/>
              <w:rPr>
                <w:sz w:val="20"/>
                <w:szCs w:val="20"/>
                <w:color w:val="auto"/>
              </w:rPr>
            </w:pPr>
            <w:r>
              <w:rPr>
                <w:rFonts w:ascii="Arial" w:cs="Arial" w:eastAsia="Arial" w:hAnsi="Arial"/>
                <w:sz w:val="18"/>
                <w:szCs w:val="18"/>
                <w:color w:val="auto"/>
              </w:rPr>
              <w:t>1,799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10,813</w:t>
            </w:r>
          </w:p>
        </w:tc>
        <w:tc>
          <w:tcPr>
            <w:tcW w:w="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1,287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gridSpan w:val="2"/>
          </w:tcPr>
          <w:p>
            <w:pPr>
              <w:jc w:val="right"/>
              <w:ind w:right="1"/>
              <w:spacing w:after="0"/>
              <w:rPr>
                <w:sz w:val="20"/>
                <w:szCs w:val="20"/>
                <w:color w:val="auto"/>
              </w:rPr>
            </w:pPr>
            <w:r>
              <w:rPr>
                <w:rFonts w:ascii="Arial" w:cs="Arial" w:eastAsia="Arial" w:hAnsi="Arial"/>
                <w:sz w:val="18"/>
                <w:szCs w:val="18"/>
                <w:color w:val="auto"/>
              </w:rPr>
              <w:t>5,035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15,582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14,533</w:t>
            </w:r>
          </w:p>
        </w:tc>
        <w:tc>
          <w:tcPr>
            <w:tcW w:w="60" w:type="dxa"/>
            <w:vAlign w:val="bottom"/>
          </w:tcPr>
          <w:p>
            <w:pPr>
              <w:spacing w:after="0"/>
              <w:rPr>
                <w:sz w:val="18"/>
                <w:szCs w:val="18"/>
                <w:color w:val="auto"/>
              </w:rPr>
            </w:pPr>
          </w:p>
        </w:tc>
      </w:tr>
      <w:tr>
        <w:trPr>
          <w:trHeight w:val="209"/>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89"/>
              </w:rPr>
              <w:t>$ 9,313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$ 9,516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28,837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34,348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addition, the Company capitalized $659 and $535 of stock-based compensation expense in its capitalized internal-use software costs in the three months ended March 31, 2019 and 2020, respectively, and $1,980 and $1,843 in the nine months ended March 31, 2019 and 2020, respectively.</w:t>
      </w:r>
    </w:p>
    <w:p>
      <w:pPr>
        <w:spacing w:after="0" w:line="184"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Under the 2008 and 2014 Plans, the exercise price of each option cannot be less than the fair value of a share of common stock on the grant date. The options vested ratably over a three or four-year period and expire 10 years from the grant date. Stock-based compensation expense for the fair value of the options at their grant date is recognized ratably over the vesting schedule for each separately vesting portion of the award.</w:t>
      </w:r>
    </w:p>
    <w:p>
      <w:pPr>
        <w:spacing w:after="0" w:line="171"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There were no stock options granted during the nine months ended March 31, 2019 or 2020. The table below presents stock option activity during the nine months ended March 31,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2019</w:t>
            </w:r>
          </w:p>
        </w:tc>
        <w:tc>
          <w:tcPr>
            <w:tcW w:w="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$ 12.24</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$ 124,373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Options exercised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$ 11.15</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$ 12.37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3.20</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$ 104,172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Options vested and exercisable at March 31, 2020</w:t>
            </w:r>
          </w:p>
        </w:tc>
        <w:tc>
          <w:tcPr>
            <w:tcW w:w="98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$ 12.37</w:t>
            </w:r>
          </w:p>
        </w:tc>
        <w:tc>
          <w:tcPr>
            <w:tcW w:w="160" w:type="dxa"/>
            <w:vAlign w:val="bottom"/>
          </w:tcPr>
          <w:p>
            <w:pPr>
              <w:spacing w:after="0" w:line="20" w:lineRule="exact"/>
              <w:rPr>
                <w:sz w:val="1"/>
                <w:szCs w:val="1"/>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8"/>
                <w:szCs w:val="18"/>
                <w:color w:val="auto"/>
              </w:rPr>
              <w:t>3.20</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$ 104,172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1,372</w:t>
            </w: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total intrinsic value of options exercised was $7,197 and $16,164 during the three months ended</w:t>
      </w:r>
    </w:p>
    <w:p>
      <w:pPr>
        <w:spacing w:after="0" w:line="23" w:lineRule="exact"/>
        <w:rPr>
          <w:sz w:val="20"/>
          <w:szCs w:val="20"/>
          <w:color w:val="auto"/>
        </w:rPr>
      </w:pPr>
    </w:p>
    <w:p>
      <w:pPr>
        <w:jc w:val="both"/>
        <w:ind w:left="60" w:right="119"/>
        <w:spacing w:after="0" w:line="255" w:lineRule="auto"/>
        <w:rPr>
          <w:sz w:val="20"/>
          <w:szCs w:val="20"/>
          <w:color w:val="auto"/>
        </w:rPr>
      </w:pPr>
      <w:r>
        <w:rPr>
          <w:rFonts w:ascii="Arial" w:cs="Arial" w:eastAsia="Arial" w:hAnsi="Arial"/>
          <w:sz w:val="18"/>
          <w:szCs w:val="18"/>
          <w:color w:val="auto"/>
        </w:rPr>
        <w:t>March 31, 2019 and 2020, respectively, and $20,901 and $18,244 during the nine months ended March 31, 2019 and 2020, respectively. As of March 31, 2020, the Company had recognized all stock-based compensation cost related to outstanding stock options and all outstanding options had vested.</w:t>
      </w:r>
    </w:p>
    <w:p>
      <w:pPr>
        <w:spacing w:after="0" w:line="190" w:lineRule="exact"/>
        <w:rPr>
          <w:sz w:val="20"/>
          <w:szCs w:val="20"/>
          <w:color w:val="auto"/>
        </w:rPr>
      </w:pPr>
    </w:p>
    <w:p>
      <w:pPr>
        <w:ind w:left="60" w:right="239" w:firstLine="648"/>
        <w:spacing w:after="0" w:line="289" w:lineRule="auto"/>
        <w:rPr>
          <w:sz w:val="20"/>
          <w:szCs w:val="20"/>
          <w:color w:val="auto"/>
        </w:rPr>
      </w:pPr>
      <w:r>
        <w:rPr>
          <w:rFonts w:ascii="Arial" w:cs="Arial" w:eastAsia="Arial" w:hAnsi="Arial"/>
          <w:sz w:val="16"/>
          <w:szCs w:val="16"/>
          <w:color w:val="auto"/>
        </w:rPr>
        <w:t>The Company may also grant RSUs under the 2014 Plan with terms determined at the discretion of the compensation committee of the Company’s board of directors. RSUs generally vest over four years following the grant date. Certain RSU awards have time-based vesting conditions while other RSUs vest based on the achievement of certain revenue growth and Adjusted EBITDA margin targets in future fiscal years. For these performance-based RSUs, the Company recognizes stock-based compensation expense based upon the probable achievement of these aforementioned performance metrics. In the third quarter of fiscal 2020, the Company determined that the probable achievement of performance metrics for such outstanding performance-based awards would be lower as a result of the COVID-19 pandemic and its anticipated impact on the Company’s operating results. As a result, the Company reversed $2,053 in stock-based compensation expense associated with such awards during the three months ended March 31,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represents restricted stock unit activity during the nine months ended March 31, 2020:</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9"/>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RSUs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642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59.72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March 31, 2020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RSUs expected to vest at March 31, 2020</w:t>
            </w:r>
          </w:p>
        </w:tc>
        <w:tc>
          <w:tcPr>
            <w:tcW w:w="7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71.83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1,442</w:t>
            </w:r>
          </w:p>
        </w:tc>
        <w:tc>
          <w:tcPr>
            <w:tcW w:w="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At March 31, 2020, there was $50,414 of total unrecognized compensation cost, net of estimated forfeitures, related to unvested restricted stock units granted. That cost is expected to be recognized over a weighted average period of 1.91 years.</w:t>
      </w:r>
    </w:p>
    <w:p>
      <w:pPr>
        <w:spacing w:after="0" w:line="184" w:lineRule="exact"/>
        <w:rPr>
          <w:sz w:val="20"/>
          <w:szCs w:val="20"/>
          <w:color w:val="auto"/>
        </w:rPr>
      </w:pPr>
    </w:p>
    <w:p>
      <w:pPr>
        <w:ind w:left="360" w:hanging="310"/>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recorded as stock-based compensation expense.</w:t>
      </w:r>
    </w:p>
    <w:p>
      <w:pPr>
        <w:spacing w:after="0" w:line="16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As of March 31, 2020, a total of 950 shares of common stock were reserved for future issuances under the ESPP. The number of shares of common stock reserved for issuance under the ESPP may increase each calendar year, continuing through and including January 1, 2024. The number of shares added each year may be equal to the lesser of (a) 400, (b) seventy-five one hundredths percent (0.75%) of the number of shares of common stock of the Company issued and outstanding on the immediately preceding December 31, or (c) an amount determined by the Company’s board of directors. The Company’s board of directors determined that it would not increase the number of shares in reserve for issuance under the ESPP as of January 1, 2020.</w:t>
      </w:r>
    </w:p>
    <w:p>
      <w:pPr>
        <w:spacing w:after="0" w:line="195"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The Company issued 45 shares upon the completion of its six-month offering period ending November 15, 2019. The Company recorded compensation expense attributable to the ESPP of $516 and $831 for the three months ended March 31, 2019 and 2020, respectively, and $1,401 and $2,208 for the nine months ended March 31, 2019 and 2020, respectively, which is included in the summary of stock-based compensation expense above. The grant date fair value of the ESPP offering periods was estimated using the following weighted average assumptions:</w:t>
      </w:r>
    </w:p>
    <w:p>
      <w:pPr>
        <w:spacing w:after="0" w:line="195"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Nine Months Ended</w:t>
      </w:r>
    </w:p>
    <w:p>
      <w:pPr>
        <w:ind w:left="7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414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33.5 - 38.3 %</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38.6 - 43.3 %</w:t>
            </w: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Expected term (years)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14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2.10 - 2.48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1.58 - 2.44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maintains a 401(k) plan with a matching provision that covers all eligible employees. The Company matches 50% of employees’ contributions up to 8% of their gross pay. Contributions were $1,604 and $2,176 for the three months ended March 31, 2019 and 2020, respectively, and $4,138 and $5,947 for the nine months ended March 31, 2019 and 2020, respectively.</w:t>
      </w:r>
    </w:p>
    <w:p>
      <w:pPr>
        <w:sectPr>
          <w:pgSz w:w="11900" w:h="16838" w:orient="portrait"/>
          <w:cols w:equalWidth="0" w:num="1">
            <w:col w:w="9019"/>
          </w:cols>
          <w:pgMar w:left="1440" w:top="517"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Litigation</w:t>
      </w:r>
    </w:p>
    <w:p>
      <w:pPr>
        <w:spacing w:after="0" w:line="229"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On July 12, 2019, a former employee filed a class and collective action complaint under federal and state law alleging that certain employees of the Company were misclassified as salaried exempt employees. The complaint seeks unpaid overtime and other damages. The Company has, without admitting any liability or wrongdoing, reached an agreement in principle to settle this matter. The settlement of this claim did not have a material impact to the Company’s financial position, results of operations, or liquidity.</w:t>
      </w:r>
    </w:p>
    <w:p>
      <w:pPr>
        <w:spacing w:after="0" w:line="188"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On March 27, 2020, the President signed the Coronavirus Aid, Relief, and Economic Security Act (the “CARES Act”) into law. While the Company continues to analyze the relevant provisions of the CARES Act, it does not expect the provisions of the legislation to have a significant impact on the Company’s income taxes.</w:t>
      </w:r>
    </w:p>
    <w:p>
      <w:pPr>
        <w:spacing w:after="0" w:line="18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87"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The Company’s effective tax rate was 23.7% and 16.7% for the three months ended March 31, 2019 and 2020, respectively. The Company’s effective tax rate for the three months ended March 31, 2019 was higher than the federal statutory rate of 21% primarily due to state income taxes and nondeductible expenses, partially offset by federal research and development credits. The Company’s effective tax rate for the three months ended March 31, 2020 was lower than the federal statutory rate of 21% primarily due to federal research and development credits, partially offset by an increase in valuation allowance.</w:t>
      </w:r>
    </w:p>
    <w:p>
      <w:pPr>
        <w:spacing w:after="0" w:line="19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Company’s effective tax rate was 9.5% and 2.5% for the nine months ended March 31, 2019 and March 31, 2020, respectively. The Company’s effective tax rates for the nine months ended March 31, 2019 and March 31, 2020 were lower than the federal statutory rate of 21% primarily due to excess tax benefits from employee stock-based compensation and federal research and development credits.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Net Income Per Share</w:t>
      </w:r>
    </w:p>
    <w:p>
      <w:pPr>
        <w:spacing w:after="0" w:line="229"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income per share: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28,026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40,132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43,582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59,505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shares used in computing net income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52,934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53,629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52,880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53,486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ind w:left="200"/>
              <w:spacing w:after="0" w:line="201" w:lineRule="exact"/>
              <w:rPr>
                <w:sz w:val="20"/>
                <w:szCs w:val="20"/>
                <w:color w:val="auto"/>
              </w:rPr>
            </w:pPr>
            <w:r>
              <w:rPr>
                <w:rFonts w:ascii="Arial" w:cs="Arial" w:eastAsia="Arial" w:hAnsi="Arial"/>
                <w:sz w:val="18"/>
                <w:szCs w:val="18"/>
                <w:color w:val="auto"/>
                <w:w w:val="95"/>
              </w:rPr>
              <w:t>Employee stock options, restricted stock units and employee stock</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purchase plan shares</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55,465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55,953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55,280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55,760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0" w:right="379" w:firstLine="648"/>
        <w:spacing w:after="0" w:line="259" w:lineRule="auto"/>
        <w:rPr>
          <w:sz w:val="20"/>
          <w:szCs w:val="20"/>
          <w:color w:val="auto"/>
        </w:rPr>
      </w:pPr>
      <w:r>
        <w:rPr>
          <w:rFonts w:ascii="Arial" w:cs="Arial" w:eastAsia="Arial" w:hAnsi="Arial"/>
          <w:sz w:val="18"/>
          <w:szCs w:val="18"/>
          <w:color w:val="auto"/>
        </w:rPr>
        <w:t>The Company excluded 18 and 6 outstanding RSUs from the diluted per share calculations during the three months ended March 31, 2019 and 2020, respectively, and 49 and 17 outstanding RSUs from the diluted per share calculations during the nine months ended March 31, 2019 and 2020, respectively, because to include them would have been anti-dilutive.</w:t>
      </w:r>
    </w:p>
    <w:p>
      <w:pPr>
        <w:spacing w:after="0" w:line="187"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In August 2018, the Company announced that its board of directors approved a program to repurchase up to $35,000 of the Company’s common stock, with authorization through August 14, 2019. The Company completed the repurchase program during the first quarter of fiscal 2019 and repurchased 442 shares for $34,991. All shares of common stock repurchased were retired.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left="60" w:right="479" w:firstLine="648"/>
        <w:spacing w:after="0" w:line="285" w:lineRule="auto"/>
        <w:rPr>
          <w:sz w:val="20"/>
          <w:szCs w:val="20"/>
          <w:color w:val="auto"/>
        </w:rPr>
      </w:pPr>
      <w:r>
        <w:rPr>
          <w:rFonts w:ascii="Arial" w:cs="Arial" w:eastAsia="Arial" w:hAnsi="Arial"/>
          <w:sz w:val="16"/>
          <w:szCs w:val="16"/>
          <w:color w:val="auto"/>
        </w:rPr>
        <w:t>As described in Note 7, the Company entered into a five-year revolving credit agreement in July 2019 which provides for a senior secured revolving credit facility under which the Company may borrow up to $250,000. In April 2020, the Company borrowed $100,000 under this credit facility. Although the Company currently does not have any anticipated need for this additional liquidity, it utilized the borrowing capacity under the credit agreement to provide enhanced financial flexibility due to uncertain market conditions arising from the COVID-19 pandemic. As of</w:t>
      </w:r>
    </w:p>
    <w:p>
      <w:pPr>
        <w:spacing w:after="0" w:line="2" w:lineRule="exact"/>
        <w:rPr>
          <w:sz w:val="20"/>
          <w:szCs w:val="20"/>
          <w:color w:val="auto"/>
        </w:rPr>
      </w:pPr>
    </w:p>
    <w:p>
      <w:pPr>
        <w:ind w:left="60" w:right="279"/>
        <w:spacing w:after="0" w:line="260" w:lineRule="auto"/>
        <w:rPr>
          <w:sz w:val="20"/>
          <w:szCs w:val="20"/>
          <w:color w:val="auto"/>
        </w:rPr>
      </w:pPr>
      <w:r>
        <w:rPr>
          <w:rFonts w:ascii="Arial" w:cs="Arial" w:eastAsia="Arial" w:hAnsi="Arial"/>
          <w:sz w:val="18"/>
          <w:szCs w:val="18"/>
          <w:color w:val="auto"/>
        </w:rPr>
        <w:t>March 31, 2020, the Company’s primary sources of liquidity were $114,325 of cash and cash equivalents and $72,679 of total corporate investments.</w:t>
      </w:r>
    </w:p>
    <w:p>
      <w:pPr>
        <w:spacing w:after="0" w:line="185"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In April 2020, the Company acquired all of the shares outstanding of VidGrid, Inc. through a merger for purchase price consideration of $17,500, subject to customary escrow arrangements and purchase price adjustments. VidGrid, Inc. is a leading video platform provider that enables peer-to-peer video learning courses, transforming video into two-way communication. This transaction expands the Company’s product functionality around workplace video communication and reaffirms its commitment to stronger employee collaboration, engagement and retention while helping clients prepare for the workplaces of the future. The Company will account for the acquisition as a business combination in accordance with ASC 805: Business Combinations using the acquisition method of accounting and recognize assets and liabilities at fair value as of the date of acquisition. The acquisition will not have a material impact to the Company’s consolidated financial statements.</w:t>
      </w:r>
    </w:p>
    <w:p>
      <w:pPr>
        <w:sectPr>
          <w:pgSz w:w="11900" w:h="16838" w:orient="portrait"/>
          <w:cols w:equalWidth="0" w:num="1">
            <w:col w:w="9019"/>
          </w:cols>
          <w:pgMar w:left="1440" w:top="517"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We are a cloud-based provider of payroll and human capital management (“HCM”) software solutions for medium-sized organizations, which we define as those having between 20 and 1,000 employees. Our comprehensive and easy-to-use solutions enable our clients to manage their workforces more effectively. Our product suite delivers a unified platform for professionals to make strategic decisions in the areas of payroll, core HR, workforce management, talent and benefits, all while promoting a modern workplace and improving employee engagement.</w:t>
      </w:r>
    </w:p>
    <w:p>
      <w:pPr>
        <w:spacing w:after="0" w:line="14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Our solutions were specifically designed to meet the payroll and HCM needs of medium-sized organizations. We designed our cloud-based platform to provide a unified suite of modules using a multi-tenant architecture. Our solutions are highly flexible and configurable and feature a modern, intuitive user experience. Our platform offers automated data integration with over 300 related third-party systems, such as 401(k), benefits and insurance provider systems.</w:t>
      </w:r>
    </w:p>
    <w:p>
      <w:pPr>
        <w:spacing w:after="0" w:line="179"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Our payroll solution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73"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7"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1" w:lineRule="exact"/>
        <w:rPr>
          <w:sz w:val="20"/>
          <w:szCs w:val="20"/>
          <w:color w:val="auto"/>
        </w:rPr>
      </w:pPr>
    </w:p>
    <w:p>
      <w:pPr>
        <w:ind w:left="60" w:right="319" w:firstLine="648"/>
        <w:spacing w:after="0" w:line="279" w:lineRule="auto"/>
        <w:rPr>
          <w:sz w:val="20"/>
          <w:szCs w:val="20"/>
          <w:color w:val="auto"/>
        </w:rPr>
      </w:pPr>
      <w:r>
        <w:rPr>
          <w:rFonts w:ascii="Arial" w:cs="Arial" w:eastAsia="Arial" w:hAnsi="Arial"/>
          <w:sz w:val="17"/>
          <w:szCs w:val="17"/>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its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In March 2020, the World Health Organization declared the outbreak of the novel coronavirus disease (“COVID-19”) as a pandemic which has caused a global slowdown of economic activity that we believe will unfavorably impact our future business operations and financial condition. The COVID</w:t>
      </w:r>
      <w:r>
        <w:rPr>
          <w:rFonts w:ascii="Arial" w:cs="Arial" w:eastAsia="Arial" w:hAnsi="Arial"/>
          <w:sz w:val="16"/>
          <w:szCs w:val="16"/>
          <w:i w:val="1"/>
          <w:iCs w:val="1"/>
          <w:color w:val="auto"/>
        </w:rPr>
        <w:t>-</w:t>
      </w:r>
      <w:r>
        <w:rPr>
          <w:rFonts w:ascii="Arial" w:cs="Arial" w:eastAsia="Arial" w:hAnsi="Arial"/>
          <w:sz w:val="16"/>
          <w:szCs w:val="16"/>
          <w:color w:val="auto"/>
        </w:rPr>
        <w:t>19 pandemic did not have a material impact on our financial position, results of operations or liquidity as of and for the period ended March 31, 2020, as the U.S. economy did not experience a material impact from the COVID-19 pandemic until the latter half of March 2020.</w:t>
      </w:r>
    </w:p>
    <w:p>
      <w:pPr>
        <w:spacing w:after="0" w:line="16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response to the COVID-19 pandemic, we have transitioned nearly all of our employees across all of our offices (including our corporate headquarters) to remote work-from-home arrangements during our third quarter of fiscal 2020. We did not experience any material disruptions in our ability to operate our business and service our clients during this transition as our business model enables us to service our clients remotely. We were able to continue our implementation efforts remotely, and service our clients efficiently and in a timely manner during the quarter, while our sales team shifted from in-person meetings with prospective and existing clients to engaging with them virtually. Our teams also quickly mobilized to analyze the various state and federal legislative changes enacted by the government in response to the COVID-19 crisis, including the Coronavirus Aid, Relief, and Economic Security (“CARES”) Act and the Families First Coronavirus Response Act (“FFCRA”) legislation and added automated functionality and reporting to our systems for our clients. Many of our prospective and existing clients’ businesses have been impacted by stay-at-home, business closure and other restrictive orders, which has resulted in reduced employee headcount, temporary and permanent business closures, and/or delayed sales/starts.</w:t>
      </w:r>
    </w:p>
    <w:p>
      <w:pPr>
        <w:spacing w:after="0" w:line="17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duration and severity of the COVID-19 pandemic, and the effects the pandemic will have on our clients and general economic conditions, remains uncertain and difficult to predict. Our business and financial performance may be unfavorably impacted in future periods as a result of the COVID-19 pandemic if a significant number of our clients are unable to continue as viable businesses or reduce headcount, the macro-economic environment continues to experience worsening unemployment, there is a reduction in business confidence and activity, a decrease in government and consumer spending, a decrease in payroll and HCM solutions spending by medium-sized organizations, a decrease in growth in the overall market or a further decline of interest rates, among other factors.</w:t>
      </w:r>
    </w:p>
    <w:p>
      <w:pPr>
        <w:spacing w:after="0" w:line="177"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We currently expect COVID-19 to have an unfavorable impact on growth in both Recurring and other revenues and Interest income on funds held for clients in future periods. Recurring and other revenue growth may decline due to lower client employee counts, increases in client losses, less demand for new services, pricing pressures and longer sales cycles. Interest income from funds held for clients has also been unfavorably impacted primarily due to rate reductions by the Federal Reserve. If economic conditions continue to deteriorate into the latter half of the current calendar year, including further increases in private sector unemployment and business closures, declines in new business formation and further reductions in interest rates, we could experience further unfavorable impact to our financial performance. Refer to “Item 1A. Risk Factors” in this Quarterly Report on Form 10-Q for risks related to the COVID-19 pandemic to our business and financial performance.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Growth</w:t>
      </w:r>
    </w:p>
    <w:p>
      <w:pPr>
        <w:spacing w:after="0" w:line="225" w:lineRule="exact"/>
        <w:rPr>
          <w:sz w:val="20"/>
          <w:szCs w:val="20"/>
          <w:color w:val="auto"/>
        </w:rPr>
      </w:pPr>
    </w:p>
    <w:p>
      <w:pPr>
        <w:ind w:left="60" w:right="179" w:firstLine="648"/>
        <w:spacing w:after="0" w:line="284" w:lineRule="auto"/>
        <w:rPr>
          <w:sz w:val="20"/>
          <w:szCs w:val="20"/>
          <w:color w:val="auto"/>
        </w:rPr>
      </w:pPr>
      <w:r>
        <w:rPr>
          <w:rFonts w:ascii="Arial" w:cs="Arial" w:eastAsia="Arial" w:hAnsi="Arial"/>
          <w:sz w:val="16"/>
          <w:szCs w:val="16"/>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$139.6 million for the three months ended March 31, 2019 to $171.6 million for the three months ended March 31, 2020, representing a 23% year-over-year increase. Total revenues increased from $347.3 million for the nine months ended March 31, 2019 to $430.7 million for the nine months ended March 31, 2020, representing a 24% year-over-year increase. Our total revenues increased during the three and nine months ended March 31, 2020 as the effects of COVID-19 had minimal impact during the third quarter. We expect COVID-19 to unfavorably impact our revenue growth rates in future periods as we anticipate lower client employee counts, increases in client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losses, less demand for new services, a continued low interest rate environment and a decrease in the growth of the overall market, among other factors.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Gross Profit and Adjusted EBITDA</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88"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61" w:lineRule="exact"/>
        <w:rPr>
          <w:sz w:val="20"/>
          <w:szCs w:val="20"/>
          <w:color w:val="auto"/>
        </w:rPr>
      </w:pPr>
    </w:p>
    <w:p>
      <w:pPr>
        <w:ind w:left="60" w:right="359" w:firstLine="648"/>
        <w:spacing w:after="0" w:line="255" w:lineRule="auto"/>
        <w:rPr>
          <w:sz w:val="20"/>
          <w:szCs w:val="20"/>
          <w:color w:val="auto"/>
        </w:rPr>
      </w:pPr>
      <w:r>
        <w:rPr>
          <w:rFonts w:ascii="Arial" w:cs="Arial" w:eastAsia="Arial" w:hAnsi="Arial"/>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EBITDA as net income before interest expense, income tax expense, depreciation and amortization expense, stock-based compensation expense and employer payroll taxes related to stock releases and option exercises and other items as defined below. The table below sets forth our Adjusted Gross Profit and Adjusted EBITDA for the periods presented.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1780" w:type="dxa"/>
            <w:vAlign w:val="bottom"/>
            <w:gridSpan w:val="5"/>
          </w:tcPr>
          <w:p>
            <w:pPr>
              <w:ind w:left="5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center"/>
              <w:ind w:right="1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129,906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89"/>
              </w:rPr>
              <w:t>$ 250,541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313,290</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54,816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68,247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8"/>
                <w:szCs w:val="18"/>
                <w:color w:val="auto"/>
                <w:w w:val="89"/>
              </w:rPr>
              <w:t>$ 104,179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128,989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1"/>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17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5"/>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99,807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123,565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8"/>
                <w:szCs w:val="18"/>
                <w:color w:val="auto"/>
                <w:w w:val="89"/>
              </w:rPr>
              <w:t>$ 233,503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294,605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12,854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and employer payroll taxes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related to stock releases and option exercises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8"/>
                <w:szCs w:val="18"/>
                <w:color w:val="auto"/>
              </w:rPr>
              <w:t>4,184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105,300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129,906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7"/>
              </w:rPr>
              <w:t>$ 250,541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313,290</w:t>
            </w:r>
          </w:p>
        </w:tc>
        <w:tc>
          <w:tcPr>
            <w:tcW w:w="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17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5"/>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40,132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8"/>
                <w:szCs w:val="18"/>
                <w:color w:val="auto"/>
                <w:w w:val="95"/>
              </w:rPr>
              <w:t>$  43,582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59,505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8"/>
                <w:szCs w:val="18"/>
                <w:color w:val="auto"/>
              </w:rPr>
              <w:t>4,588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25,213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27,832</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22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45,164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57,849</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73,383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89,171</w:t>
            </w: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expense and employer payroll taxes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related to stock releases and option exercises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30,796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36,871</w:t>
            </w:r>
          </w:p>
        </w:tc>
        <w:tc>
          <w:tcPr>
            <w:tcW w:w="4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items*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7"/>
              </w:rPr>
              <w:t>$ 104,179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128,989</w:t>
            </w:r>
          </w:p>
        </w:tc>
        <w:tc>
          <w:tcPr>
            <w:tcW w:w="40" w:type="dxa"/>
            <w:vAlign w:val="bottom"/>
            <w:tcBorders>
              <w:bottom w:val="single" w:sz="8" w:color="auto"/>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179" w:hanging="650"/>
        <w:spacing w:after="0" w:line="286"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nonrecurring costs including lease exit and transaction costs of $0.3 million and $0.9 million incurred during the three and nine months ended March 31, 2020, respectively, and the settlement of a certain legal matter and related litigation costs of $2.0 million during the nine months ended March 31,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Beginning in fiscal 2020, we simplified the presentation of revenue. Recurring fees and Implementation services and other have been combined into one revenue line: Recurring and other revenue. We changed the presentation of revenue as Implementation services and other has become a smaller component of our overall revenue mix as our HCM suite has become a larger part of the portfolio. Previously reported results for the three and nine months ended March 31, 2019 have been reclassified to conform to the current presentation.</w:t>
      </w:r>
    </w:p>
    <w:p>
      <w:pPr>
        <w:spacing w:after="0" w:line="18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and implementation fees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78"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and other revenue accounted for 95% and 97% of our total revenues during the three months ended March 31, 2019 and March 31, 2020, respectively, and 96% and 97% of our total revenues during the nine months ended March 31, 2019 and March 31, 2020, respectively.</w:t>
      </w:r>
    </w:p>
    <w:p>
      <w:pPr>
        <w:spacing w:after="0" w:line="192"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To correspond with the simplification of the presentation of revenue discussed above, we also simplified the presentation of cost of revenue. As a result, Cost of revenues – recurring revenues and Cost of revenues – implementation services and other have been combined into one line: Cost of revenues. 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Employee costs for recurring support are generally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expensed as incurred whereas such costs for implementation of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87"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We also capitalize a portion of our internal-use software costs, which are then all amortized as Cost of revenues. We amortized $4.2 million and $4.9 million of capitalized internal-use software costs during the three months ended March 31, 2019 and 2020, respectively, and $12.9 million and $14.1 million of capitalized internal-use software costs during the nine months ended March 31, 2019 and 2020,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and benefits, marketing expenses and other related costs. We capitalize certain selling and commission costs related to new contracts or purchases of additional services by our existing clients. Commissions are typically paid the following month after the start of service, and bonuses for attainment of certain annual performance criteria are subsequently paid annually in the first fiscal quarter of the following year. We generally recognize these costs over a period of 7 years.</w:t>
      </w:r>
    </w:p>
    <w:p>
      <w:pPr>
        <w:spacing w:after="0" w:line="178"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2019 and 2020.</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62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80"/>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2"/>
              </w:rPr>
              <w:t>March 31,</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center"/>
              <w:ind w:right="5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portion of 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16,344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20,654</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Expensed portion of research and development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15,612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8"/>
              </w:rPr>
              <w:t>36,886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45,416</w:t>
            </w:r>
          </w:p>
        </w:tc>
        <w:tc>
          <w:tcPr>
            <w:tcW w:w="40" w:type="dxa"/>
            <w:vAlign w:val="bottom"/>
            <w:tcBorders>
              <w:bottom w:val="single" w:sz="8" w:color="CCEEFF"/>
            </w:tcBorders>
          </w:tcPr>
          <w:p>
            <w:pPr>
              <w:spacing w:after="0"/>
              <w:rPr>
                <w:sz w:val="18"/>
                <w:szCs w:val="18"/>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53,230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66,070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Other income generally consists of interest income related to interest earned on our cash and cash equivalents and corporate investments, net of losses on disposal of property and equipment and interest expense related to our revolving credit facility.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center"/>
              <w:ind w:right="1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center"/>
              <w:ind w:right="31"/>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333,096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416,948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139,552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171,646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347,260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430,740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113,757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136,135</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123,565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233,503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294,605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112,051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36,886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186,488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234,750</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59,505</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00" w:type="dxa"/>
            <w:vAlign w:val="bottom"/>
            <w:vMerge w:val="restart"/>
          </w:tcPr>
          <w:p>
            <w:pPr>
              <w:jc w:val="right"/>
              <w:ind w:right="59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10"/>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620" w:type="dxa"/>
            <w:vAlign w:val="bottom"/>
            <w:gridSpan w:val="10"/>
          </w:tcPr>
          <w:p>
            <w:pPr>
              <w:jc w:val="center"/>
              <w:ind w:right="25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6"/>
          </w:tcPr>
          <w:p>
            <w:pPr>
              <w:jc w:val="center"/>
              <w:ind w:left="94"/>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060" w:type="dxa"/>
            <w:vAlign w:val="bottom"/>
            <w:gridSpan w:val="6"/>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6"/>
              </w:rPr>
              <w:t>4 %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33 %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6"/>
              </w:rPr>
              <w:t>0 %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6"/>
              </w:rPr>
              <w:t>1 %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Comparison of Three Months Ended March 31, 2019 and 2020</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7"/>
            <w:vMerge w:val="restart"/>
          </w:tcPr>
          <w:p>
            <w:pPr>
              <w:jc w:val="right"/>
              <w:ind w:right="4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and other revenue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133,355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167,095</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8"/>
              </w:rPr>
              <w:t>$ 33,740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95 %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(1,646)</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Recurring and other revenue for the three months ended March 31, 2020 increased by $33.7 million, or 25%, to $167.1 million from $133.4 million for three months ended March 31, 2019. Recurring and other revenue increased primarily as a result of incremental revenues from new and existing clients.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Interest income on funds held for clients for the three months ended March 31, 2020 decreased by $1.6 million, or 27% to $4.6 million from $6.2 million for the three months ended March 31, 2019. Interest income on funds held for clients decreased primarily as a result of lower average interest rates due to the interest rate cuts by the Federal Reserve in response to the COVID-19 pandemic. The impact from the reduction in interest rates was partially offset by higher average daily balances for funds held due to the addition of new clients to our client base.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9"/>
              </w:rPr>
              <w:t>March 31,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$ 39,745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$ 48,081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$ 8,336</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72 %</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72 %</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Cost of revenues for the three months ended March 31, 2020 increased by $8.3 million, or 21%, to $48.1 million from $39.7 million for the three months ended March 31, 2019. Cost of revenues increased primarily as a result of the continued growth of our business, in particular, $5.1 million in additional employee-related costs resulting from additional personnel necessary to provide services to new and existing clients and $1.6 million in delivery and other processing-related fees. Gross margin remained consistent at 72% for both the three months ended March 31, 2019 and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9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9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$ 27,699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$ 37,801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$ 10,102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139" w:firstLine="648"/>
        <w:spacing w:after="0" w:line="301" w:lineRule="auto"/>
        <w:rPr>
          <w:sz w:val="20"/>
          <w:szCs w:val="20"/>
          <w:color w:val="auto"/>
        </w:rPr>
      </w:pPr>
      <w:r>
        <w:rPr>
          <w:rFonts w:ascii="Arial" w:cs="Arial" w:eastAsia="Arial" w:hAnsi="Arial"/>
          <w:sz w:val="16"/>
          <w:szCs w:val="16"/>
          <w:color w:val="auto"/>
        </w:rPr>
        <w:t>Sales and marketing expenses for the three months ended March 31, 2020 increased by $10.1 million, or 36%, to $37.8 million from $27.7 million for the three months ended March 31, 2019. The increase in sales and marketing expense was primarily the result of $6.9 million of additional employee-related costs, including those incurred to expand our sales team, and $1.7 million of additional stock-based compensation associated with our equity incentive plan.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5"/>
              </w:rPr>
              <w:t>$ 12,688</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$ 15,612</w:t>
            </w: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$ 2,924</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Research and development expenses for the three months ended March 31, 2020 increased by $2.9 million, or 23%, to $15.6 million from $12.7 million for the three months ended March 31, 2019. The increase in research and development expenses was primarily the result of $3.8 million of additional employee-related costs related to additional development personnel, partially offset by higher period-over-period capitalized internal-use software costs of $1.7 million.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$ 23,208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$ 22,411</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(797)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13 %</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9019"/>
          </w:cols>
          <w:pgMar w:left="1440" w:top="517" w:right="1440" w:bottom="1440" w:gutter="0" w:footer="0" w:header="0"/>
        </w:sect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General and administrative expenses for the three months ended March 31, 2020 decreased by $0.8 million, or 3%, to $22.4 million from $23.2 million for the three months ended March 31, 2019. The decrease in general and administrative expense was primarily the result of decreased stock-based compensation costs associated with our equity incentive plan of $2.2 million, partially offset by $0.7 million of increased occupancy costs incurred as a result of our requirement for additional office space and $0.3 million in certain transaction costs. Stock-based compensation expense decreased for the three months ended March 31, 2020 compared to the prior year due to a reduction in probable achievement levels of performance due to the anticipated impact of the COVID-19 pandemic on operating results. Refer to Note 9 of the Unaudited Consolidated Financial Statements for further details.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7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9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540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Other income for the three months ended March 31, 2020 did not materially change as compared to the three months ended March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Our effective tax rate was 23.7% and 16.7% for the three months ended March 31, 2019 and March 31, 2020, respectively. Our effective tax rate for the three months ended March 31, 2019 was higher than the federal statutory rate of 21% primarily due to state income taxes and nondeductible expenses, partially offset by federal research and development credits. Our effective tax rate for the three months ended March 31, 2020 was lower than the federal statutory rate of 21% primarily due to federal research and development credits, partially offset by an increase in valuation allowance.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Nine Months Ended March 31, 2019 and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4"/>
                <w:szCs w:val="14"/>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333,096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$ 416,948</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$ 83,852</w:t>
            </w: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13,792</w:t>
            </w: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(372)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jc w:val="both"/>
        <w:ind w:left="60" w:right="339" w:firstLine="648"/>
        <w:spacing w:after="0" w:line="263" w:lineRule="auto"/>
        <w:rPr>
          <w:sz w:val="20"/>
          <w:szCs w:val="20"/>
          <w:color w:val="auto"/>
        </w:rPr>
      </w:pPr>
      <w:r>
        <w:rPr>
          <w:rFonts w:ascii="Arial" w:cs="Arial" w:eastAsia="Arial" w:hAnsi="Arial"/>
          <w:sz w:val="18"/>
          <w:szCs w:val="18"/>
          <w:color w:val="auto"/>
        </w:rPr>
        <w:t>Recurring and other revenue for the nine months ended March 31, 2020 increased by $83.9 million, or 25%, to $416.9 million from $333.1 million for the nine months ended March 31, 2019. Recurring and other revenue increased primarily as a result of incremental revenues from new and existing clients.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Interest income on funds held for clients for the nine months ended March 31, 2020 decreased by $0.4 million, or 3% to $13.8 million from $14.2 million for the nine months ended March 31, 2019. Interest income on funds held for clients decreased primarily as a result of lower average interest rates as the Federal Reserve reduced interest rates gradually throughout the nine months ended March 31, 2020 with the most significant interest rate cuts taking place in March 2020 in light of the global economic impact of the COVID-19 pandemic. The impact of these interest rate reductions was partially offset by an increase in average daily balances for funds held due to the addition of new clients to our client base.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58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58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8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$ 113,757</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$ 136,135</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$ 22,378</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jc w:val="right"/>
              <w:ind w:right="19"/>
              <w:spacing w:after="0"/>
              <w:rPr>
                <w:sz w:val="20"/>
                <w:szCs w:val="20"/>
                <w:color w:val="auto"/>
              </w:rPr>
            </w:pPr>
            <w:r>
              <w:rPr>
                <w:rFonts w:ascii="Arial" w:cs="Arial" w:eastAsia="Arial" w:hAnsi="Arial"/>
                <w:sz w:val="18"/>
                <w:szCs w:val="18"/>
                <w:color w:val="auto"/>
                <w:w w:val="74"/>
              </w:rPr>
              <w:t>%</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67 %</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68 %</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Cost of revenues for the nine months ended March 31, 2020 increased by $22.4 million, or 20%, to $136.1 million from $113.8 million for the nine months ended March 31, 2019. Cost of revenues increased primarily as a result of the continued growth of our business, in particular, $14.2 million in additional employee-related costs resulting from additional personnel necessary to provide services to new and existing clients and $4.7 million in delivery and other processing-related fees. Gross margin increased from 67% for the nine months ended March 31, 2019 to 68% for the nine months ended March 31, 2020.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9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9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$ 80,687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$ 112,051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$ 31,364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26 %</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Sales and marketing expenses for the nine months ended March 31, 2020 increased by $31.4 million, or 39%, to $112.1 million from $80.7 million for the nine months ended March 31, 2019. The increase in sales and marketing expense was primarily the result of $20.1 million of additional employee-related costs, including those incurred to expand our sales team, and $5.3 million of additional stock-based compensation associated with our equity incentive plan.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5"/>
              </w:rPr>
              <w:t>$ 36,886</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$ 45,416</w:t>
            </w: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$ 8,530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10 %</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Research and development expenses for the nine months ended March 31, 2020 increased by $8.5 million, or 23%, to $45.4 million from $36.9 million for the nine months ended March 31, 2019. The increase in research and development expenses was primarily the result of $10.9 million of additional employee-related costs related to additional development personnel, partially offset by higher period-over-period capitalized internal-use software costs of $4.3 million.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9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8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$ 68,915</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$ 77,283</w:t>
            </w: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$ 8,368</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General and administrative expenses for the nine months ended March 31, 2020 increased by $8.4 million, or 12%, to $77.3 million from $68.9 million for the nine months ended March 31, 2019. The increase in general and administrative expense was primarily the result of $3.1 million of additional employee-related costs, $2.9 million in the settlement of a certain legal matter, related litigation costs and certain lease exit and transaction costs and $2.5 million of increased occupancy costs incurred as a result of our requirement for additional office space, offset by a $1.0 million decrease in stock-based compensation costs associated with our equity incentive plan. Stock-based compensation expense decreased for the nine months ended March 31, 2020 compared to the prior year due to a reduction in probable achievement levels of performance due to the anticipated impact of the COVID-19 pandemic on operating results, partially offset by additional stock-based compensation expense for RSUs with time-based vesting conditions. Refer to Note 9 of the Unaudited Consolidated Financial Statements for further details.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w:t>
      </w: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7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7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7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$ 1,155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$ 1,194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Other income for the nine months ended March 31, 2020 did not materially change as compared to the nine months ended March 31,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Our effective tax rate was 9.5% and 2.5% for the nine months ended March 31, 2019 and 2020, respectively. Our effective tax rates for the nine months ended March 31, 2019 and 2020 were lower than the federal statutory rate of 21% primarily due to excess tax benefits from employee stock-based compensation and federal research and development credits.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81"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In March 2020, the World Health Organization declared the outbreak of COVID-19 as a pandemic which has caused a global slowdown of economic activity that we believe will unfavorably impact our business operations and financial conditions. The duration and severity of the COVID-19 pandemic, and the effect the pandemic will have on our clients and general economic conditions, remains uncertain and difficult to predict. Accounting estimates used in the preparation of these consolidated financial statements may change as new events occur, more experience and additional information is acquired, and the operating environment evolves including the ongoing impact of COVID-19. Refer to “Item 1A. Risk Factors” in this Quarterly Report on Form 10-Q for risks related to the COVID</w:t>
      </w:r>
      <w:r>
        <w:rPr>
          <w:rFonts w:ascii="Arial" w:cs="Arial" w:eastAsia="Arial" w:hAnsi="Arial"/>
          <w:sz w:val="18"/>
          <w:szCs w:val="18"/>
          <w:i w:val="1"/>
          <w:iCs w:val="1"/>
          <w:color w:val="auto"/>
        </w:rPr>
        <w:t>-</w:t>
      </w:r>
      <w:r>
        <w:rPr>
          <w:rFonts w:ascii="Arial" w:cs="Arial" w:eastAsia="Arial" w:hAnsi="Arial"/>
          <w:sz w:val="18"/>
          <w:szCs w:val="18"/>
          <w:color w:val="auto"/>
        </w:rPr>
        <w:t>19 pandemic on its business and financial performance.</w:t>
      </w:r>
    </w:p>
    <w:p>
      <w:pPr>
        <w:spacing w:after="0" w:line="192"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Our critical accounting policies and use of estimates are disclosed in our audited consolidated financial statements for the year ended June 30, 2019 included in our Annual Report on Form 10-K filed with the SEC on August 9, 2019.</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 The share repurchase program completed during the first quarter of fiscal 2019 was funded by our cash flows from operations. As of March 31, 2020, our principal sources of liquidity were $114.3 million of cash and cash equivalents and $72.7 million of total corporate investments. We invest portions of our excess cash and cash equivalents in highly liquid, investment-grade marketable securities. These investments consist of commercial paper, asset-backed debt securities, corporate debt issuances and U.S. Treasury securities with credit quality ratings of A-1 or higher. We believe that our investments in unrealized loss positions as of March 31, 2020 were not other-than-temporarily impaired, nor has any event occurred subsequent to that date that would change that conclusion.</w:t>
      </w:r>
    </w:p>
    <w:p>
      <w:pPr>
        <w:spacing w:after="0" w:line="196"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as well as the extent and duration of COVID-19 on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or utilize our credit facility that we entered into in July 2019 to satisfy those needs. Refer to Notes 7 and 13 of the Notes to the Unaudited Consolidated Financial Statements for additional detail on the credit agreement and our initial borrowing under the credit facility subsequent to March 31, 2020, respectively.</w:t>
      </w:r>
    </w:p>
    <w:p>
      <w:pPr>
        <w:spacing w:after="0" w:line="179"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87" w:lineRule="exact"/>
        <w:rPr>
          <w:sz w:val="20"/>
          <w:szCs w:val="20"/>
          <w:color w:val="auto"/>
        </w:rPr>
      </w:pPr>
    </w:p>
    <w:p>
      <w:pPr>
        <w:ind w:left="60" w:right="259" w:firstLine="648"/>
        <w:spacing w:after="0" w:line="273" w:lineRule="auto"/>
        <w:rPr>
          <w:sz w:val="20"/>
          <w:szCs w:val="20"/>
          <w:color w:val="auto"/>
        </w:rPr>
      </w:pPr>
      <w:r>
        <w:rPr>
          <w:rFonts w:ascii="Arial" w:cs="Arial" w:eastAsia="Arial" w:hAnsi="Arial"/>
          <w:sz w:val="17"/>
          <w:szCs w:val="17"/>
          <w:color w:val="auto"/>
        </w:rPr>
        <w:t>We believe our current cash and cash equivalents, corporate investments, future cash flow from operations, and access to our credit facility will be sufficient to meet our ongoing working capital, capital expenditure and other liquidity requirements for at least the next 12 months, and thereafter, for the foreseeable future. In April 2020, we borrowed $100 million under our credit facility. Although we currently do not have any anticipated need for this additional liquidity, we utilized our borrowing capacity under our credit agreement in order to provide enhanced financial flexibility due to uncertain market conditions arising from COVID-19.</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Nine Months Ended</w:t>
      </w:r>
    </w:p>
    <w:p>
      <w:pPr>
        <w:ind w:left="74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7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86,795</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available-for-sale securities and other</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(210,374)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(400,343)</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161,306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250,791</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internal-use software costs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(14,706)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(19,213)</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(9,621)</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(14,578)</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allowances used for tenant improvements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6700" w:type="dxa"/>
            <w:vAlign w:val="bottom"/>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(74,179)</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(183,343)</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Net change in client fund obligations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496,695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334,707</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shares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(34,991)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stock purchase plan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(21,749)</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(33,136)</w:t>
            </w: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w:t>
            </w:r>
          </w:p>
        </w:tc>
      </w:tr>
      <w:tr>
        <w:trPr>
          <w:trHeight w:val="210"/>
        </w:trPr>
        <w:tc>
          <w:tcPr>
            <w:tcW w:w="6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442,864</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304,857</w:t>
            </w:r>
          </w:p>
        </w:tc>
        <w:tc>
          <w:tcPr>
            <w:tcW w:w="80" w:type="dxa"/>
            <w:vAlign w:val="bottom"/>
            <w:tcBorders>
              <w:bottom w:val="single" w:sz="8" w:color="CCEEFF"/>
            </w:tcBorders>
          </w:tcPr>
          <w:p>
            <w:pPr>
              <w:spacing w:after="0"/>
              <w:rPr>
                <w:sz w:val="18"/>
                <w:szCs w:val="18"/>
                <w:color w:val="auto"/>
              </w:rPr>
            </w:pPr>
          </w:p>
        </w:tc>
      </w:tr>
      <w:tr>
        <w:trPr>
          <w:trHeight w:val="20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Net change in cash, cash equivalents and funds held for clients'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447,844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208,309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399" w:firstLine="648"/>
        <w:spacing w:after="0" w:line="293" w:lineRule="auto"/>
        <w:rPr>
          <w:sz w:val="20"/>
          <w:szCs w:val="20"/>
          <w:color w:val="auto"/>
        </w:rPr>
      </w:pPr>
      <w:r>
        <w:rPr>
          <w:rFonts w:ascii="Arial" w:cs="Arial" w:eastAsia="Arial" w:hAnsi="Arial"/>
          <w:sz w:val="16"/>
          <w:szCs w:val="16"/>
          <w:color w:val="auto"/>
        </w:rPr>
        <w:t>Net cash provided by operating activities was $79.2 million and $86.8 million for the nine months ended March 31, 2019 and 2020, respectively. The increase in net cash provided by operating activities from the nine months ended March 31, 2019 to the nine months ended March 31, 2020 was primarily due to improved operating results after adjusting for non-cash items including stock-based compensation expense, depreciation and amortization expense and deferred income tax expense, partially offset by changes in operating assets and liabilities, mostly driven by changes in deferred contract costs and accrued expenses and other during the nine months ended March 31, 2020.</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cash used in investing activities was $74.2 million and $183.3 million for the nine months ended</w:t>
      </w:r>
    </w:p>
    <w:p>
      <w:pPr>
        <w:spacing w:after="0" w:line="23" w:lineRule="exact"/>
        <w:rPr>
          <w:sz w:val="20"/>
          <w:szCs w:val="20"/>
          <w:color w:val="auto"/>
        </w:rPr>
      </w:pPr>
    </w:p>
    <w:p>
      <w:pPr>
        <w:jc w:val="both"/>
        <w:ind w:left="60" w:right="159"/>
        <w:spacing w:after="0" w:line="295" w:lineRule="auto"/>
        <w:rPr>
          <w:sz w:val="20"/>
          <w:szCs w:val="20"/>
          <w:color w:val="auto"/>
        </w:rPr>
      </w:pPr>
      <w:r>
        <w:rPr>
          <w:rFonts w:ascii="Arial" w:cs="Arial" w:eastAsia="Arial" w:hAnsi="Arial"/>
          <w:sz w:val="16"/>
          <w:szCs w:val="16"/>
          <w:color w:val="auto"/>
        </w:rPr>
        <w:t>March 31, 2019 and 2020, respectively. The net cash used in investing activities is significantly impacted by the timing of purchases and sales and maturities of investments as we invest portions of excess corporate cash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61"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change in net cash used in investing activities was primarily due to increases in purchases of available-for-sale securities of $190.0 million, purchases of property and equipment of $5.0 million and capitalized internal-use software costs of $4.5 million, partially offset by increases in proceeds from sales and maturities of available-for-sale</w:t>
      </w: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color w:val="auto"/>
        </w:rPr>
        <w:t>securities of $89.5 million during the nine months ended March 31, 2020 as compared to the nine months ended March 31,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Net cash provided by financing activities was $442.9 million and $304.9 million for the nine months ended March 31, 2019 and 2020, respectively. The change in net cash provided by financing activities was primarily the result of a decrease in client fund obligations of $162.0 million due to the timing of client funds collected and related remittance of those funds to client employees and taxing authorities and $11.4 million in increased taxes paid related to net share settlement of equity awards during the nine months ended March 31, 2020 as compared to the March 31, 2019, partially offset by $35.0 million of repurchases of common shares during the nine months ended March 31, 2019.</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March 31,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Payment Due By Fiscal Period</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1-3 Years</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6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$ 101,719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$ 10,901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$ 19,294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$ 18,348</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$ 53,176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12,151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6,797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$ 113,870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$ 17,698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$ 23,851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$ 19,145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$ 53,176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and the ongoing impact from COVID-19. In the event that our sales growth or other factors do not meet our expectations, we may eliminate or curtail capital projects in order to mitigate the impact on our use of cash. Capital expenditures were $9.6 million and $14.6 million for the nine months ended March 31, 2019 and 2020, respectively, exclusive of capitalized internal-use software costs of $14.7 million and $19.2 million for the same periods, respectively.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As discussed in Item 2. Management’s Discussion and Analysis of Financial Condition and Results of operations, the novel coronavirus disease (“COVID-19”) pandemic has significantly disrupted the global economy and financial markets and we believe it will unfavorably impact our future business and financial performance. Refer to Item 1A. Risk Factors for risks related to the COVID-19 pandemic.</w:t>
      </w:r>
    </w:p>
    <w:p>
      <w:pPr>
        <w:spacing w:after="0" w:line="164"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have not used, nor do we intend to use, derivatives to mitigate the impact of interest rate or other exposure or for trading or speculative purposes.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As of March 31, 2020, we had cash and cash equivalents of $114.3 million, corporate investments of $72.7 million and funds held for clients of $1,729.2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commercial paper, corporate bonds, asset-backed securities and U.S. treasury securities, which were classified as available-for-sale securities as of</w:t>
      </w:r>
    </w:p>
    <w:p>
      <w:pPr>
        <w:spacing w:after="0" w:line="2" w:lineRule="exact"/>
        <w:rPr>
          <w:sz w:val="20"/>
          <w:szCs w:val="20"/>
          <w:color w:val="auto"/>
        </w:rPr>
      </w:pPr>
    </w:p>
    <w:p>
      <w:pPr>
        <w:ind w:left="60" w:right="279"/>
        <w:spacing w:after="0" w:line="255" w:lineRule="auto"/>
        <w:rPr>
          <w:sz w:val="20"/>
          <w:szCs w:val="20"/>
          <w:color w:val="auto"/>
        </w:rPr>
      </w:pPr>
      <w:r>
        <w:rPr>
          <w:rFonts w:ascii="Arial" w:cs="Arial" w:eastAsia="Arial" w:hAnsi="Arial"/>
          <w:sz w:val="18"/>
          <w:szCs w:val="18"/>
          <w:color w:val="auto"/>
        </w:rPr>
        <w:t>March 31, 2020.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9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9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25-basis point increase in interest rates would have resulted in a decrease in the market value of our available-for-sale securities included in funds held for clients by $0.3 million as of March 31, 2020. A 25-basis point decrease in interest rates would have resulted in a $0.3 million increase in the market value of our available-for-sale securities included in funds held for clients as of March 31, 2020. Fluctuations in the value of our available-for-sale securities caused by changes in interest rates are recorded in other comprehensive income and are only realized if we sell the underlying securities.</w:t>
      </w:r>
    </w:p>
    <w:p>
      <w:pPr>
        <w:spacing w:after="0" w:line="19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Additionally, as described in Note 7 of the Notes to the Unaudited Consolidated Financial Statements, we entered into a credit agreement that provides for a revolving credit facility (“credit facility”) in the aggregate amount of $250.0 million, which may be increased up to $375.0 million. Borrowings under the credit facility will generally bear interest at a rate based upon the London Interbank Offered Rate (“LIBOR”) (or a replacement rate for LIBOR) or, at our sole option, an adjusted base rate plus an applicable margin based on our then-applicable net senior secured leverage ratio. As of</w:t>
      </w:r>
    </w:p>
    <w:p>
      <w:pPr>
        <w:spacing w:after="0" w:line="2"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March 31, 2020, we had not drawn any amounts under the credit facility. To the extent that we draw upon the borrowing capacity available through the credit facility as we did in April 2020, we expect to be exposed to increased interest rate risk. Refer to Note 13 to the Unaudited Consolidated Financial Statements for additional details regarding our credit facility borrowings.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March 31, 2020,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Effective July 1, 2019, we adopted Accounting Standard Codification Topic 842, Leases. Changes were made to the relevant business processes and the related control activities in order to monitor and maintain appropriate controls over financial reporting. 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99" w:firstLine="441"/>
        <w:spacing w:after="0" w:line="275"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consolidated financial statements and related notes.</w:t>
      </w:r>
    </w:p>
    <w:p>
      <w:pPr>
        <w:spacing w:after="0" w:line="1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which may cause the value of our common stock to decline substantially.</w:t>
      </w:r>
    </w:p>
    <w:p>
      <w:pPr>
        <w:spacing w:after="0" w:line="170"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7" w:lineRule="exact"/>
        <w:rPr>
          <w:sz w:val="20"/>
          <w:szCs w:val="20"/>
          <w:color w:val="auto"/>
        </w:rPr>
      </w:pPr>
    </w:p>
    <w:p>
      <w:pPr>
        <w:ind w:left="60" w:right="279" w:firstLine="648"/>
        <w:spacing w:after="0" w:line="275" w:lineRule="auto"/>
        <w:rPr>
          <w:sz w:val="20"/>
          <w:szCs w:val="20"/>
          <w:color w:val="auto"/>
        </w:rPr>
      </w:pPr>
      <w:r>
        <w:rPr>
          <w:rFonts w:ascii="Arial" w:cs="Arial" w:eastAsia="Arial" w:hAnsi="Arial"/>
          <w:sz w:val="17"/>
          <w:szCs w:val="17"/>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76"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80" w:right="139" w:hanging="331"/>
        <w:spacing w:after="0" w:line="27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and duration of the uncertainties and adverse impacts of the coronavirus disease (“COVID-19”) on our business, our clients and our partners and markets generally;</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80" w:right="579" w:hanging="331"/>
        <w:spacing w:after="0" w:line="27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Competitive pressures and the introduction of enhanced products and services from competitors;</w:t>
      </w:r>
    </w:p>
    <w:p>
      <w:pPr>
        <w:spacing w:after="0" w:line="236" w:lineRule="exact"/>
        <w:rPr>
          <w:rFonts w:ascii="Arial" w:cs="Arial" w:eastAsia="Arial" w:hAnsi="Arial"/>
          <w:sz w:val="17"/>
          <w:szCs w:val="17"/>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80" w:right="539" w:hanging="331"/>
        <w:spacing w:after="0" w:line="27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Client renewal rates;</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repeal of or changes to the laws and regulations related to the products and services which we offer;</w:t>
      </w:r>
    </w:p>
    <w:p>
      <w:pPr>
        <w:spacing w:after="0" w:line="248" w:lineRule="exact"/>
        <w:rPr>
          <w:rFonts w:ascii="Arial" w:cs="Arial" w:eastAsia="Arial" w:hAnsi="Arial"/>
          <w:sz w:val="16"/>
          <w:szCs w:val="16"/>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In fiscal 2018, the Company also began entering into term agreements, which are generally two years in length. If a significant number of clients elected to terminate their agreements with us, our operating results and our business would be adversely affected.</w:t>
      </w:r>
    </w:p>
    <w:p>
      <w:pPr>
        <w:spacing w:after="0" w:line="187"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76"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have been, and will continue to be, adversely impacted by the uncertainties and consequences stemming from the COVID-19 pandemic.</w:t>
      </w:r>
    </w:p>
    <w:p>
      <w:pPr>
        <w:spacing w:after="0" w:line="170"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spread of COVID-19 is causing significant economic and individual uncertainty and disruption across the country and world. In response, we have taken a number of actions including transitioning nearly all of our employees across our offices (including our corporate headquarters) to remote work-from-home arrangements and imposing travel and related restrictions. We believe these actions were reasonable and necessary as a result of the COVID-19 pandemic. Given the continued spread of COVID-19 and the resultant personal, economic and governmental reactions, we may have to take additional actions in the future that could negatively impact our business and financial performance.</w:t>
      </w:r>
    </w:p>
    <w:p>
      <w:pPr>
        <w:spacing w:after="0" w:line="164"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Many of our clients have also been unfavorably impacted by the COVID-19 pandemic, which is outside of our control. For example, many cities, counties and states across the country have imposed or may impose a wide range of stay-at-home, business closure and other restrictive orders that impact our clients. Many of our clients’ businesses have been impacted by these stay-at-home, business closure and other restrictive orders and some have been required to reduce employee headcount as a result. If a significant number of our clients are unable to continue as viable businesses or otherwise are required to further reduce headcount, it would have an adverse impact on our business and financial condition. If the COVID-19 pandemic has a prolonged substantial impact on our employees, partners or clients, our results of operations and overall financial performance may be unfavorably impacted.</w:t>
      </w:r>
    </w:p>
    <w:p>
      <w:pPr>
        <w:spacing w:after="0" w:line="17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Our business depends on the overall demand for payroll and HCM software and services, and on the economic health of our current and prospective clients. Any significant weakening of the economy in the United States, or further decline of interest rates, continuing or worsening unemployment, a reduction in business confidence and activity, decreased government and consumer spending, decreased payroll and HCM solutions spending by medium-sized organizations, economic uncertainty and other difficulties as a result of the COVID-19 pandemic, may affect one or more of the sectors in which we sell our applications.</w:t>
      </w:r>
    </w:p>
    <w:p>
      <w:pPr>
        <w:sectPr>
          <w:pgSz w:w="11900" w:h="16838" w:orient="portrait"/>
          <w:cols w:equalWidth="0" w:num="1">
            <w:col w:w="9019"/>
          </w:cols>
          <w:pgMar w:left="1440" w:top="51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79" w:firstLine="648"/>
        <w:spacing w:after="0" w:line="263" w:lineRule="auto"/>
        <w:rPr>
          <w:sz w:val="20"/>
          <w:szCs w:val="20"/>
          <w:color w:val="auto"/>
        </w:rPr>
      </w:pPr>
      <w:r>
        <w:rPr>
          <w:rFonts w:ascii="Arial" w:cs="Arial" w:eastAsia="Arial" w:hAnsi="Arial"/>
          <w:sz w:val="18"/>
          <w:szCs w:val="18"/>
          <w:color w:val="auto"/>
        </w:rPr>
        <w:t>The impacts of the COVID-19 pandemic on our business, clients, partners, employees, markets and financial results and condition are uncertain, evolving and dependent on numerous unpredictable factors outside of our control, including:</w:t>
      </w:r>
    </w:p>
    <w:p>
      <w:pPr>
        <w:spacing w:after="0" w:line="184" w:lineRule="exact"/>
        <w:rPr>
          <w:sz w:val="20"/>
          <w:szCs w:val="20"/>
          <w:color w:val="auto"/>
        </w:rPr>
      </w:pPr>
    </w:p>
    <w:p>
      <w:pPr>
        <w:ind w:left="720" w:right="639" w:hanging="319"/>
        <w:spacing w:after="0" w:line="342"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spread, duration and severity of the pandemic as a public health matter and its impact on governments, businesses and society generally and our clients, partners and our business more specifically;</w:t>
      </w:r>
    </w:p>
    <w:p>
      <w:pPr>
        <w:spacing w:after="0" w:line="123" w:lineRule="exact"/>
        <w:rPr>
          <w:rFonts w:ascii="Arial" w:cs="Arial" w:eastAsia="Arial" w:hAnsi="Arial"/>
          <w:sz w:val="16"/>
          <w:szCs w:val="16"/>
          <w:color w:val="auto"/>
        </w:rPr>
      </w:pPr>
    </w:p>
    <w:p>
      <w:pPr>
        <w:ind w:left="720" w:right="83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measures being taken by governments, businesses and society in response to the pandemic and their effectiveness;</w:t>
      </w:r>
    </w:p>
    <w:p>
      <w:pPr>
        <w:spacing w:after="0" w:line="170" w:lineRule="exact"/>
        <w:rPr>
          <w:rFonts w:ascii="Arial" w:cs="Arial" w:eastAsia="Arial" w:hAnsi="Arial"/>
          <w:sz w:val="18"/>
          <w:szCs w:val="18"/>
          <w:color w:val="auto"/>
        </w:rPr>
      </w:pPr>
    </w:p>
    <w:p>
      <w:pPr>
        <w:ind w:left="720" w:right="319" w:hanging="319"/>
        <w:spacing w:after="0" w:line="342"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scope and effectiveness of fiscal and monetary stimulus programs (such as the Payroll Protection Program) and other legislative and regulatory measures being implemented by federal, state and local governments;</w:t>
      </w:r>
    </w:p>
    <w:p>
      <w:pPr>
        <w:spacing w:after="0" w:line="123" w:lineRule="exact"/>
        <w:rPr>
          <w:rFonts w:ascii="Arial" w:cs="Arial" w:eastAsia="Arial" w:hAnsi="Arial"/>
          <w:sz w:val="16"/>
          <w:szCs w:val="16"/>
          <w:color w:val="auto"/>
        </w:rPr>
      </w:pPr>
    </w:p>
    <w:p>
      <w:pPr>
        <w:ind w:left="720" w:right="13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duration and impact of the numerous shelter-in-place, business closure and other restrictive orders throughout the country;</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business failures among our clients and other businesses;</w:t>
      </w:r>
    </w:p>
    <w:p>
      <w:pPr>
        <w:spacing w:after="0" w:line="225"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pace and extent to which our clients and other businesses reduce their number of employees and other compensated individuals;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current and prospective clients to invest in our products and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of these factors may impact our business unfavorably.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212529"/>
        </w:rPr>
        <w:t xml:space="preserve">The changing market and economic conditions resulting from the COVID-19 pandemic may cause a decline in the number of our clients’ employees being paid and attrition among our clients, which could have an unfavorable impact on our business. A number of our clients have reduced their employee headcount, and may undergo further reductions. </w:t>
      </w:r>
      <w:r>
        <w:rPr>
          <w:rFonts w:ascii="Arial" w:cs="Arial" w:eastAsia="Arial" w:hAnsi="Arial"/>
          <w:sz w:val="16"/>
          <w:szCs w:val="16"/>
          <w:color w:val="000000"/>
        </w:rPr>
        <w:t>Clients</w:t>
      </w:r>
      <w:r>
        <w:rPr>
          <w:rFonts w:ascii="Arial" w:cs="Arial" w:eastAsia="Arial" w:hAnsi="Arial"/>
          <w:sz w:val="16"/>
          <w:szCs w:val="16"/>
          <w:color w:val="212529"/>
        </w:rPr>
        <w:t xml:space="preserve"> </w:t>
      </w:r>
      <w:r>
        <w:rPr>
          <w:rFonts w:ascii="Arial" w:cs="Arial" w:eastAsia="Arial" w:hAnsi="Arial"/>
          <w:sz w:val="16"/>
          <w:szCs w:val="16"/>
          <w:color w:val="000000"/>
        </w:rPr>
        <w:t>may also delay or reduce technology purchases. This could also result in reductions in our recurring revenue and new sales, increased price competition and clients purchasing fewer solutions. Any of these events could unfavorably impact our business, results of operations, financial condition and cash flows from operations. There can also be no assurance that any decrease in revenue resulting from the COVID-19 pandemic will be offset by increased revenue in subsequent periods.</w:t>
      </w:r>
    </w:p>
    <w:p>
      <w:pPr>
        <w:spacing w:after="0" w:line="166"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 Interest rates have already been reduced as a result of the COVID-19 pandemic, and further interest rate reductions will impact our interest income from client funds held.</w:t>
      </w:r>
    </w:p>
    <w:p>
      <w:pPr>
        <w:spacing w:after="0" w:line="188"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70" w:lineRule="exact"/>
        <w:rPr>
          <w:sz w:val="20"/>
          <w:szCs w:val="20"/>
          <w:color w:val="auto"/>
        </w:rPr>
      </w:pPr>
    </w:p>
    <w:p>
      <w:pPr>
        <w:ind w:left="60" w:right="59" w:firstLine="648"/>
        <w:spacing w:after="0" w:line="283"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 In addition, our revenue growth rates may decline in future periods as a result of various factors,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including our failure to manage our growth effectively, our increased market penetration and the maturation of our business, slowing demand for our services, reductions in the number of employees by our clients, reductions in the number of our clients, public health issues such as the COVID-19 pandemic and a decrease in the growth of the overall market, among other factors.</w:t>
      </w:r>
    </w:p>
    <w:p>
      <w:pPr>
        <w:spacing w:after="0" w:line="18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left="60" w:right="299" w:firstLine="259"/>
        <w:spacing w:after="0" w:line="259"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primarily include payroll and HR service and software providers, such as Automatic Data Processing, Inc., Paychex, Inc., Paycom Software, Inc., Paycor, Inc., Ultimate Software Group, Inc. and other local and regional providers.</w:t>
      </w:r>
    </w:p>
    <w:p>
      <w:pPr>
        <w:spacing w:after="0" w:line="187"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8"/>
          <w:szCs w:val="18"/>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95"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6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2"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57"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any significant delays in the development, introduction or availability of new products or enhancements, could undermine our current market position.</w:t>
      </w:r>
    </w:p>
    <w:p>
      <w:pPr>
        <w:spacing w:after="0" w:line="170"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4"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6"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00"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We have experienced significant growth in the number of users, transactions and data that our operations infrastructure supports. We seek to maintain sufficient excess capacity in our data centers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modules.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8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77" w:lineRule="exact"/>
        <w:rPr>
          <w:sz w:val="20"/>
          <w:szCs w:val="20"/>
          <w:color w:val="auto"/>
        </w:rPr>
      </w:pPr>
    </w:p>
    <w:p>
      <w:pPr>
        <w:ind w:left="1380" w:right="199" w:hanging="331"/>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from fire, power loss, natural disasters, pandemics such as COVID-19 and other force majeure events outside our control;</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80" w:right="279" w:hanging="331"/>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breaches, computer viruses, hacking, worms, malware, ransomware, denial-of-service attacks and similar disruptive problems;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jc w:val="both"/>
        <w:ind w:left="60" w:right="199" w:firstLine="648"/>
        <w:spacing w:after="0" w:line="287" w:lineRule="auto"/>
        <w:rPr>
          <w:sz w:val="20"/>
          <w:szCs w:val="20"/>
          <w:color w:val="auto"/>
        </w:rPr>
      </w:pPr>
      <w:r>
        <w:rPr>
          <w:rFonts w:ascii="Arial" w:cs="Arial" w:eastAsia="Arial" w:hAnsi="Arial"/>
          <w:sz w:val="16"/>
          <w:szCs w:val="16"/>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Any loss of the right to use any of this hardware or software could result in delays in the provisioning of our services until equivalent technology is either developed by us, or, if available, is identified, obtained and integrated.</w:t>
      </w:r>
    </w:p>
    <w:p>
      <w:pPr>
        <w:spacing w:after="0" w:line="146"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Furthermore, our payroll module is essential to our clients’ timely payment of wages to their employees. Any interruption in our service may affect the availability, accuracy or timeliness of these programs and could damage our reputation, cause our clients to terminate their use of our software,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 Problems faced by our data center locations (such as a hardware or other supply chain disruption resulting from the COVID-19 pandemic),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modules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74"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Our partners, suppliers, and clients are also subject to the risk of natural disaster, pandemic or other catastrophic events (such as the COVID-19 pandemic). In those events, our ability to deliver our services in a timely manner, as well as the demand for our services, may be adversely impacted by factors outside our control.</w:t>
      </w:r>
    </w:p>
    <w:p>
      <w:pPr>
        <w:spacing w:after="0" w:line="165"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4" w:lineRule="exact"/>
        <w:rPr>
          <w:sz w:val="20"/>
          <w:szCs w:val="20"/>
          <w:color w:val="auto"/>
        </w:rPr>
      </w:pPr>
    </w:p>
    <w:p>
      <w:pPr>
        <w:ind w:left="60" w:right="99" w:firstLine="648"/>
        <w:spacing w:after="0" w:line="282"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As cyber threats continue to evolve, we are focused on ensuring that our operating environments safeguard and protect personal and business information. We may be required to invest significant additional resources to comply with evolving cybersecurity regulations and to modify and enhance our information security and controls, and to investigate and remediate any security vulnerabilities.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The costs of investigating, mitigating, and reporting such a breach to affected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individuals (if required) can be substantial. In addition, if a high-profile security breach occurs with respect to an industry peer, our clients and potential clients may generally lose trust in the security of payroll and HCM modules. Any such breach or unauthorized access could negatively affect our ability to attract new clients, cause existing clients to terminate their agreements with us, result in reputational damage and subject us to lawsuits, regulatory fines (including, in the case of our benefit administration solution, BeneFLEX, penalties for failure to comply with HIPAA) or other actions or liabilities which could materially and adversely affect our business and operating results.</w:t>
      </w:r>
    </w:p>
    <w:p>
      <w:pPr>
        <w:spacing w:after="0" w:line="178"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6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recognize the majority of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88"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We recognize our expenses over varying periods based on the nature of the expense. When a client terminates its relationship with us, we may not have derived enough revenue from that client to cover associated implementation costs. Our expenses fluctuate as a percentage of revenue, and changes in our business generally may not be immediately reflected in our results of operations.</w:t>
      </w:r>
    </w:p>
    <w:p>
      <w:pPr>
        <w:spacing w:after="0" w:line="187"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requires significant time, expense and attention. Extended stay-at-home, business closure and other restrictive orders may impact our ability to identify, hire and train new personnel.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81" w:lineRule="exact"/>
        <w:rPr>
          <w:sz w:val="20"/>
          <w:szCs w:val="20"/>
          <w:color w:val="auto"/>
        </w:rPr>
      </w:pPr>
    </w:p>
    <w:p>
      <w:pPr>
        <w:jc w:val="both"/>
        <w:ind w:left="60" w:right="119" w:firstLine="648"/>
        <w:spacing w:after="0" w:line="301" w:lineRule="auto"/>
        <w:rPr>
          <w:sz w:val="20"/>
          <w:szCs w:val="20"/>
          <w:color w:val="auto"/>
        </w:rPr>
      </w:pPr>
      <w:r>
        <w:rPr>
          <w:rFonts w:ascii="Arial" w:cs="Arial" w:eastAsia="Arial" w:hAnsi="Arial"/>
          <w:sz w:val="16"/>
          <w:szCs w:val="16"/>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5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more than 25% of our new sales in fiscal 2019 were referred to us from our referral network participants. In most cases, our relationships with referral network participants are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informal, although in some cases, we have formalized relationships where we are a recommended vendor for their clients.</w:t>
      </w:r>
    </w:p>
    <w:p>
      <w:pPr>
        <w:spacing w:after="0" w:line="248"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88"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57"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modules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public health issues such as COVID-19, security or privacy concerns, competing technologies and products, decreases in corporate spending or otherwise, it could result in a loss of clients, decreased revenues and an adverse impact on our business. Medium-sized organizations may be more adversely impacted by the COVID-19 pandemic than larger organizations in the short term because they may have less cash and less access to capital than larger organizations and therefore may not be as well positioned to react to the COVID-19 pandemic as larger organizations.</w:t>
      </w:r>
    </w:p>
    <w:p>
      <w:pPr>
        <w:spacing w:after="0" w:line="174"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left="60" w:right="99" w:firstLine="648"/>
        <w:spacing w:after="0" w:line="266"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2019 we processed over $134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We currently have agreements with eleven banks to execute ACH and wire transfers to support our client payroll, benefit and tax services. The global economic slowdown resulting from the COVID-19 pandemic could also adversely impact the businesses of our third-party providers, impacting their ability to provide the services on which we rely.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business. Further, a disruption of the Federal Reserve Bank’s services from COVID-19, including ACH processing, could negatively impact our business.</w:t>
      </w:r>
    </w:p>
    <w:p>
      <w:pPr>
        <w:spacing w:after="0" w:line="166"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including product development and other technical persons, could adversely affect our business.</w:t>
      </w:r>
    </w:p>
    <w:p>
      <w:pPr>
        <w:spacing w:after="0" w:line="184"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(including as a result of COVID-19) could have an adverse effect on our business.</w:t>
      </w:r>
    </w:p>
    <w:p>
      <w:pPr>
        <w:spacing w:after="0" w:line="178"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68"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66"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increase the cost of our solutions or reduce the effectiveness of our modules and adversely affect our business.</w:t>
      </w:r>
    </w:p>
    <w:p>
      <w:pPr>
        <w:spacing w:after="0" w:line="170" w:lineRule="exact"/>
        <w:rPr>
          <w:sz w:val="20"/>
          <w:szCs w:val="20"/>
          <w:color w:val="auto"/>
        </w:rPr>
      </w:pPr>
    </w:p>
    <w:p>
      <w:pPr>
        <w:ind w:left="60" w:right="279" w:firstLine="648"/>
        <w:spacing w:after="0" w:line="291" w:lineRule="auto"/>
        <w:rPr>
          <w:sz w:val="20"/>
          <w:szCs w:val="20"/>
          <w:color w:val="auto"/>
        </w:rPr>
      </w:pPr>
      <w:r>
        <w:rPr>
          <w:rFonts w:ascii="Arial" w:cs="Arial" w:eastAsia="Arial" w:hAnsi="Arial"/>
          <w:sz w:val="16"/>
          <w:szCs w:val="16"/>
          <w:color w:val="auto"/>
        </w:rPr>
        <w:t>Our clients collect, use and store personal or identifying information regarding their employees and their family members in our solutions. Federal and state government bodies and agencies have adopted, are considering adopting, or</w:t>
      </w: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may adopt laws and regulations regarding the collection, use, storage and disclosure of such personal information. In addition, HIPAA, as amended by the Health Information Technology for Economic and Clinical Health Act, and its implementing regulations, applies to our benefit administration solution, BeneFLEX, as a business associate. The costs of compliance with, and other burdens imposed by, such laws and regulations that are applicable to our clients’ businesses may limit the use and adoption of our modules and reduce overall demand, or lead to significant fines, penalties or liabilities for any noncompliance with such privacy laws. Even the perception of privacy concerns, whether or not valid, may inhibit market adoption of our solutions.</w:t>
      </w:r>
    </w:p>
    <w:p>
      <w:pPr>
        <w:spacing w:after="0" w:line="177"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Additionally, we expect that existing laws, regulations, and standards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Paylocity and our clients. For example, in 2016, the European Union (“EU”) and United States agreed to a framework for data transferred from the EU to the United States, called the Privacy Shield, but this new framework has been challenged by private parties and may face additional challenges by national regulators or additional private parties. Additionally, in 2016 the EU adopted a new regulation governing data privacy called the General Data Protection Regulation (“GDPR”), which became effective in May 2018. The GDPR establishes new requirements applicable to the handling of personal data and imposes penalties for non-compliance of up to 4% of worldwide revenue. California also recently enacted legislation, the California Consumer Privacy Act of 2018 (“CCPA”), effective as of January 1, 2020, that affords California residents expanded privacy protections and a private right of action for security breaches affecting their personal information. While California legislators recently amended the CCPA and the California Attorney General released draft implementing regulations for public comment, there remains uncertainty in how the CCPA will be interpreted and enforced, and privacy advocates are calling for changes to the law through a voter ballot initiative and additional amendments to the CCPA. In addition, the Illinois Biometric Information Privacy Act regulates the collection, use, safeguarding and storage of “biometric identifiers” or “biometric information” by private entities, and provides a private right of action for persons who are aggrieved by violations of the regulation. 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82"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modules and adversely affect our business.</w:t>
      </w:r>
    </w:p>
    <w:p>
      <w:pPr>
        <w:spacing w:after="0" w:line="18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If third parties we work with violate applicable laws or regulations or our policies, such violations may also put our clients’ content at risk and could in turn have an adverse effect on our business. Any significant change to applicable laws, regulations, or industry practices regarding the collection, use, retention, security, or disclosure of our clients’ content, or regarding the manner in which the express or implied consent of clients for the collection, use, retention, or disclosure of such content is obtained, could increase our costs and require us to modify our services and features, possibly in a material manner, which we may be unable to complete, and may limit our ability to store and transmit client data or develop new services and features.</w:t>
      </w:r>
    </w:p>
    <w:p>
      <w:pPr>
        <w:spacing w:after="0" w:line="195" w:lineRule="exact"/>
        <w:rPr>
          <w:sz w:val="20"/>
          <w:szCs w:val="20"/>
          <w:color w:val="auto"/>
        </w:rPr>
      </w:pPr>
    </w:p>
    <w:p>
      <w:pPr>
        <w:ind w:left="60" w:right="99"/>
        <w:spacing w:after="0" w:line="381" w:lineRule="auto"/>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and service our solutions or if we are unable to accommodate increased demand for our implementation and client services resulting from growth in our business.</w:t>
      </w:r>
    </w:p>
    <w:p>
      <w:pPr>
        <w:spacing w:after="0" w:line="100"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Our ability to deliver our payroll and HCM solutions depends on our ability to effectively implement and to transition to, and train our clients on, our solutions. We generally do not recognize any revenue from new clients until they process their first payroll. Further, the majority of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ectPr>
          <w:pgSz w:w="11900" w:h="16838" w:orient="portrait"/>
          <w:cols w:equalWidth="0" w:num="1">
            <w:col w:w="9019"/>
          </w:cols>
          <w:pgMar w:left="1440" w:top="51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Once our modules are deployed, our clients depend on our client service organization to resolve issues relating to our solutions. The majority of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 Our sales process is highly dependent on our modules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68"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color w:val="auto"/>
        </w:rPr>
        <w:t>In addition, we may be unable to respond quickly enough to accommodate increased client demand for implementation and client services driven by our growth. In order to ensure that we have sufficient employees to implement and service our solutions, we must closely coordinate hiring of personnel with our projected sales for a particular period. Because our sales cycle is typically only three to six weeks long, we may not be successful in coordinating hiring of implementation and client service personnel to meet increased demand for our services. Increased demand for services without a corresponding staffing increase of qualified personnel could adversely affect the quality of services provided to our clients, and our business and our reputation could be harmed.</w:t>
      </w:r>
    </w:p>
    <w:p>
      <w:pPr>
        <w:spacing w:after="0" w:line="177" w:lineRule="exact"/>
        <w:rPr>
          <w:sz w:val="20"/>
          <w:szCs w:val="20"/>
          <w:color w:val="auto"/>
        </w:rPr>
      </w:pPr>
    </w:p>
    <w:p>
      <w:pPr>
        <w:ind w:left="60" w:right="319"/>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95" w:lineRule="exact"/>
        <w:rPr>
          <w:sz w:val="20"/>
          <w:szCs w:val="20"/>
          <w:color w:val="auto"/>
        </w:rPr>
      </w:pPr>
    </w:p>
    <w:p>
      <w:pPr>
        <w:ind w:left="60" w:right="319" w:firstLine="648"/>
        <w:spacing w:after="0" w:line="275" w:lineRule="auto"/>
        <w:rPr>
          <w:sz w:val="20"/>
          <w:szCs w:val="20"/>
          <w:color w:val="auto"/>
        </w:rPr>
      </w:pPr>
      <w:r>
        <w:rPr>
          <w:rFonts w:ascii="Arial" w:cs="Arial" w:eastAsia="Arial" w:hAnsi="Arial"/>
          <w:sz w:val="17"/>
          <w:szCs w:val="17"/>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7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 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95" w:lineRule="exact"/>
        <w:rPr>
          <w:sz w:val="20"/>
          <w:szCs w:val="20"/>
          <w:color w:val="auto"/>
        </w:rPr>
      </w:pPr>
    </w:p>
    <w:p>
      <w:pPr>
        <w:ind w:left="60" w:right="279" w:firstLine="648"/>
        <w:spacing w:after="0" w:line="275" w:lineRule="auto"/>
        <w:rPr>
          <w:sz w:val="20"/>
          <w:szCs w:val="20"/>
          <w:color w:val="auto"/>
        </w:rPr>
      </w:pPr>
      <w:r>
        <w:rPr>
          <w:rFonts w:ascii="Arial" w:cs="Arial" w:eastAsia="Arial" w:hAnsi="Arial"/>
          <w:sz w:val="17"/>
          <w:szCs w:val="17"/>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76"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ectPr>
          <w:pgSz w:w="11900" w:h="16838" w:orient="portrait"/>
          <w:cols w:equalWidth="0" w:num="1">
            <w:col w:w="9019"/>
          </w:cols>
          <w:pgMar w:left="1440" w:top="517"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4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such as that we are currently experiencing as a result of the COVID-19 pandemic. Any loss of or inability to access our corporate investments or client funds could have adverse impacts on our business, client relations, liquidity, results of operations and financial condition and could require us to seek additional sources of liquidity.</w:t>
      </w:r>
    </w:p>
    <w:p>
      <w:pPr>
        <w:spacing w:after="0" w:line="181"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9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65" w:lineRule="exact"/>
        <w:rPr>
          <w:sz w:val="20"/>
          <w:szCs w:val="20"/>
          <w:color w:val="auto"/>
        </w:rPr>
      </w:pPr>
    </w:p>
    <w:p>
      <w:pPr>
        <w:ind w:left="60" w:right="179" w:firstLine="648"/>
        <w:spacing w:after="0" w:line="284" w:lineRule="auto"/>
        <w:rPr>
          <w:sz w:val="20"/>
          <w:szCs w:val="20"/>
          <w:color w:val="auto"/>
        </w:rPr>
      </w:pPr>
      <w:r>
        <w:rPr>
          <w:rFonts w:ascii="Arial" w:cs="Arial" w:eastAsia="Arial" w:hAnsi="Arial"/>
          <w:sz w:val="16"/>
          <w:szCs w:val="16"/>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1"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8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including cybersecurity resources, to monitor and protect these rights. Our intellectual property could be wrongfully acquired as a result of a cyberattack or other wrongful conduct by employees or third parties.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ectPr>
          <w:pgSz w:w="11900" w:h="16838" w:orient="portrait"/>
          <w:cols w:equalWidth="0" w:num="1">
            <w:col w:w="9019"/>
          </w:cols>
          <w:pgMar w:left="1440" w:top="517"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modules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74"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9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6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Our products utilize certain software of third-party software developers.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ectPr>
          <w:pgSz w:w="11900" w:h="16838" w:orient="portrait"/>
          <w:cols w:equalWidth="0" w:num="1">
            <w:col w:w="9019"/>
          </w:cols>
          <w:pgMar w:left="1440" w:top="517"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modules, and could have a negative impact on our business.</w:t>
      </w:r>
    </w:p>
    <w:p>
      <w:pPr>
        <w:spacing w:after="0" w:line="170"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modules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6"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modules could suffer.</w:t>
      </w:r>
    </w:p>
    <w:p>
      <w:pPr>
        <w:spacing w:after="0" w:line="178"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Furthermore, the availability or performance of our modules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modules or otherwise experiences service outages, such failure could interrupt our clients’ access to our solutions, adversely affect their perception of our modules’ reliability and reduce our revenues. In addition to potential liability, if we experience interruptions in the availability of our modules, our reputation could be adversely affected and we could lose clients.</w:t>
      </w:r>
    </w:p>
    <w:p>
      <w:pPr>
        <w:spacing w:after="0" w:line="17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97" w:lineRule="exact"/>
        <w:rPr>
          <w:sz w:val="20"/>
          <w:szCs w:val="20"/>
          <w:color w:val="auto"/>
        </w:rPr>
      </w:pPr>
    </w:p>
    <w:p>
      <w:pPr>
        <w:ind w:left="60" w:right="139" w:firstLine="648"/>
        <w:spacing w:after="0" w:line="267" w:lineRule="auto"/>
        <w:rPr>
          <w:sz w:val="20"/>
          <w:szCs w:val="20"/>
          <w:color w:val="auto"/>
        </w:rPr>
      </w:pPr>
      <w:r>
        <w:rPr>
          <w:rFonts w:ascii="Arial" w:cs="Arial" w:eastAsia="Arial" w:hAnsi="Arial"/>
          <w:sz w:val="17"/>
          <w:szCs w:val="17"/>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require changes to the manner in which we conduct some aspects of our business or invest client funds, which could adversely impact interest income from investing client funds. Should any state or federal regulators make a determination that we have operated as an unlicensed money services business or money transmitter, we could be subject to civil and criminal fines, penalties, costs, legal fees, reputational damage or other negative consequences. In addition, if the Affordable Care Act, or ACA, is repealed or modified in whole or in part, or if implementation of certain aspects of the ACA is delayed, such repeal, modification or delay could adversely impact the revenue we currently generate from our ACA Compliance solution as well as overall gross margins. Any of these regulatory implementations or changes could have an adverse effect on our business, operating results or financial condition.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left="60" w:right="239" w:firstLine="648"/>
        <w:spacing w:after="0" w:line="287"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spacing w:after="0" w:line="2" w:lineRule="exact"/>
        <w:rPr>
          <w:sz w:val="20"/>
          <w:szCs w:val="20"/>
          <w:color w:val="auto"/>
        </w:rPr>
      </w:pPr>
    </w:p>
    <w:p>
      <w:pPr>
        <w:jc w:val="center"/>
        <w:ind w:left="60" w:right="359"/>
        <w:spacing w:after="0" w:line="260"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may need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to expand ACH capacity as we grow our business. The spread of COVID-19, however, may cause disruption and volatility in financial, lending and payments markets.</w:t>
      </w:r>
    </w:p>
    <w:p>
      <w:pPr>
        <w:spacing w:after="0" w:line="17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78"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Any adverse market conditions arising from the COVID-19 pandemic impacting our access to capital could have a material adverse effect on our business, financial condition and results of operations.</w:t>
      </w:r>
    </w:p>
    <w:p>
      <w:pPr>
        <w:spacing w:after="0" w:line="170"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and negatively impact our business, financial condition and results of operations.</w:t>
      </w:r>
    </w:p>
    <w:p>
      <w:pPr>
        <w:spacing w:after="0" w:line="177"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4" w:lineRule="exact"/>
        <w:rPr>
          <w:sz w:val="20"/>
          <w:szCs w:val="20"/>
          <w:color w:val="auto"/>
        </w:rPr>
      </w:pPr>
    </w:p>
    <w:p>
      <w:pPr>
        <w:ind w:left="60" w:right="239"/>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0"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In addition, we have limited experience in acquiring other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Difficulty integrating the accounting systems, operations and personnel of the acquired business;</w:t>
      </w:r>
    </w:p>
    <w:p>
      <w:pPr>
        <w:spacing w:after="0" w:line="236" w:lineRule="exact"/>
        <w:rPr>
          <w:rFonts w:ascii="Arial" w:cs="Arial" w:eastAsia="Arial" w:hAnsi="Arial"/>
          <w:sz w:val="17"/>
          <w:szCs w:val="17"/>
          <w:color w:val="auto"/>
        </w:rPr>
      </w:pPr>
    </w:p>
    <w:p>
      <w:pPr>
        <w:ind w:left="1380" w:right="1039" w:hanging="331"/>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380" w:right="119" w:hanging="331"/>
        <w:spacing w:after="0" w:line="342" w:lineRule="auto"/>
        <w:tabs>
          <w:tab w:leader="none" w:pos="1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converting the clients of the acquired business onto our modules and contract terms, including disparities in the revenues, licensing, support or professional services model of the acquired company;</w:t>
      </w:r>
    </w:p>
    <w:p>
      <w:pPr>
        <w:spacing w:after="0" w:line="123" w:lineRule="exact"/>
        <w:rPr>
          <w:rFonts w:ascii="Arial" w:cs="Arial" w:eastAsia="Arial" w:hAnsi="Arial"/>
          <w:sz w:val="16"/>
          <w:szCs w:val="16"/>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80" w:right="139" w:hanging="331"/>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left="60" w:right="499"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jc w:val="both"/>
        <w:ind w:left="60" w:right="479" w:firstLine="648"/>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As of May 1, 2020, our directors, executive officers and holders of more than 5% of our common stock, together with their respective affiliates, beneficially owned, in the aggregate, approximately 34.1%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ectPr>
          <w:pgSz w:w="11900" w:h="16838" w:orient="portrait"/>
          <w:cols w:equalWidth="0" w:num="1">
            <w:col w:w="9019"/>
          </w:cols>
          <w:pgMar w:left="1440" w:top="517"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The market price of our common stock has been and may continue to be volatile. The extent to which, and for how long, the COVID-19 pandemic may impact the economy, our clients, our business and market price of our common stock are unclear and out of our control. Additional factors that may impact our performance and market price include those discussed elsewhere in this “Risk Factors” section of this Quarterly Report on Form 10-Q and others such as:</w:t>
      </w:r>
    </w:p>
    <w:p>
      <w:pPr>
        <w:spacing w:after="0" w:line="157" w:lineRule="exact"/>
        <w:rPr>
          <w:sz w:val="20"/>
          <w:szCs w:val="20"/>
          <w:color w:val="auto"/>
        </w:rPr>
      </w:pPr>
    </w:p>
    <w:p>
      <w:pPr>
        <w:ind w:left="1380" w:hanging="331"/>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of acquisitions, business plans or commercial relationships;</w:t>
      </w:r>
    </w:p>
    <w:p>
      <w:pPr>
        <w:spacing w:after="0" w:line="248" w:lineRule="exact"/>
        <w:rPr>
          <w:rFonts w:ascii="Arial" w:cs="Arial" w:eastAsia="Arial" w:hAnsi="Arial"/>
          <w:sz w:val="16"/>
          <w:szCs w:val="16"/>
          <w:color w:val="auto"/>
        </w:rPr>
      </w:pPr>
    </w:p>
    <w:p>
      <w:pPr>
        <w:ind w:left="1380" w:hanging="331"/>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80" w:right="239" w:hanging="331"/>
        <w:spacing w:after="0" w:line="308" w:lineRule="auto"/>
        <w:tabs>
          <w:tab w:leader="none" w:pos="1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80" w:hanging="331"/>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80" w:hanging="331"/>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225" w:lineRule="exact"/>
        <w:rPr>
          <w:rFonts w:ascii="Arial" w:cs="Arial" w:eastAsia="Arial" w:hAnsi="Arial"/>
          <w:sz w:val="18"/>
          <w:szCs w:val="18"/>
          <w:color w:val="auto"/>
        </w:rPr>
      </w:pPr>
    </w:p>
    <w:p>
      <w:pPr>
        <w:ind w:left="1380" w:right="119" w:hanging="331"/>
        <w:spacing w:after="0" w:line="263"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4" w:lineRule="exact"/>
        <w:rPr>
          <w:sz w:val="20"/>
          <w:szCs w:val="20"/>
          <w:color w:val="auto"/>
        </w:rPr>
      </w:pPr>
    </w:p>
    <w:p>
      <w:pPr>
        <w:ind w:left="60" w:right="339"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2"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by existing stockholders could depress the market price of our common stock.</w:t>
      </w:r>
    </w:p>
    <w:p>
      <w:pPr>
        <w:spacing w:after="0" w:line="170"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As of May 1, 2020, we had an aggregate of 53,686,172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ectPr>
          <w:pgSz w:w="11900" w:h="16838" w:orient="portrait"/>
          <w:cols w:equalWidth="0" w:num="1">
            <w:col w:w="9019"/>
          </w:cols>
          <w:pgMar w:left="1440" w:top="517"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addition, we have registered 17,853,893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4"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6"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84"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7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4"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left="60" w:right="199" w:firstLine="648"/>
        <w:spacing w:after="0" w:line="28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19"/>
        <w:spacing w:after="0" w:line="263" w:lineRule="auto"/>
        <w:rPr>
          <w:sz w:val="20"/>
          <w:szCs w:val="20"/>
          <w:color w:val="auto"/>
        </w:rPr>
      </w:pPr>
      <w:r>
        <w:rPr>
          <w:rFonts w:ascii="Arial" w:cs="Arial" w:eastAsia="Arial" w:hAnsi="Arial"/>
          <w:sz w:val="18"/>
          <w:szCs w:val="18"/>
          <w:color w:val="auto"/>
        </w:rPr>
        <w:t>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84"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60" w:lineRule="exact"/>
        <w:rPr>
          <w:sz w:val="20"/>
          <w:szCs w:val="20"/>
          <w:color w:val="auto"/>
        </w:rPr>
      </w:pPr>
    </w:p>
    <w:p>
      <w:pPr>
        <w:ind w:left="1380" w:right="139" w:hanging="331"/>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80" w:right="179" w:hanging="331"/>
        <w:spacing w:after="0" w:line="263"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8" w:lineRule="exact"/>
        <w:rPr>
          <w:rFonts w:ascii="Arial" w:cs="Arial" w:eastAsia="Arial" w:hAnsi="Arial"/>
          <w:sz w:val="18"/>
          <w:szCs w:val="18"/>
          <w:color w:val="auto"/>
        </w:rPr>
      </w:pPr>
    </w:p>
    <w:p>
      <w:pPr>
        <w:ind w:left="1380" w:right="139" w:hanging="331"/>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80" w:right="359" w:hanging="331"/>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80" w:right="579" w:hanging="331"/>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24"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75"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million, paid $9.4 million for the purchase of substantially all of the assets of BFKMS Inc. and paid $9.5 million for the purchase of substantially all of the assets of Synergy Payroll, LLC.</w:t>
      </w:r>
    </w:p>
    <w:p>
      <w:pPr>
        <w:spacing w:after="0" w:line="170"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2"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information required by this Item is set forth in the Index to Exhibits immediately following this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gridSpan w:val="8"/>
          </w:tcPr>
          <w:p>
            <w:pPr>
              <w:ind w:left="40"/>
              <w:spacing w:after="0"/>
              <w:rPr>
                <w:sz w:val="20"/>
                <w:szCs w:val="20"/>
                <w:color w:val="auto"/>
              </w:rPr>
            </w:pPr>
            <w:r>
              <w:rPr>
                <w:rFonts w:ascii="Arial" w:cs="Arial" w:eastAsia="Arial" w:hAnsi="Arial"/>
                <w:sz w:val="18"/>
                <w:szCs w:val="18"/>
                <w:b w:val="1"/>
                <w:bCs w:val="1"/>
                <w:color w:val="auto"/>
              </w:rPr>
              <w:t>INDEX TO EXHIBITS</w:t>
            </w:r>
          </w:p>
        </w:tc>
      </w:tr>
      <w:tr>
        <w:trPr>
          <w:trHeight w:val="413"/>
        </w:trPr>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Nos.</w:t>
            </w: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7"/>
          </w:tcPr>
          <w:p>
            <w:pPr>
              <w:ind w:left="1100"/>
              <w:spacing w:after="0"/>
              <w:rPr>
                <w:sz w:val="20"/>
                <w:szCs w:val="20"/>
                <w:color w:val="auto"/>
              </w:rPr>
            </w:pPr>
            <w:r>
              <w:rPr>
                <w:rFonts w:ascii="Arial" w:cs="Arial" w:eastAsia="Arial" w:hAnsi="Arial"/>
                <w:sz w:val="14"/>
                <w:szCs w:val="14"/>
                <w:b w:val="1"/>
                <w:bCs w:val="1"/>
                <w:color w:val="auto"/>
              </w:rPr>
              <w:t>Description</w:t>
            </w:r>
          </w:p>
        </w:tc>
      </w:tr>
      <w:tr>
        <w:trPr>
          <w:trHeight w:val="431"/>
        </w:trPr>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7100" w:type="dxa"/>
            <w:vAlign w:val="bottom"/>
            <w:tcBorders>
              <w:top w:val="single" w:sz="8" w:color="auto"/>
              <w:bottom w:val="single" w:sz="8" w:color="0000EE"/>
            </w:tcBorders>
            <w:gridSpan w:val="5"/>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First Amended and Restated Certificate of Incorporation (filed as Exhibit 3.2 of Paylocity Holding</w:t>
              </w:r>
            </w:hyperlink>
          </w:p>
        </w:tc>
        <w:tc>
          <w:tcPr>
            <w:tcW w:w="660" w:type="dxa"/>
            <w:vAlign w:val="bottom"/>
            <w:tcBorders>
              <w:top w:val="single" w:sz="8" w:color="auto"/>
            </w:tcBorders>
            <w:gridSpan w:val="4"/>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9"/>
          </w:tcPr>
          <w:p>
            <w:pPr>
              <w:spacing w:after="0"/>
              <w:rPr>
                <w:rFonts w:ascii="Arial" w:cs="Arial" w:eastAsia="Arial" w:hAnsi="Arial"/>
                <w:sz w:val="18"/>
                <w:szCs w:val="18"/>
                <w:color w:val="0000EE"/>
              </w:rPr>
            </w:pPr>
            <w:hyperlink r:id="rId70">
              <w:r>
                <w:rPr>
                  <w:rFonts w:ascii="Arial" w:cs="Arial" w:eastAsia="Arial" w:hAnsi="Arial"/>
                  <w:sz w:val="18"/>
                  <w:szCs w:val="18"/>
                  <w:color w:val="0000EE"/>
                </w:rPr>
                <w:t>Corporation’s Form S-1 Registration Statement (Registration No. 333-193661)).</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rFonts w:ascii="Arial" w:cs="Arial" w:eastAsia="Arial" w:hAnsi="Arial"/>
                <w:sz w:val="18"/>
                <w:szCs w:val="18"/>
                <w:color w:val="0000EE"/>
                <w:w w:val="92"/>
              </w:rPr>
            </w:pPr>
            <w:hyperlink r:id="rId71">
              <w:r>
                <w:rPr>
                  <w:rFonts w:ascii="Arial" w:cs="Arial" w:eastAsia="Arial" w:hAnsi="Arial"/>
                  <w:sz w:val="18"/>
                  <w:szCs w:val="18"/>
                  <w:color w:val="0000EE"/>
                  <w:w w:val="92"/>
                </w:rPr>
                <w:t>Amended and Restated Bylaws of Paylocity Holding Corporation (filed as Exhibit 3.2 of Paylocity Holding</w:t>
              </w:r>
            </w:hyperlink>
          </w:p>
        </w:tc>
      </w:tr>
      <w:tr>
        <w:trPr>
          <w:trHeight w:val="263"/>
        </w:trPr>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760" w:type="dxa"/>
            <w:vAlign w:val="bottom"/>
            <w:gridSpan w:val="9"/>
          </w:tcPr>
          <w:p>
            <w:pPr>
              <w:spacing w:after="0"/>
              <w:rPr>
                <w:rFonts w:ascii="Arial" w:cs="Arial" w:eastAsia="Arial" w:hAnsi="Arial"/>
                <w:sz w:val="18"/>
                <w:szCs w:val="18"/>
                <w:u w:val="single" w:color="auto"/>
                <w:color w:val="0000EE"/>
                <w:w w:val="97"/>
              </w:rPr>
            </w:pPr>
            <w:hyperlink r:id="rId71">
              <w:r>
                <w:rPr>
                  <w:rFonts w:ascii="Arial" w:cs="Arial" w:eastAsia="Arial" w:hAnsi="Arial"/>
                  <w:sz w:val="18"/>
                  <w:szCs w:val="18"/>
                  <w:u w:val="single" w:color="auto"/>
                  <w:color w:val="0000EE"/>
                  <w:w w:val="97"/>
                </w:rPr>
                <w:t>Corporation’s Annual Report on Form 10-K for the year ended June 30, 2017 (File No. 001-36348)).</w:t>
              </w:r>
            </w:hyperlink>
          </w:p>
        </w:tc>
      </w:tr>
      <w:tr>
        <w:trPr>
          <w:trHeight w:val="446"/>
        </w:trPr>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7760" w:type="dxa"/>
            <w:vAlign w:val="bottom"/>
            <w:gridSpan w:val="9"/>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Certification of Chief Executive Officer pursuant to Securities Exchange Act Rules 13a-4 and 15d-14 as</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00" w:type="dxa"/>
            <w:vAlign w:val="bottom"/>
            <w:tcBorders>
              <w:top w:val="single" w:sz="8" w:color="0000EE"/>
            </w:tcBorders>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adopted pursuant to Section 302 of the Sarbanes-Oxley Act of 2002.</w:t>
              </w:r>
            </w:hyperlink>
          </w:p>
        </w:tc>
        <w:tc>
          <w:tcPr>
            <w:tcW w:w="2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74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Chief Financial Officer pursuant to Securities Exchange Act Rules 13a-4 and 15d-14 as</w:t>
              </w:r>
            </w:hyperlink>
          </w:p>
        </w:tc>
        <w:tc>
          <w:tcPr>
            <w:tcW w:w="300" w:type="dxa"/>
            <w:vAlign w:val="bottom"/>
            <w:gridSpan w:val="3"/>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adopted pursuant to Section 302 of the Sarbanes-Oxley Act of 2002.</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60" w:type="dxa"/>
            <w:vAlign w:val="bottom"/>
            <w:gridSpan w:val="9"/>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Certification pursuant to 18 U.S.C. 1350, adopted pursuant to Section 906 of the Sarbanes-Oxley Act of</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2002, by Chief Executive Officer.</w:t>
              </w:r>
            </w:hyperlink>
          </w:p>
        </w:tc>
        <w:tc>
          <w:tcPr>
            <w:tcW w:w="5040" w:type="dxa"/>
            <w:vAlign w:val="bottom"/>
            <w:tcBorders>
              <w:top w:val="single" w:sz="8" w:color="0000EE"/>
            </w:tcBorders>
            <w:gridSpan w:val="5"/>
          </w:tcPr>
          <w:p>
            <w:pPr>
              <w:spacing w:after="0"/>
              <w:rPr>
                <w:sz w:val="19"/>
                <w:szCs w:val="19"/>
                <w:color w:val="auto"/>
              </w:rPr>
            </w:pPr>
          </w:p>
        </w:tc>
        <w:tc>
          <w:tcPr>
            <w:tcW w:w="280" w:type="dxa"/>
            <w:vAlign w:val="bottom"/>
            <w:gridSpan w:val="2"/>
          </w:tcPr>
          <w:p>
            <w:pPr>
              <w:spacing w:after="0"/>
              <w:rPr>
                <w:sz w:val="19"/>
                <w:szCs w:val="19"/>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760" w:type="dxa"/>
            <w:vAlign w:val="bottom"/>
            <w:gridSpan w:val="9"/>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Certification pursuant to 18 U.S.C. 1350, adopted pursuant to Section 906 of the Sarbanes-Oxley Act of</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80" w:type="dxa"/>
            <w:vAlign w:val="bottom"/>
            <w:tcBorders>
              <w:top w:val="single" w:sz="8" w:color="0000EE"/>
            </w:tcBorders>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2002, by Chief Financial Officer.</w:t>
              </w:r>
            </w:hyperlink>
          </w:p>
        </w:tc>
        <w:tc>
          <w:tcPr>
            <w:tcW w:w="280" w:type="dxa"/>
            <w:vAlign w:val="bottom"/>
            <w:gridSpan w:val="2"/>
          </w:tcPr>
          <w:p>
            <w:pPr>
              <w:spacing w:after="0"/>
              <w:rPr>
                <w:sz w:val="19"/>
                <w:szCs w:val="19"/>
                <w:color w:val="auto"/>
              </w:rPr>
            </w:pPr>
          </w:p>
        </w:tc>
      </w:tr>
      <w:tr>
        <w:trPr>
          <w:trHeight w:val="20"/>
        </w:trPr>
        <w:tc>
          <w:tcPr>
            <w:tcW w:w="1140" w:type="dxa"/>
            <w:vAlign w:val="bottom"/>
            <w:gridSpan w:val="2"/>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r>
      <w:tr>
        <w:trPr>
          <w:trHeight w:val="507"/>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7760" w:type="dxa"/>
            <w:vAlign w:val="bottom"/>
            <w:gridSpan w:val="9"/>
          </w:tcPr>
          <w:p>
            <w:pPr>
              <w:spacing w:after="0"/>
              <w:rPr>
                <w:sz w:val="20"/>
                <w:szCs w:val="20"/>
                <w:color w:val="auto"/>
              </w:rPr>
            </w:pPr>
            <w:r>
              <w:rPr>
                <w:rFonts w:ascii="Arial" w:cs="Arial" w:eastAsia="Arial" w:hAnsi="Arial"/>
                <w:sz w:val="18"/>
                <w:szCs w:val="18"/>
                <w:color w:val="auto"/>
                <w:w w:val="91"/>
              </w:rPr>
              <w:t>XBRL Instance Document (the instance document does not appear in the Interactive Data File because its</w:t>
            </w: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5" w:lineRule="exact"/>
        <w:rPr>
          <w:sz w:val="20"/>
          <w:szCs w:val="20"/>
          <w:color w:val="auto"/>
        </w:rPr>
      </w:pPr>
    </w:p>
    <w:p>
      <w:pPr>
        <w:ind w:left="320" w:hanging="270"/>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20" w:hanging="270"/>
        <w:spacing w:after="0"/>
        <w:tabs>
          <w:tab w:leader="none" w:pos="3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80" w:type="dxa"/>
            <w:vAlign w:val="bottom"/>
            <w:gridSpan w:val="3"/>
          </w:tcPr>
          <w:p>
            <w:pPr>
              <w:ind w:left="222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640" w:type="dxa"/>
            <w:vAlign w:val="bottom"/>
          </w:tcPr>
          <w:p>
            <w:pPr>
              <w:ind w:left="120"/>
              <w:spacing w:after="0"/>
              <w:rPr>
                <w:sz w:val="20"/>
                <w:szCs w:val="20"/>
                <w:color w:val="auto"/>
              </w:rPr>
            </w:pPr>
            <w:r>
              <w:rPr>
                <w:rFonts w:ascii="Arial" w:cs="Arial" w:eastAsia="Arial" w:hAnsi="Arial"/>
                <w:sz w:val="18"/>
                <w:szCs w:val="18"/>
                <w:color w:val="auto"/>
              </w:rPr>
              <w:t>Date:</w:t>
            </w:r>
          </w:p>
        </w:tc>
        <w:tc>
          <w:tcPr>
            <w:tcW w:w="2400" w:type="dxa"/>
            <w:vAlign w:val="bottom"/>
          </w:tcPr>
          <w:p>
            <w:pPr>
              <w:ind w:left="140"/>
              <w:spacing w:after="0"/>
              <w:rPr>
                <w:sz w:val="20"/>
                <w:szCs w:val="20"/>
                <w:color w:val="auto"/>
              </w:rPr>
            </w:pPr>
            <w:r>
              <w:rPr>
                <w:rFonts w:ascii="Arial" w:cs="Arial" w:eastAsia="Arial" w:hAnsi="Arial"/>
                <w:sz w:val="18"/>
                <w:szCs w:val="18"/>
                <w:color w:val="auto"/>
              </w:rPr>
              <w:t>May 8, 2020</w:t>
            </w:r>
          </w:p>
        </w:tc>
        <w:tc>
          <w:tcPr>
            <w:tcW w:w="2820" w:type="dxa"/>
            <w:vAlign w:val="bottom"/>
          </w:tcPr>
          <w:p>
            <w:pPr>
              <w:ind w:left="2220"/>
              <w:spacing w:after="0"/>
              <w:rPr>
                <w:sz w:val="20"/>
                <w:szCs w:val="20"/>
                <w:color w:val="auto"/>
              </w:rPr>
            </w:pPr>
            <w:r>
              <w:rPr>
                <w:rFonts w:ascii="Arial" w:cs="Arial" w:eastAsia="Arial" w:hAnsi="Arial"/>
                <w:sz w:val="18"/>
                <w:szCs w:val="18"/>
                <w:color w:val="auto"/>
              </w:rPr>
              <w:t>By:</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 Steven R. Beauchamp</w:t>
            </w:r>
          </w:p>
        </w:tc>
      </w:tr>
      <w:tr>
        <w:trPr>
          <w:trHeight w:val="198"/>
        </w:trPr>
        <w:tc>
          <w:tcPr>
            <w:tcW w:w="6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20" w:type="dxa"/>
            <w:vAlign w:val="bottom"/>
          </w:tcPr>
          <w:p>
            <w:pPr>
              <w:ind w:left="2220"/>
              <w:spacing w:after="0" w:line="198" w:lineRule="exact"/>
              <w:rPr>
                <w:sz w:val="20"/>
                <w:szCs w:val="20"/>
                <w:color w:val="auto"/>
              </w:rPr>
            </w:pPr>
            <w:r>
              <w:rPr>
                <w:rFonts w:ascii="Arial" w:cs="Arial" w:eastAsia="Arial" w:hAnsi="Arial"/>
                <w:sz w:val="18"/>
                <w:szCs w:val="18"/>
                <w:b w:val="1"/>
                <w:bCs w:val="1"/>
                <w:color w:val="auto"/>
              </w:rPr>
              <w:t>Name:</w:t>
            </w:r>
          </w:p>
        </w:tc>
        <w:tc>
          <w:tcPr>
            <w:tcW w:w="3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Steven R. Beauchamp</w:t>
            </w:r>
          </w:p>
        </w:tc>
        <w:tc>
          <w:tcPr>
            <w:tcW w:w="2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20" w:type="dxa"/>
            <w:vAlign w:val="bottom"/>
          </w:tcPr>
          <w:p>
            <w:pPr>
              <w:ind w:left="2220"/>
              <w:spacing w:after="0"/>
              <w:rPr>
                <w:sz w:val="20"/>
                <w:szCs w:val="20"/>
                <w:color w:val="auto"/>
              </w:rPr>
            </w:pPr>
            <w:r>
              <w:rPr>
                <w:rFonts w:ascii="Arial" w:cs="Arial" w:eastAsia="Arial" w:hAnsi="Arial"/>
                <w:sz w:val="18"/>
                <w:szCs w:val="18"/>
                <w:b w:val="1"/>
                <w:bCs w:val="1"/>
                <w:color w:val="auto"/>
              </w:rPr>
              <w:t>Title:</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Chief Executive Officer (Principal</w:t>
            </w:r>
          </w:p>
        </w:tc>
      </w:tr>
      <w:tr>
        <w:trPr>
          <w:trHeight w:val="234"/>
        </w:trPr>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Executive Officer) and Director</w:t>
            </w:r>
          </w:p>
        </w:tc>
      </w:tr>
      <w:tr>
        <w:trPr>
          <w:trHeight w:val="655"/>
        </w:trPr>
        <w:tc>
          <w:tcPr>
            <w:tcW w:w="640" w:type="dxa"/>
            <w:vAlign w:val="bottom"/>
          </w:tcPr>
          <w:p>
            <w:pPr>
              <w:ind w:left="120"/>
              <w:spacing w:after="0"/>
              <w:rPr>
                <w:sz w:val="20"/>
                <w:szCs w:val="20"/>
                <w:color w:val="auto"/>
              </w:rPr>
            </w:pPr>
            <w:r>
              <w:rPr>
                <w:rFonts w:ascii="Arial" w:cs="Arial" w:eastAsia="Arial" w:hAnsi="Arial"/>
                <w:sz w:val="18"/>
                <w:szCs w:val="18"/>
                <w:color w:val="auto"/>
              </w:rPr>
              <w:t>Date:</w:t>
            </w:r>
          </w:p>
        </w:tc>
        <w:tc>
          <w:tcPr>
            <w:tcW w:w="2400" w:type="dxa"/>
            <w:vAlign w:val="bottom"/>
          </w:tcPr>
          <w:p>
            <w:pPr>
              <w:ind w:left="140"/>
              <w:spacing w:after="0"/>
              <w:rPr>
                <w:sz w:val="20"/>
                <w:szCs w:val="20"/>
                <w:color w:val="auto"/>
              </w:rPr>
            </w:pPr>
            <w:r>
              <w:rPr>
                <w:rFonts w:ascii="Arial" w:cs="Arial" w:eastAsia="Arial" w:hAnsi="Arial"/>
                <w:sz w:val="18"/>
                <w:szCs w:val="18"/>
                <w:color w:val="auto"/>
              </w:rPr>
              <w:t>May 8, 2020</w:t>
            </w:r>
          </w:p>
        </w:tc>
        <w:tc>
          <w:tcPr>
            <w:tcW w:w="2820" w:type="dxa"/>
            <w:vAlign w:val="bottom"/>
          </w:tcPr>
          <w:p>
            <w:pPr>
              <w:ind w:left="2220"/>
              <w:spacing w:after="0"/>
              <w:rPr>
                <w:sz w:val="20"/>
                <w:szCs w:val="20"/>
                <w:color w:val="auto"/>
              </w:rPr>
            </w:pPr>
            <w:r>
              <w:rPr>
                <w:rFonts w:ascii="Arial" w:cs="Arial" w:eastAsia="Arial" w:hAnsi="Arial"/>
                <w:sz w:val="18"/>
                <w:szCs w:val="18"/>
                <w:color w:val="auto"/>
              </w:rPr>
              <w:t>By:</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 Toby J. Williams</w:t>
            </w:r>
          </w:p>
        </w:tc>
      </w:tr>
      <w:tr>
        <w:trPr>
          <w:trHeight w:val="198"/>
        </w:trPr>
        <w:tc>
          <w:tcPr>
            <w:tcW w:w="6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20" w:type="dxa"/>
            <w:vAlign w:val="bottom"/>
          </w:tcPr>
          <w:p>
            <w:pPr>
              <w:ind w:left="2220"/>
              <w:spacing w:after="0" w:line="198" w:lineRule="exact"/>
              <w:rPr>
                <w:sz w:val="20"/>
                <w:szCs w:val="20"/>
                <w:color w:val="auto"/>
              </w:rPr>
            </w:pPr>
            <w:r>
              <w:rPr>
                <w:rFonts w:ascii="Arial" w:cs="Arial" w:eastAsia="Arial" w:hAnsi="Arial"/>
                <w:sz w:val="18"/>
                <w:szCs w:val="18"/>
                <w:b w:val="1"/>
                <w:bCs w:val="1"/>
                <w:color w:val="auto"/>
              </w:rPr>
              <w:t>Name:</w:t>
            </w:r>
          </w:p>
        </w:tc>
        <w:tc>
          <w:tcPr>
            <w:tcW w:w="3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Toby J. Williams</w:t>
            </w:r>
          </w:p>
        </w:tc>
        <w:tc>
          <w:tcPr>
            <w:tcW w:w="2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20" w:type="dxa"/>
            <w:vAlign w:val="bottom"/>
          </w:tcPr>
          <w:p>
            <w:pPr>
              <w:ind w:left="2220"/>
              <w:spacing w:after="0"/>
              <w:rPr>
                <w:sz w:val="20"/>
                <w:szCs w:val="20"/>
                <w:color w:val="auto"/>
              </w:rPr>
            </w:pPr>
            <w:r>
              <w:rPr>
                <w:rFonts w:ascii="Arial" w:cs="Arial" w:eastAsia="Arial" w:hAnsi="Arial"/>
                <w:sz w:val="18"/>
                <w:szCs w:val="18"/>
                <w:b w:val="1"/>
                <w:bCs w:val="1"/>
                <w:color w:val="auto"/>
              </w:rPr>
              <w:t>Title:</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Chief Financial Officer (Principal</w:t>
            </w:r>
          </w:p>
        </w:tc>
      </w:tr>
      <w:tr>
        <w:trPr>
          <w:trHeight w:val="234"/>
        </w:trPr>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Financial Officer)</w:t>
            </w:r>
          </w:p>
        </w:tc>
      </w:tr>
      <w:tr>
        <w:trPr>
          <w:trHeight w:val="918"/>
        </w:trPr>
        <w:tc>
          <w:tcPr>
            <w:tcW w:w="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20" w:type="dxa"/>
            <w:vAlign w:val="bottom"/>
          </w:tcPr>
          <w:p>
            <w:pPr>
              <w:ind w:left="1340"/>
              <w:spacing w:after="0"/>
              <w:rPr>
                <w:sz w:val="20"/>
                <w:szCs w:val="20"/>
                <w:color w:val="auto"/>
              </w:rPr>
            </w:pPr>
            <w:r>
              <w:rPr>
                <w:rFonts w:ascii="Arial" w:cs="Arial" w:eastAsia="Arial" w:hAnsi="Arial"/>
                <w:sz w:val="18"/>
                <w:szCs w:val="18"/>
                <w:color w:val="auto"/>
              </w:rPr>
              <w:t>60</w:t>
            </w: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1" w:name="page62"/>
    <w:bookmarkEnd w:id="6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left="1340" w:hanging="414"/>
        <w:spacing w:after="0"/>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80" w:right="299" w:firstLine="446"/>
        <w:spacing w:after="0" w:line="237" w:lineRule="auto"/>
        <w:tabs>
          <w:tab w:leader="none" w:pos="1326"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7"/>
          <w:szCs w:val="17"/>
          <w:color w:val="auto"/>
        </w:rPr>
      </w:pPr>
    </w:p>
    <w:p>
      <w:pPr>
        <w:ind w:left="480" w:right="119" w:firstLine="446"/>
        <w:spacing w:after="0" w:line="224" w:lineRule="auto"/>
        <w:tabs>
          <w:tab w:leader="none" w:pos="1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80" w:right="199" w:firstLine="446"/>
        <w:spacing w:after="0" w:line="259" w:lineRule="auto"/>
        <w:tabs>
          <w:tab w:leader="none" w:pos="132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920" w:right="139" w:firstLine="446"/>
        <w:spacing w:after="0" w:line="219" w:lineRule="auto"/>
        <w:tabs>
          <w:tab w:leader="none" w:pos="175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920" w:right="119" w:firstLine="446"/>
        <w:spacing w:after="0" w:line="219" w:lineRule="auto"/>
        <w:tabs>
          <w:tab w:leader="none" w:pos="17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920" w:right="219" w:firstLine="446"/>
        <w:spacing w:after="0" w:line="224" w:lineRule="auto"/>
        <w:tabs>
          <w:tab w:leader="none" w:pos="175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920" w:right="219" w:firstLine="446"/>
        <w:spacing w:after="0" w:line="237" w:lineRule="auto"/>
        <w:tabs>
          <w:tab w:leader="none" w:pos="1766"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quarter ended March 31, 2020 that has materially affected, or is reasonably likely to materially affect, the registrant’s internal control over financial reporting; and</w:t>
      </w:r>
    </w:p>
    <w:p>
      <w:pPr>
        <w:spacing w:after="0" w:line="122" w:lineRule="exact"/>
        <w:rPr>
          <w:rFonts w:ascii="Arial" w:cs="Arial" w:eastAsia="Arial" w:hAnsi="Arial"/>
          <w:sz w:val="17"/>
          <w:szCs w:val="17"/>
          <w:color w:val="auto"/>
        </w:rPr>
      </w:pPr>
    </w:p>
    <w:p>
      <w:pPr>
        <w:ind w:left="480" w:right="179" w:firstLine="446"/>
        <w:spacing w:after="0" w:line="224" w:lineRule="auto"/>
        <w:tabs>
          <w:tab w:leader="none" w:pos="13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920" w:right="279" w:firstLine="446"/>
        <w:spacing w:after="0" w:line="224" w:lineRule="auto"/>
        <w:tabs>
          <w:tab w:leader="none" w:pos="174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20" w:right="479" w:firstLine="446"/>
        <w:spacing w:after="0" w:line="235" w:lineRule="auto"/>
        <w:tabs>
          <w:tab w:leader="none" w:pos="175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00" w:type="dxa"/>
            <w:vAlign w:val="bottom"/>
          </w:tcPr>
          <w:p>
            <w:pPr>
              <w:spacing w:after="0"/>
              <w:rPr>
                <w:sz w:val="20"/>
                <w:szCs w:val="20"/>
                <w:color w:val="auto"/>
              </w:rPr>
            </w:pPr>
            <w:r>
              <w:rPr>
                <w:rFonts w:ascii="Arial" w:cs="Arial" w:eastAsia="Arial" w:hAnsi="Arial"/>
                <w:sz w:val="18"/>
                <w:szCs w:val="18"/>
                <w:color w:val="auto"/>
              </w:rPr>
              <w:t>Date: May 8, 2020</w:t>
            </w: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51"/>
        </w:trPr>
        <w:tc>
          <w:tcPr>
            <w:tcW w:w="5100" w:type="dxa"/>
            <w:vAlign w:val="bottom"/>
          </w:tcPr>
          <w:p>
            <w:pPr>
              <w:ind w:left="4480"/>
              <w:spacing w:after="0" w:line="150" w:lineRule="exact"/>
              <w:rPr>
                <w:sz w:val="20"/>
                <w:szCs w:val="20"/>
                <w:color w:val="auto"/>
              </w:rPr>
            </w:pPr>
            <w:r>
              <w:rPr>
                <w:rFonts w:ascii="Arial" w:cs="Arial" w:eastAsia="Arial" w:hAnsi="Arial"/>
                <w:sz w:val="17"/>
                <w:szCs w:val="17"/>
                <w:b w:val="1"/>
                <w:bCs w:val="1"/>
                <w:color w:val="auto"/>
              </w:rPr>
              <w:t>Name:</w:t>
            </w:r>
          </w:p>
        </w:tc>
        <w:tc>
          <w:tcPr>
            <w:tcW w:w="38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Steven R. Beauchamp</w:t>
            </w:r>
          </w:p>
        </w:tc>
      </w:tr>
      <w:tr>
        <w:trPr>
          <w:trHeight w:val="203"/>
        </w:trPr>
        <w:tc>
          <w:tcPr>
            <w:tcW w:w="5100" w:type="dxa"/>
            <w:vAlign w:val="bottom"/>
          </w:tcPr>
          <w:p>
            <w:pPr>
              <w:ind w:left="4480"/>
              <w:spacing w:after="0" w:line="202" w:lineRule="exact"/>
              <w:rPr>
                <w:sz w:val="20"/>
                <w:szCs w:val="20"/>
                <w:color w:val="auto"/>
              </w:rPr>
            </w:pPr>
            <w:r>
              <w:rPr>
                <w:rFonts w:ascii="Arial" w:cs="Arial" w:eastAsia="Arial" w:hAnsi="Arial"/>
                <w:sz w:val="18"/>
                <w:szCs w:val="18"/>
                <w:b w:val="1"/>
                <w:bCs w:val="1"/>
                <w:color w:val="auto"/>
              </w:rPr>
              <w:t>Title:</w:t>
            </w:r>
          </w:p>
        </w:tc>
        <w:tc>
          <w:tcPr>
            <w:tcW w:w="3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Chief Executive Officer (Principal Executive</w:t>
            </w:r>
          </w:p>
        </w:tc>
      </w:tr>
      <w:tr>
        <w:trPr>
          <w:trHeight w:val="234"/>
        </w:trPr>
        <w:tc>
          <w:tcPr>
            <w:tcW w:w="510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3"/>
              </w:rPr>
              <w:t>Officer) and Director</w:t>
            </w:r>
          </w:p>
        </w:tc>
      </w:tr>
      <w:tr>
        <w:trPr>
          <w:trHeight w:val="722"/>
        </w:trPr>
        <w:tc>
          <w:tcPr>
            <w:tcW w:w="5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62" w:name="page63"/>
    <w:bookmarkEnd w:id="6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Toby J. Williams, certify that:</w:t>
      </w:r>
    </w:p>
    <w:p>
      <w:pPr>
        <w:spacing w:after="0" w:line="144" w:lineRule="exact"/>
        <w:rPr>
          <w:sz w:val="20"/>
          <w:szCs w:val="20"/>
          <w:color w:val="auto"/>
        </w:rPr>
      </w:pPr>
    </w:p>
    <w:p>
      <w:pPr>
        <w:ind w:left="1340" w:hanging="414"/>
        <w:spacing w:after="0"/>
        <w:tabs>
          <w:tab w:leader="none" w:pos="1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80" w:right="299" w:firstLine="446"/>
        <w:spacing w:after="0" w:line="237" w:lineRule="auto"/>
        <w:tabs>
          <w:tab w:leader="none" w:pos="1326"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7"/>
          <w:szCs w:val="17"/>
          <w:color w:val="auto"/>
        </w:rPr>
      </w:pPr>
    </w:p>
    <w:p>
      <w:pPr>
        <w:ind w:left="480" w:right="119" w:firstLine="446"/>
        <w:spacing w:after="0" w:line="224" w:lineRule="auto"/>
        <w:tabs>
          <w:tab w:leader="none" w:pos="1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80" w:right="199" w:firstLine="446"/>
        <w:spacing w:after="0" w:line="259" w:lineRule="auto"/>
        <w:tabs>
          <w:tab w:leader="none" w:pos="132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920" w:right="139" w:firstLine="446"/>
        <w:spacing w:after="0" w:line="219" w:lineRule="auto"/>
        <w:tabs>
          <w:tab w:leader="none" w:pos="175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920" w:right="119" w:firstLine="446"/>
        <w:spacing w:after="0" w:line="219" w:lineRule="auto"/>
        <w:tabs>
          <w:tab w:leader="none" w:pos="176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920" w:right="219" w:firstLine="446"/>
        <w:spacing w:after="0" w:line="224" w:lineRule="auto"/>
        <w:tabs>
          <w:tab w:leader="none" w:pos="1756"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920" w:right="219" w:firstLine="446"/>
        <w:spacing w:after="0" w:line="237" w:lineRule="auto"/>
        <w:tabs>
          <w:tab w:leader="none" w:pos="1766"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quarter ended March 31, 2020 that has materially affected, or is reasonably likely to materially affect, the registrant’s internal control over financial reporting; and</w:t>
      </w:r>
    </w:p>
    <w:p>
      <w:pPr>
        <w:spacing w:after="0" w:line="122" w:lineRule="exact"/>
        <w:rPr>
          <w:rFonts w:ascii="Arial" w:cs="Arial" w:eastAsia="Arial" w:hAnsi="Arial"/>
          <w:sz w:val="17"/>
          <w:szCs w:val="17"/>
          <w:color w:val="auto"/>
        </w:rPr>
      </w:pPr>
    </w:p>
    <w:p>
      <w:pPr>
        <w:ind w:left="480" w:right="179" w:firstLine="446"/>
        <w:spacing w:after="0" w:line="224" w:lineRule="auto"/>
        <w:tabs>
          <w:tab w:leader="none" w:pos="13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920" w:right="279" w:firstLine="446"/>
        <w:spacing w:after="0" w:line="224" w:lineRule="auto"/>
        <w:tabs>
          <w:tab w:leader="none" w:pos="174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20" w:right="479" w:firstLine="446"/>
        <w:spacing w:after="0" w:line="235" w:lineRule="auto"/>
        <w:tabs>
          <w:tab w:leader="none" w:pos="175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00" w:type="dxa"/>
            <w:vAlign w:val="bottom"/>
          </w:tcPr>
          <w:p>
            <w:pPr>
              <w:spacing w:after="0"/>
              <w:rPr>
                <w:sz w:val="20"/>
                <w:szCs w:val="20"/>
                <w:color w:val="auto"/>
              </w:rPr>
            </w:pPr>
            <w:r>
              <w:rPr>
                <w:rFonts w:ascii="Arial" w:cs="Arial" w:eastAsia="Arial" w:hAnsi="Arial"/>
                <w:sz w:val="18"/>
                <w:szCs w:val="18"/>
                <w:color w:val="auto"/>
              </w:rPr>
              <w:t>Date: May 8, 2020</w:t>
            </w:r>
          </w:p>
        </w:tc>
        <w:tc>
          <w:tcPr>
            <w:tcW w:w="382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100" w:type="dxa"/>
            <w:vAlign w:val="bottom"/>
            <w:vMerge w:val="restart"/>
          </w:tcPr>
          <w:p>
            <w:pPr>
              <w:ind w:left="4480"/>
              <w:spacing w:after="0" w:line="189" w:lineRule="exact"/>
              <w:rPr>
                <w:sz w:val="20"/>
                <w:szCs w:val="20"/>
                <w:color w:val="auto"/>
              </w:rPr>
            </w:pPr>
            <w:r>
              <w:rPr>
                <w:rFonts w:ascii="Arial" w:cs="Arial" w:eastAsia="Arial" w:hAnsi="Arial"/>
                <w:sz w:val="18"/>
                <w:szCs w:val="18"/>
                <w:b w:val="1"/>
                <w:bCs w:val="1"/>
                <w:color w:val="auto"/>
              </w:rPr>
              <w:t>Name:</w:t>
            </w: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38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175"/>
        </w:trPr>
        <w:tc>
          <w:tcPr>
            <w:tcW w:w="5100" w:type="dxa"/>
            <w:vAlign w:val="bottom"/>
          </w:tcPr>
          <w:p>
            <w:pPr>
              <w:ind w:left="4480"/>
              <w:spacing w:after="0" w:line="176" w:lineRule="exact"/>
              <w:rPr>
                <w:sz w:val="20"/>
                <w:szCs w:val="20"/>
                <w:color w:val="auto"/>
              </w:rPr>
            </w:pPr>
            <w:r>
              <w:rPr>
                <w:rFonts w:ascii="Arial" w:cs="Arial" w:eastAsia="Arial" w:hAnsi="Arial"/>
                <w:sz w:val="18"/>
                <w:szCs w:val="18"/>
                <w:b w:val="1"/>
                <w:bCs w:val="1"/>
                <w:color w:val="auto"/>
              </w:rPr>
              <w:t>Title:</w:t>
            </w:r>
          </w:p>
        </w:tc>
        <w:tc>
          <w:tcPr>
            <w:tcW w:w="3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 (Principal Financial</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3"/>
              </w:rPr>
              <w:t>Officer)</w:t>
            </w:r>
          </w:p>
        </w:tc>
        <w:tc>
          <w:tcPr>
            <w:tcW w:w="0" w:type="dxa"/>
            <w:vAlign w:val="bottom"/>
          </w:tcPr>
          <w:p>
            <w:pPr>
              <w:spacing w:after="0"/>
              <w:rPr>
                <w:sz w:val="1"/>
                <w:szCs w:val="1"/>
                <w:color w:val="auto"/>
              </w:rPr>
            </w:pPr>
          </w:p>
        </w:tc>
      </w:tr>
      <w:tr>
        <w:trPr>
          <w:trHeight w:val="704"/>
        </w:trPr>
        <w:tc>
          <w:tcPr>
            <w:tcW w:w="5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63" w:name="page64"/>
    <w:bookmarkEnd w:id="6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40" w:right="59"/>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23" w:lineRule="exact"/>
        <w:rPr>
          <w:sz w:val="20"/>
          <w:szCs w:val="20"/>
          <w:color w:val="auto"/>
        </w:rPr>
      </w:pPr>
    </w:p>
    <w:p>
      <w:pPr>
        <w:ind w:left="40" w:right="199" w:firstLine="441"/>
        <w:spacing w:after="0" w:line="214" w:lineRule="auto"/>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2020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19"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18"/>
          <w:szCs w:val="18"/>
          <w:color w:val="auto"/>
        </w:rPr>
        <w:t>Dated: May 8, 2020</w:t>
      </w:r>
      <w:r>
        <w:rPr>
          <w:sz w:val="20"/>
          <w:szCs w:val="20"/>
          <w:color w:val="auto"/>
        </w:rPr>
        <w:tab/>
      </w:r>
      <w:r>
        <w:rPr>
          <w:rFonts w:ascii="Arial" w:cs="Arial" w:eastAsia="Arial" w:hAnsi="Arial"/>
          <w:sz w:val="16"/>
          <w:szCs w:val="16"/>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wp:posOffset>
            </wp:positionV>
            <wp:extent cx="2828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jc w:val="center"/>
        <w:ind w:left="4420"/>
        <w:spacing w:after="0" w:line="203" w:lineRule="auto"/>
        <w:rPr>
          <w:sz w:val="20"/>
          <w:szCs w:val="20"/>
          <w:color w:val="auto"/>
        </w:rPr>
      </w:pPr>
      <w:r>
        <w:rPr>
          <w:rFonts w:ascii="Arial" w:cs="Arial" w:eastAsia="Arial" w:hAnsi="Arial"/>
          <w:sz w:val="18"/>
          <w:szCs w:val="18"/>
          <w:b w:val="1"/>
          <w:bCs w:val="1"/>
          <w:color w:val="auto"/>
        </w:rPr>
        <w:t>Steven R. Beauchamp</w:t>
      </w:r>
    </w:p>
    <w:p>
      <w:pPr>
        <w:jc w:val="center"/>
        <w:ind w:left="4420"/>
        <w:spacing w:after="0" w:line="229" w:lineRule="auto"/>
        <w:rPr>
          <w:sz w:val="20"/>
          <w:szCs w:val="20"/>
          <w:color w:val="auto"/>
        </w:rPr>
      </w:pPr>
      <w:r>
        <w:rPr>
          <w:rFonts w:ascii="Arial" w:cs="Arial" w:eastAsia="Arial" w:hAnsi="Arial"/>
          <w:sz w:val="16"/>
          <w:szCs w:val="16"/>
          <w:b w:val="1"/>
          <w:bCs w:val="1"/>
          <w:color w:val="auto"/>
        </w:rPr>
        <w:t>Chief Executive Officer (Principal Executive Officer) and</w:t>
      </w:r>
    </w:p>
    <w:p>
      <w:pPr>
        <w:jc w:val="center"/>
        <w:ind w:left="4420"/>
        <w:spacing w:after="0"/>
        <w:rPr>
          <w:sz w:val="20"/>
          <w:szCs w:val="20"/>
          <w:color w:val="auto"/>
        </w:rPr>
      </w:pPr>
      <w:r>
        <w:rPr>
          <w:rFonts w:ascii="Arial" w:cs="Arial" w:eastAsia="Arial" w:hAnsi="Arial"/>
          <w:sz w:val="18"/>
          <w:szCs w:val="18"/>
          <w:b w:val="1"/>
          <w:bCs w:val="1"/>
          <w:color w:val="auto"/>
        </w:rPr>
        <w:t>Director</w:t>
      </w:r>
    </w:p>
    <w:p>
      <w:pPr>
        <w:spacing w:after="0" w:line="128" w:lineRule="exact"/>
        <w:rPr>
          <w:sz w:val="20"/>
          <w:szCs w:val="20"/>
          <w:color w:val="auto"/>
        </w:rPr>
      </w:pPr>
    </w:p>
    <w:p>
      <w:pPr>
        <w:ind w:left="40" w:right="339"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413385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4" w:name="page65"/>
    <w:bookmarkEnd w:id="6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40" w:right="59"/>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23" w:lineRule="exact"/>
        <w:rPr>
          <w:sz w:val="20"/>
          <w:szCs w:val="20"/>
          <w:color w:val="auto"/>
        </w:rPr>
      </w:pPr>
    </w:p>
    <w:p>
      <w:pPr>
        <w:ind w:left="40" w:right="79" w:firstLine="441"/>
        <w:spacing w:after="0" w:line="214" w:lineRule="auto"/>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2020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3" w:lineRule="exact"/>
        <w:rPr>
          <w:sz w:val="20"/>
          <w:szCs w:val="20"/>
          <w:color w:val="auto"/>
        </w:rPr>
      </w:pPr>
    </w:p>
    <w:p>
      <w:pPr>
        <w:ind w:left="40"/>
        <w:spacing w:after="0"/>
        <w:tabs>
          <w:tab w:leader="none" w:pos="5820" w:val="left"/>
        </w:tabs>
        <w:rPr>
          <w:sz w:val="20"/>
          <w:szCs w:val="20"/>
          <w:color w:val="auto"/>
        </w:rPr>
      </w:pPr>
      <w:r>
        <w:rPr>
          <w:rFonts w:ascii="Arial" w:cs="Arial" w:eastAsia="Arial" w:hAnsi="Arial"/>
          <w:sz w:val="18"/>
          <w:szCs w:val="18"/>
          <w:color w:val="auto"/>
        </w:rPr>
        <w:t>Dated: May 8, 2020</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-635</wp:posOffset>
            </wp:positionV>
            <wp:extent cx="30346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jc w:val="center"/>
        <w:ind w:left="4100"/>
        <w:spacing w:after="0" w:line="203" w:lineRule="auto"/>
        <w:rPr>
          <w:sz w:val="20"/>
          <w:szCs w:val="20"/>
          <w:color w:val="auto"/>
        </w:rPr>
      </w:pPr>
      <w:r>
        <w:rPr>
          <w:rFonts w:ascii="Arial" w:cs="Arial" w:eastAsia="Arial" w:hAnsi="Arial"/>
          <w:sz w:val="18"/>
          <w:szCs w:val="18"/>
          <w:b w:val="1"/>
          <w:bCs w:val="1"/>
          <w:color w:val="auto"/>
        </w:rPr>
        <w:t>Toby J. Williams</w:t>
      </w:r>
    </w:p>
    <w:p>
      <w:pPr>
        <w:jc w:val="center"/>
        <w:ind w:left="410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128" w:lineRule="exact"/>
        <w:rPr>
          <w:sz w:val="20"/>
          <w:szCs w:val="20"/>
          <w:color w:val="auto"/>
        </w:rPr>
      </w:pPr>
    </w:p>
    <w:p>
      <w:pPr>
        <w:ind w:left="40" w:right="339"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413385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2"/>
    </w:lvl>
  </w:abstractNum>
  <w:abstractNum w:abstractNumId="4">
    <w:nsid w:val="DED7263"/>
    <w:multiLevelType w:val="hybridMultilevel"/>
    <w:lvl w:ilvl="0">
      <w:lvlJc w:val="left"/>
      <w:lvlText w:val="(%1)"/>
      <w:numFmt w:val="lowerLetter"/>
      <w:start w:val="3"/>
    </w:lvl>
  </w:abstractNum>
  <w:abstractNum w:abstractNumId="5">
    <w:nsid w:val="7FDCC233"/>
    <w:multiLevelType w:val="hybridMultilevel"/>
    <w:lvl w:ilvl="0">
      <w:lvlJc w:val="left"/>
      <w:lvlText w:val="(%1)"/>
      <w:numFmt w:val="lowerLetter"/>
      <w:start w:val="4"/>
    </w:lvl>
  </w:abstractNum>
  <w:abstractNum w:abstractNumId="6">
    <w:nsid w:val="1BEFD79F"/>
    <w:multiLevelType w:val="hybridMultilevel"/>
    <w:lvl w:ilvl="0">
      <w:lvlJc w:val="left"/>
      <w:lvlText w:val="(%1)"/>
      <w:numFmt w:val="lowerLetter"/>
      <w:start w:val="5"/>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2"/>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2"/>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lvl w:ilvl="1">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0" Type="http://schemas.openxmlformats.org/officeDocument/2006/relationships/hyperlink" Target="http://www.sec.gov/Archives/edgar/data/1591698/000104746914000931/a2218171zex-3_2.htm" TargetMode="External"/><Relationship Id="rId71" Type="http://schemas.openxmlformats.org/officeDocument/2006/relationships/hyperlink" Target="http://www.sec.gov/Archives/edgar/data/1591698/000155837017006561/pcty-20170630ex321ac616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2020-05-08T12:05:19Z</dcterms:created>
  <dcterms:modified xsi:type="dcterms:W3CDTF">2020-05-08T12:05:19Z</dcterms:modified>
</cp:coreProperties>
</file>